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60" w:firstLine="480" w:firstLineChars="200"/>
        <w:jc w:val="left"/>
        <w:rPr>
          <w:rFonts w:ascii="宋体" w:hAnsi="宋体" w:cs="宋体"/>
          <w:sz w:val="24"/>
          <w:szCs w:val="24"/>
        </w:rPr>
      </w:pPr>
      <w:bookmarkStart w:id="0" w:name="_Toc31970"/>
      <w:bookmarkStart w:id="1" w:name="_Toc29937"/>
      <w:bookmarkStart w:id="2" w:name="_Toc18530"/>
      <w:bookmarkStart w:id="3" w:name="_Toc2083"/>
      <w:bookmarkStart w:id="4" w:name="_Toc17527"/>
      <w:bookmarkStart w:id="5" w:name="_Toc12144"/>
      <w:bookmarkStart w:id="6" w:name="_Toc29758"/>
      <w:bookmarkStart w:id="7" w:name="_Toc3157"/>
      <w:bookmarkStart w:id="8" w:name="_Toc2075"/>
      <w:bookmarkStart w:id="9" w:name="_Toc25619"/>
      <w:r>
        <w:rPr>
          <w:rFonts w:hint="eastAsia" w:ascii="楷体_GB2312" w:hAnsi="宋体" w:eastAsia="楷体_GB2312"/>
          <w:sz w:val="24"/>
        </w:rPr>
        <w:drawing>
          <wp:anchor distT="0" distB="0" distL="114300" distR="114300" simplePos="0" relativeHeight="251665408" behindDoc="0" locked="0" layoutInCell="1" allowOverlap="1">
            <wp:simplePos x="0" y="0"/>
            <wp:positionH relativeFrom="column">
              <wp:posOffset>-198755</wp:posOffset>
            </wp:positionH>
            <wp:positionV relativeFrom="paragraph">
              <wp:posOffset>48895</wp:posOffset>
            </wp:positionV>
            <wp:extent cx="2548890" cy="889000"/>
            <wp:effectExtent l="0" t="0" r="3810" b="0"/>
            <wp:wrapNone/>
            <wp:docPr id="1" name="图片 1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timg"/>
                    <pic:cNvPicPr>
                      <a:picLocks noChangeAspect="1"/>
                    </pic:cNvPicPr>
                  </pic:nvPicPr>
                  <pic:blipFill>
                    <a:blip r:embed="rId10"/>
                    <a:stretch>
                      <a:fillRect/>
                    </a:stretch>
                  </pic:blipFill>
                  <pic:spPr>
                    <a:xfrm>
                      <a:off x="0" y="0"/>
                      <a:ext cx="2548890" cy="889000"/>
                    </a:xfrm>
                    <a:prstGeom prst="rect">
                      <a:avLst/>
                    </a:prstGeom>
                    <a:noFill/>
                    <a:ln>
                      <a:noFill/>
                    </a:ln>
                  </pic:spPr>
                </pic:pic>
              </a:graphicData>
            </a:graphic>
          </wp:anchor>
        </w:drawing>
      </w:r>
      <w:r>
        <w:rPr>
          <w:rFonts w:hint="eastAsia" w:ascii="宋体" w:hAnsi="宋体" w:cs="宋体"/>
          <w:sz w:val="24"/>
          <w:szCs w:val="24"/>
        </w:rPr>
        <w:t xml:space="preserve"> </w:t>
      </w:r>
      <w:r>
        <w:rPr>
          <w:rFonts w:ascii="宋体" w:hAnsi="宋体" w:cs="宋体"/>
          <w:sz w:val="24"/>
          <w:szCs w:val="24"/>
        </w:rPr>
        <w:t xml:space="preserve">                                                </w:t>
      </w:r>
    </w:p>
    <w:p>
      <w:pPr>
        <w:spacing w:line="360" w:lineRule="auto"/>
        <w:ind w:right="360" w:firstLine="480" w:firstLineChars="200"/>
        <w:jc w:val="left"/>
        <w:rPr>
          <w:rFonts w:ascii="宋体" w:hAnsi="宋体" w:cs="宋体"/>
          <w:sz w:val="24"/>
          <w:szCs w:val="24"/>
        </w:rPr>
      </w:pPr>
    </w:p>
    <w:p>
      <w:pPr>
        <w:spacing w:line="360" w:lineRule="auto"/>
        <w:ind w:firstLine="480"/>
      </w:pPr>
    </w:p>
    <w:p>
      <w:pPr>
        <w:spacing w:line="360" w:lineRule="auto"/>
        <w:ind w:firstLine="880"/>
        <w:rPr>
          <w:rFonts w:ascii="楷体_GB2312" w:hAnsi="宋体" w:eastAsia="楷体_GB2312"/>
          <w:sz w:val="44"/>
          <w:szCs w:val="44"/>
        </w:rPr>
      </w:pPr>
    </w:p>
    <w:p>
      <w:pPr>
        <w:spacing w:line="360" w:lineRule="auto"/>
        <w:jc w:val="center"/>
      </w:pPr>
    </w:p>
    <w:p>
      <w:pPr>
        <w:spacing w:line="360" w:lineRule="auto"/>
        <w:ind w:firstLine="3092" w:firstLineChars="700"/>
        <w:rPr>
          <w:rFonts w:ascii="楷体_GB2312" w:hAnsi="宋体" w:eastAsia="楷体_GB2312"/>
          <w:b/>
          <w:bCs/>
          <w:sz w:val="44"/>
          <w:szCs w:val="44"/>
          <w:u w:val="single"/>
        </w:rPr>
      </w:pPr>
      <w:r>
        <w:rPr>
          <w:rFonts w:hint="eastAsia" w:ascii="楷体_GB2312" w:hAnsi="宋体" w:eastAsia="楷体_GB2312"/>
          <w:b/>
          <w:bCs/>
          <w:sz w:val="44"/>
          <w:szCs w:val="44"/>
          <w:u w:val="single"/>
        </w:rPr>
        <w:t>中国重汽集团</w:t>
      </w:r>
    </w:p>
    <w:p>
      <w:pPr>
        <w:spacing w:line="360" w:lineRule="auto"/>
        <w:ind w:firstLine="0" w:firstLineChars="0"/>
        <w:jc w:val="center"/>
        <w:rPr>
          <w:rFonts w:ascii="楷体_GB2312" w:hAnsi="宋体" w:eastAsia="楷体_GB2312"/>
          <w:b/>
          <w:bCs/>
          <w:sz w:val="44"/>
          <w:szCs w:val="44"/>
          <w:u w:val="single"/>
        </w:rPr>
      </w:pPr>
      <w:r>
        <w:rPr>
          <w:rFonts w:hint="eastAsia" w:ascii="楷体_GB2312" w:hAnsi="宋体" w:eastAsia="楷体_GB2312"/>
          <w:b/>
          <w:bCs/>
          <w:sz w:val="44"/>
          <w:szCs w:val="44"/>
          <w:u w:val="single"/>
          <w:lang w:eastAsia="zh-CN"/>
        </w:rPr>
        <w:t>2025</w:t>
      </w:r>
      <w:r>
        <w:rPr>
          <w:rFonts w:hint="eastAsia" w:ascii="楷体_GB2312" w:hAnsi="宋体" w:eastAsia="楷体_GB2312"/>
          <w:b/>
          <w:bCs/>
          <w:sz w:val="44"/>
          <w:szCs w:val="44"/>
          <w:u w:val="single"/>
        </w:rPr>
        <w:t>年</w:t>
      </w:r>
      <w:r>
        <w:rPr>
          <w:rFonts w:hint="eastAsia" w:ascii="楷体_GB2312" w:hAnsi="宋体" w:eastAsia="楷体_GB2312"/>
          <w:b/>
          <w:bCs/>
          <w:sz w:val="44"/>
          <w:szCs w:val="44"/>
          <w:u w:val="single"/>
          <w:lang w:val="en-US" w:eastAsia="zh-CN"/>
        </w:rPr>
        <w:t>商用车板车</w:t>
      </w:r>
      <w:r>
        <w:rPr>
          <w:rFonts w:hint="eastAsia" w:ascii="楷体_GB2312" w:hAnsi="宋体" w:eastAsia="楷体_GB2312"/>
          <w:b/>
          <w:bCs/>
          <w:sz w:val="44"/>
          <w:szCs w:val="44"/>
          <w:u w:val="single"/>
        </w:rPr>
        <w:t>运输项目</w:t>
      </w:r>
    </w:p>
    <w:p>
      <w:pPr>
        <w:pStyle w:val="2"/>
        <w:spacing w:line="360" w:lineRule="auto"/>
      </w:pPr>
    </w:p>
    <w:p>
      <w:pPr>
        <w:spacing w:line="360" w:lineRule="auto"/>
        <w:ind w:firstLine="2891" w:firstLineChars="400"/>
        <w:rPr>
          <w:rFonts w:ascii="宋体" w:hAnsi="宋体" w:cs="宋体"/>
          <w:b/>
          <w:bCs/>
          <w:sz w:val="72"/>
          <w:szCs w:val="72"/>
        </w:rPr>
      </w:pPr>
      <w:r>
        <w:rPr>
          <w:rFonts w:hint="eastAsia" w:ascii="宋体" w:hAnsi="宋体" w:cs="宋体"/>
          <w:b/>
          <w:bCs/>
          <w:sz w:val="72"/>
          <w:szCs w:val="72"/>
        </w:rPr>
        <w:t>招标文件</w:t>
      </w:r>
    </w:p>
    <w:p>
      <w:pPr>
        <w:widowControl/>
        <w:spacing w:line="360" w:lineRule="auto"/>
        <w:ind w:firstLine="643"/>
        <w:jc w:val="center"/>
        <w:rPr>
          <w:rFonts w:ascii="宋体" w:hAnsi="宋体" w:cs="宋体"/>
          <w:b/>
          <w:bCs/>
          <w:sz w:val="32"/>
          <w:szCs w:val="32"/>
        </w:rPr>
      </w:pPr>
    </w:p>
    <w:p>
      <w:pPr>
        <w:spacing w:line="360" w:lineRule="auto"/>
        <w:jc w:val="center"/>
        <w:rPr>
          <w:rFonts w:hint="eastAsia" w:eastAsia="宋体"/>
          <w:highlight w:val="yellow"/>
          <w:lang w:eastAsia="zh-CN"/>
        </w:rPr>
      </w:pPr>
      <w:r>
        <w:rPr>
          <w:rFonts w:ascii="宋体" w:hAnsi="宋体" w:cs="宋体"/>
          <w:b/>
          <w:color w:val="000000"/>
          <w:sz w:val="32"/>
          <w:highlight w:val="none"/>
        </w:rPr>
        <w:t>项目编号：CGZX20250201</w:t>
      </w:r>
      <w:r>
        <w:rPr>
          <w:rFonts w:hint="eastAsia" w:ascii="宋体" w:hAnsi="宋体" w:cs="宋体"/>
          <w:b/>
          <w:color w:val="000000"/>
          <w:sz w:val="32"/>
          <w:highlight w:val="none"/>
          <w:lang w:val="en-US" w:eastAsia="zh-CN"/>
        </w:rPr>
        <w:t>2</w:t>
      </w:r>
      <w:r>
        <w:rPr>
          <w:rFonts w:ascii="宋体" w:hAnsi="宋体" w:cs="宋体"/>
          <w:b/>
          <w:color w:val="000000"/>
          <w:sz w:val="32"/>
          <w:highlight w:val="none"/>
        </w:rPr>
        <w:t>6</w:t>
      </w:r>
    </w:p>
    <w:p>
      <w:pPr>
        <w:widowControl/>
        <w:spacing w:line="360" w:lineRule="auto"/>
        <w:ind w:firstLine="643"/>
        <w:jc w:val="left"/>
        <w:rPr>
          <w:rFonts w:ascii="宋体" w:hAnsi="宋体" w:cs="宋体"/>
          <w:b/>
          <w:bCs/>
          <w:kern w:val="0"/>
          <w:sz w:val="32"/>
          <w:szCs w:val="32"/>
        </w:rPr>
      </w:pPr>
    </w:p>
    <w:p>
      <w:pPr>
        <w:widowControl/>
        <w:spacing w:line="360" w:lineRule="auto"/>
        <w:ind w:firstLine="643"/>
        <w:jc w:val="left"/>
        <w:rPr>
          <w:rFonts w:ascii="宋体" w:hAnsi="宋体" w:cs="宋体"/>
          <w:b/>
          <w:bCs/>
          <w:kern w:val="0"/>
          <w:sz w:val="32"/>
          <w:szCs w:val="32"/>
        </w:rPr>
      </w:pPr>
    </w:p>
    <w:p>
      <w:pPr>
        <w:widowControl/>
        <w:spacing w:line="360" w:lineRule="auto"/>
        <w:ind w:firstLine="643"/>
        <w:jc w:val="left"/>
        <w:rPr>
          <w:rFonts w:ascii="宋体" w:hAnsi="宋体" w:cs="宋体"/>
          <w:b/>
          <w:bCs/>
          <w:kern w:val="0"/>
          <w:sz w:val="32"/>
          <w:szCs w:val="32"/>
        </w:rPr>
      </w:pPr>
    </w:p>
    <w:p>
      <w:pPr>
        <w:widowControl/>
        <w:spacing w:line="360" w:lineRule="auto"/>
        <w:ind w:firstLine="1590" w:firstLineChars="495"/>
        <w:rPr>
          <w:rFonts w:ascii="宋体" w:hAnsi="宋体" w:cs="宋体"/>
          <w:b/>
          <w:bCs/>
          <w:kern w:val="0"/>
          <w:sz w:val="32"/>
          <w:szCs w:val="32"/>
          <w:u w:val="single"/>
        </w:rPr>
      </w:pPr>
    </w:p>
    <w:p>
      <w:pPr>
        <w:widowControl/>
        <w:spacing w:line="360" w:lineRule="auto"/>
        <w:ind w:firstLine="643"/>
        <w:jc w:val="center"/>
        <w:rPr>
          <w:rFonts w:ascii="宋体" w:hAnsi="宋体" w:cs="宋体"/>
          <w:b/>
          <w:bCs/>
          <w:kern w:val="0"/>
          <w:sz w:val="32"/>
          <w:szCs w:val="32"/>
        </w:rPr>
      </w:pPr>
    </w:p>
    <w:p>
      <w:pPr>
        <w:spacing w:line="360" w:lineRule="auto"/>
      </w:pPr>
    </w:p>
    <w:p>
      <w:pPr>
        <w:widowControl/>
        <w:spacing w:line="360" w:lineRule="auto"/>
        <w:ind w:firstLine="2096" w:firstLineChars="696"/>
        <w:rPr>
          <w:rFonts w:ascii="宋体" w:hAnsi="宋体" w:cs="宋体"/>
          <w:b/>
          <w:bCs/>
          <w:sz w:val="30"/>
          <w:szCs w:val="30"/>
          <w:u w:val="single"/>
        </w:rPr>
      </w:pPr>
      <w:r>
        <w:rPr>
          <w:rFonts w:hint="eastAsia" w:ascii="宋体" w:hAnsi="宋体" w:cs="宋体"/>
          <w:b/>
          <w:bCs/>
          <w:sz w:val="30"/>
          <w:szCs w:val="30"/>
          <w:u w:val="single"/>
        </w:rPr>
        <w:t>招标单位：中国重型汽车集团有限公司</w:t>
      </w:r>
    </w:p>
    <w:p>
      <w:pPr>
        <w:spacing w:line="360" w:lineRule="auto"/>
        <w:jc w:val="center"/>
        <w:rPr>
          <w:rFonts w:eastAsia="黑体"/>
        </w:rPr>
      </w:pPr>
      <w:r>
        <w:rPr>
          <w:rFonts w:hint="eastAsia" w:ascii="黑体" w:hAnsi="黑体" w:eastAsia="黑体" w:cs="黑体"/>
          <w:color w:val="000000"/>
          <w:sz w:val="32"/>
          <w:u w:val="single"/>
          <w:lang w:eastAsia="zh-CN"/>
        </w:rPr>
        <w:t>2025</w:t>
      </w:r>
      <w:r>
        <w:rPr>
          <w:rFonts w:hint="eastAsia" w:ascii="黑体" w:hAnsi="黑体" w:eastAsia="黑体" w:cs="黑体"/>
          <w:color w:val="000000"/>
          <w:sz w:val="32"/>
        </w:rPr>
        <w:t>年</w:t>
      </w:r>
      <w:r>
        <w:rPr>
          <w:rFonts w:hint="eastAsia" w:ascii="黑体" w:hAnsi="黑体" w:eastAsia="黑体" w:cs="黑体"/>
          <w:color w:val="000000"/>
          <w:sz w:val="32"/>
          <w:u w:val="single"/>
          <w:lang w:val="en-US" w:eastAsia="zh-CN"/>
        </w:rPr>
        <w:t>02</w:t>
      </w:r>
      <w:r>
        <w:rPr>
          <w:rFonts w:hint="eastAsia" w:ascii="黑体" w:hAnsi="黑体" w:eastAsia="黑体" w:cs="黑体"/>
          <w:color w:val="000000"/>
          <w:sz w:val="32"/>
        </w:rPr>
        <w:t>月</w:t>
      </w:r>
    </w:p>
    <w:p>
      <w:pPr>
        <w:pStyle w:val="3"/>
        <w:numPr>
          <w:ilvl w:val="0"/>
          <w:numId w:val="0"/>
        </w:numPr>
        <w:tabs>
          <w:tab w:val="center" w:pos="4535"/>
          <w:tab w:val="left" w:pos="8167"/>
        </w:tabs>
        <w:jc w:val="left"/>
        <w:rPr>
          <w:rFonts w:hint="eastAsia" w:ascii="宋体" w:hAnsi="宋体" w:eastAsia="宋体" w:cs="宋体"/>
          <w:i/>
          <w:caps/>
          <w:szCs w:val="24"/>
          <w:lang w:eastAsia="zh-CN"/>
        </w:rPr>
        <w:sectPr>
          <w:headerReference r:id="rId3" w:type="default"/>
          <w:footerReference r:id="rId4" w:type="default"/>
          <w:pgSz w:w="11907" w:h="16840"/>
          <w:pgMar w:top="1025" w:right="1418" w:bottom="1418" w:left="1418" w:header="724" w:footer="851" w:gutter="0"/>
          <w:pgBorders>
            <w:top w:val="none" w:sz="0" w:space="0"/>
            <w:left w:val="none" w:sz="0" w:space="0"/>
            <w:bottom w:val="none" w:sz="0" w:space="0"/>
            <w:right w:val="none" w:sz="0" w:space="0"/>
          </w:pgBorders>
          <w:pgNumType w:start="1"/>
          <w:cols w:space="720" w:num="1"/>
          <w:docGrid w:linePitch="290" w:charSpace="-3931"/>
        </w:sectPr>
      </w:pPr>
      <w:bookmarkStart w:id="10" w:name="_Toc13065"/>
      <w:r>
        <w:rPr>
          <w:rFonts w:hint="eastAsia" w:ascii="宋体" w:hAnsi="宋体" w:cs="宋体"/>
          <w:i/>
          <w:caps/>
          <w:szCs w:val="24"/>
          <w:lang w:eastAsia="zh-CN"/>
        </w:rPr>
        <w:tab/>
      </w:r>
      <w:r>
        <w:rPr>
          <w:rFonts w:hint="eastAsia" w:ascii="宋体" w:hAnsi="宋体" w:cs="宋体"/>
          <w:i/>
          <w:caps/>
          <w:szCs w:val="24"/>
          <w:lang w:eastAsia="zh-CN"/>
        </w:rPr>
        <w:tab/>
      </w:r>
      <w:bookmarkEnd w:id="10"/>
    </w:p>
    <w:p>
      <w:pPr>
        <w:pStyle w:val="72"/>
        <w:ind w:left="420"/>
        <w:rPr>
          <w:rFonts w:hint="eastAsia" w:ascii="黑体" w:hAnsi="黑体" w:eastAsia="黑体" w:cs="黑体"/>
          <w:sz w:val="40"/>
          <w:szCs w:val="44"/>
        </w:rPr>
      </w:pPr>
      <w:bookmarkStart w:id="11" w:name="_Toc11586"/>
      <w:bookmarkStart w:id="12" w:name="_Toc31260"/>
      <w:bookmarkStart w:id="13" w:name="_Toc25259"/>
      <w:bookmarkStart w:id="14" w:name="_Toc19884"/>
      <w:bookmarkStart w:id="15" w:name="_Toc16008"/>
      <w:bookmarkStart w:id="16" w:name="_Toc14896"/>
      <w:bookmarkStart w:id="17" w:name="_Toc22385"/>
      <w:bookmarkStart w:id="18" w:name="_Toc2846"/>
      <w:bookmarkStart w:id="19" w:name="_Toc26651"/>
      <w:bookmarkStart w:id="20" w:name="_Toc131681868"/>
      <w:bookmarkStart w:id="21" w:name="_Toc21540"/>
      <w:r>
        <w:rPr>
          <w:rFonts w:hint="eastAsia" w:ascii="黑体" w:hAnsi="黑体" w:eastAsia="黑体" w:cs="黑体"/>
          <w:sz w:val="40"/>
          <w:szCs w:val="44"/>
        </w:rPr>
        <w:t>招标公告</w:t>
      </w:r>
      <w:bookmarkEnd w:id="11"/>
      <w:bookmarkEnd w:id="12"/>
      <w:bookmarkEnd w:id="13"/>
      <w:bookmarkEnd w:id="14"/>
      <w:bookmarkEnd w:id="15"/>
      <w:bookmarkEnd w:id="16"/>
      <w:bookmarkEnd w:id="17"/>
      <w:bookmarkEnd w:id="18"/>
      <w:bookmarkEnd w:id="19"/>
      <w:bookmarkEnd w:id="20"/>
      <w:bookmarkEnd w:id="21"/>
    </w:p>
    <w:p>
      <w:pPr>
        <w:pStyle w:val="292"/>
        <w:numPr>
          <w:ilvl w:val="0"/>
          <w:numId w:val="7"/>
        </w:numPr>
        <w:tabs>
          <w:tab w:val="right" w:leader="dot" w:pos="9061"/>
        </w:tabs>
        <w:spacing w:line="360" w:lineRule="auto"/>
        <w:ind w:firstLineChars="0"/>
        <w:jc w:val="center"/>
        <w:outlineLvl w:val="0"/>
        <w:rPr>
          <w:b/>
          <w:iCs/>
          <w:vanish/>
          <w:sz w:val="24"/>
          <w:szCs w:val="22"/>
        </w:rPr>
      </w:pPr>
      <w:bookmarkStart w:id="22" w:name="_Toc129692631"/>
      <w:bookmarkEnd w:id="22"/>
      <w:bookmarkStart w:id="23" w:name="_Toc129695594"/>
      <w:bookmarkEnd w:id="23"/>
      <w:bookmarkStart w:id="24" w:name="_Toc142572929"/>
      <w:bookmarkEnd w:id="24"/>
      <w:bookmarkStart w:id="25" w:name="_Toc129692777"/>
      <w:bookmarkEnd w:id="25"/>
      <w:bookmarkStart w:id="26" w:name="_Toc142573010"/>
      <w:bookmarkEnd w:id="26"/>
      <w:bookmarkStart w:id="27" w:name="_Toc142572964"/>
      <w:bookmarkEnd w:id="27"/>
      <w:bookmarkStart w:id="28" w:name="_Toc142573635"/>
      <w:bookmarkEnd w:id="28"/>
      <w:bookmarkStart w:id="29" w:name="_Toc142573471"/>
      <w:bookmarkEnd w:id="29"/>
      <w:bookmarkStart w:id="30" w:name="_Toc129697415"/>
      <w:bookmarkEnd w:id="30"/>
      <w:bookmarkStart w:id="31" w:name="_Toc129688947"/>
      <w:bookmarkEnd w:id="31"/>
      <w:bookmarkStart w:id="32" w:name="_Toc142573102"/>
      <w:bookmarkEnd w:id="32"/>
      <w:bookmarkStart w:id="33" w:name="_Toc129692714"/>
      <w:bookmarkEnd w:id="33"/>
      <w:bookmarkStart w:id="34" w:name="_Toc129693878"/>
      <w:bookmarkEnd w:id="34"/>
      <w:bookmarkStart w:id="35" w:name="_Toc131681869"/>
      <w:bookmarkEnd w:id="35"/>
      <w:bookmarkStart w:id="36" w:name="_Toc129693362"/>
      <w:bookmarkEnd w:id="36"/>
    </w:p>
    <w:p>
      <w:pPr>
        <w:pStyle w:val="4"/>
        <w:bidi w:val="0"/>
        <w:spacing w:line="360" w:lineRule="auto"/>
        <w:ind w:left="576" w:leftChars="0" w:hanging="576" w:firstLineChars="0"/>
        <w:rPr>
          <w:rFonts w:hint="eastAsia" w:ascii="黑体" w:hAnsi="黑体" w:eastAsia="黑体" w:cs="黑体"/>
          <w:sz w:val="28"/>
          <w:szCs w:val="28"/>
        </w:rPr>
      </w:pPr>
      <w:bookmarkStart w:id="37" w:name="_Toc31025"/>
      <w:bookmarkStart w:id="38" w:name="_Toc99"/>
      <w:bookmarkStart w:id="39" w:name="_Toc131681870"/>
      <w:bookmarkStart w:id="40" w:name="_Toc7551"/>
      <w:bookmarkStart w:id="41" w:name="_Toc27190"/>
      <w:bookmarkStart w:id="42" w:name="_Toc16782"/>
      <w:bookmarkStart w:id="43" w:name="_Toc13487"/>
      <w:bookmarkStart w:id="44" w:name="_Toc17922"/>
      <w:bookmarkStart w:id="45" w:name="_Toc12431"/>
      <w:bookmarkStart w:id="46" w:name="_Toc15920"/>
      <w:r>
        <w:rPr>
          <w:rFonts w:hint="eastAsia" w:ascii="黑体" w:hAnsi="黑体" w:eastAsia="黑体" w:cs="黑体"/>
          <w:sz w:val="28"/>
          <w:szCs w:val="28"/>
        </w:rPr>
        <w:t>项目名称及项目编号</w:t>
      </w:r>
      <w:bookmarkEnd w:id="37"/>
      <w:bookmarkEnd w:id="38"/>
      <w:bookmarkEnd w:id="39"/>
      <w:bookmarkEnd w:id="40"/>
      <w:bookmarkEnd w:id="41"/>
      <w:bookmarkEnd w:id="42"/>
      <w:bookmarkEnd w:id="43"/>
      <w:bookmarkEnd w:id="44"/>
      <w:bookmarkEnd w:id="45"/>
      <w:bookmarkEnd w:id="46"/>
    </w:p>
    <w:p>
      <w:pPr>
        <w:spacing w:line="360" w:lineRule="auto"/>
        <w:ind w:firstLine="482" w:firstLineChars="200"/>
        <w:rPr>
          <w:rFonts w:hint="default" w:ascii="宋体" w:hAnsi="宋体" w:eastAsia="宋体" w:cs="宋体"/>
          <w:color w:val="000000"/>
          <w:sz w:val="24"/>
          <w:szCs w:val="24"/>
          <w:highlight w:val="none"/>
          <w:lang w:val="en-US" w:eastAsia="zh-CN"/>
        </w:rPr>
      </w:pPr>
      <w:r>
        <w:rPr>
          <w:rFonts w:hint="eastAsia" w:ascii="宋体" w:hAnsi="宋体" w:cs="宋体"/>
          <w:b/>
          <w:bCs/>
          <w:color w:val="000000"/>
          <w:sz w:val="24"/>
          <w:szCs w:val="24"/>
        </w:rPr>
        <w:t>项目概况：</w:t>
      </w:r>
      <w:r>
        <w:rPr>
          <w:rFonts w:hint="eastAsia" w:ascii="宋体" w:hAnsi="宋体" w:cs="宋体"/>
          <w:color w:val="000000"/>
          <w:sz w:val="24"/>
          <w:szCs w:val="24"/>
          <w:highlight w:val="none"/>
          <w:lang w:val="en-US" w:eastAsia="zh-CN"/>
        </w:rPr>
        <w:t>中国重汽集团2025年商用车板车运输业务</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项目的潜在投标人应在缴纳投标保证金</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rPr>
        <w:t>从事</w:t>
      </w:r>
      <w:r>
        <w:rPr>
          <w:rFonts w:hint="eastAsia" w:asciiTheme="minorEastAsia" w:hAnsiTheme="minorEastAsia" w:eastAsiaTheme="minorEastAsia"/>
          <w:sz w:val="24"/>
          <w:szCs w:val="24"/>
          <w:highlight w:val="none"/>
          <w:lang w:val="en-US" w:eastAsia="zh-CN"/>
        </w:rPr>
        <w:t>重汽</w:t>
      </w:r>
      <w:r>
        <w:rPr>
          <w:rFonts w:hint="eastAsia" w:asciiTheme="minorEastAsia" w:hAnsiTheme="minorEastAsia" w:eastAsiaTheme="minorEastAsia"/>
          <w:sz w:val="24"/>
          <w:szCs w:val="24"/>
          <w:highlight w:val="none"/>
        </w:rPr>
        <w:t>集团内整车运输业务的可免交保证金</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rPr>
        <w:t>后通过“中国重汽e采通”（http</w:t>
      </w:r>
      <w:r>
        <w:rPr>
          <w:rFonts w:hint="eastAsia" w:asciiTheme="minorEastAsia" w:hAnsiTheme="minorEastAsia" w:eastAsiaTheme="minorEastAsia"/>
          <w:sz w:val="24"/>
          <w:szCs w:val="24"/>
          <w:highlight w:val="none"/>
          <w:lang w:val="en-US" w:eastAsia="zh-CN"/>
        </w:rPr>
        <w:t>s</w:t>
      </w:r>
      <w:r>
        <w:rPr>
          <w:rFonts w:hint="eastAsia" w:asciiTheme="minorEastAsia" w:hAnsiTheme="minorEastAsia" w:eastAsiaTheme="minorEastAsia"/>
          <w:sz w:val="24"/>
          <w:szCs w:val="24"/>
          <w:highlight w:val="none"/>
        </w:rPr>
        <w:t>://ecaitong.sinotruk.com:8012）获取招标文件，于</w:t>
      </w:r>
      <w:r>
        <w:rPr>
          <w:rFonts w:hint="eastAsia" w:asciiTheme="minorEastAsia" w:hAnsiTheme="minorEastAsia" w:eastAsiaTheme="minorEastAsia"/>
          <w:sz w:val="24"/>
          <w:szCs w:val="24"/>
          <w:highlight w:val="none"/>
          <w:lang w:eastAsia="zh-CN"/>
        </w:rPr>
        <w:t>2025</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日</w:t>
      </w:r>
      <w:r>
        <w:rPr>
          <w:rFonts w:hint="eastAsia" w:asciiTheme="minorEastAsia" w:hAnsiTheme="minorEastAsia" w:eastAsiaTheme="minorEastAsia"/>
          <w:sz w:val="24"/>
          <w:szCs w:val="24"/>
          <w:highlight w:val="none"/>
          <w:lang w:val="en-US" w:eastAsia="zh-CN"/>
        </w:rPr>
        <w:t>17:00</w:t>
      </w:r>
      <w:r>
        <w:rPr>
          <w:rFonts w:hint="eastAsia" w:asciiTheme="minorEastAsia" w:hAnsiTheme="minorEastAsia" w:eastAsiaTheme="minorEastAsia"/>
          <w:sz w:val="24"/>
          <w:szCs w:val="24"/>
          <w:highlight w:val="none"/>
        </w:rPr>
        <w:t>（北京时间）前递交投标文件。</w:t>
      </w:r>
    </w:p>
    <w:p>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项目名称：</w:t>
      </w:r>
      <w:r>
        <w:rPr>
          <w:rFonts w:hint="eastAsia" w:ascii="宋体" w:hAnsi="宋体" w:cs="宋体"/>
          <w:color w:val="000000"/>
          <w:sz w:val="24"/>
          <w:szCs w:val="24"/>
          <w:highlight w:val="none"/>
          <w:lang w:val="en-US" w:eastAsia="zh-CN"/>
        </w:rPr>
        <w:t>中国重汽集团2025年商用车板车运输项目</w:t>
      </w:r>
    </w:p>
    <w:p>
      <w:pPr>
        <w:tabs>
          <w:tab w:val="left" w:pos="3250"/>
        </w:tabs>
        <w:spacing w:line="360" w:lineRule="auto"/>
        <w:ind w:firstLine="480" w:firstLineChars="200"/>
        <w:rPr>
          <w:rFonts w:hint="default" w:ascii="宋体" w:hAnsi="宋体" w:eastAsia="宋体" w:cs="宋体"/>
          <w:kern w:val="2"/>
          <w:sz w:val="24"/>
          <w:szCs w:val="24"/>
          <w:highlight w:val="none"/>
          <w:lang w:val="en-US" w:eastAsia="zh-CN" w:bidi="ar-SA"/>
        </w:rPr>
      </w:pPr>
      <w:bookmarkStart w:id="47" w:name="_Toc21643"/>
      <w:bookmarkStart w:id="48" w:name="_Toc4550"/>
      <w:r>
        <w:rPr>
          <w:rFonts w:hint="eastAsia" w:ascii="宋体" w:hAnsi="宋体" w:eastAsia="宋体" w:cs="宋体"/>
          <w:kern w:val="2"/>
          <w:sz w:val="24"/>
          <w:szCs w:val="24"/>
          <w:highlight w:val="none"/>
          <w:lang w:val="en-US" w:eastAsia="zh-CN" w:bidi="ar-SA"/>
        </w:rPr>
        <w:t>项目编号：CGZX2025020126</w:t>
      </w:r>
    </w:p>
    <w:p>
      <w:pPr>
        <w:pStyle w:val="2"/>
        <w:spacing w:line="360" w:lineRule="auto"/>
        <w:ind w:firstLine="480"/>
        <w:jc w:val="left"/>
        <w:rPr>
          <w:rFonts w:ascii="宋体" w:hAnsi="宋体" w:cs="宋体"/>
          <w:kern w:val="2"/>
          <w:sz w:val="24"/>
          <w:szCs w:val="24"/>
          <w:highlight w:val="none"/>
        </w:rPr>
      </w:pPr>
      <w:r>
        <w:rPr>
          <w:rFonts w:hint="eastAsia" w:ascii="宋体" w:hAnsi="宋体" w:cs="宋体"/>
          <w:kern w:val="2"/>
          <w:sz w:val="24"/>
          <w:szCs w:val="24"/>
          <w:highlight w:val="none"/>
        </w:rPr>
        <w:t>报名方式：通过注册登陆“中国重汽e采通”进行投标。</w:t>
      </w:r>
    </w:p>
    <w:p>
      <w:pPr>
        <w:pStyle w:val="2"/>
        <w:spacing w:line="360" w:lineRule="auto"/>
        <w:ind w:firstLine="480"/>
        <w:jc w:val="left"/>
        <w:rPr>
          <w:rFonts w:ascii="宋体" w:hAnsi="宋体" w:cs="宋体"/>
          <w:sz w:val="24"/>
          <w:szCs w:val="24"/>
          <w:highlight w:val="none"/>
        </w:rPr>
      </w:pPr>
      <w:r>
        <w:rPr>
          <w:rFonts w:hint="eastAsia" w:ascii="宋体" w:hAnsi="宋体" w:cs="宋体"/>
          <w:kern w:val="2"/>
          <w:sz w:val="24"/>
          <w:szCs w:val="24"/>
          <w:highlight w:val="none"/>
        </w:rPr>
        <w:t>登陆网址：</w:t>
      </w:r>
      <w:r>
        <w:rPr>
          <w:highlight w:val="none"/>
        </w:rPr>
        <w:fldChar w:fldCharType="begin"/>
      </w:r>
      <w:r>
        <w:rPr>
          <w:highlight w:val="none"/>
        </w:rPr>
        <w:instrText xml:space="preserve"> HYPERLINK "http://ecaitong.sinotruk.com:8012（投标人注册完成审批后，于2023年4月13日17:00前在" </w:instrText>
      </w:r>
      <w:r>
        <w:rPr>
          <w:highlight w:val="none"/>
        </w:rPr>
        <w:fldChar w:fldCharType="separate"/>
      </w:r>
      <w:r>
        <w:rPr>
          <w:rStyle w:val="131"/>
          <w:rFonts w:hint="eastAsia" w:ascii="宋体" w:hAnsi="宋体" w:cs="宋体"/>
          <w:color w:val="auto"/>
          <w:kern w:val="2"/>
          <w:sz w:val="24"/>
          <w:szCs w:val="24"/>
          <w:highlight w:val="none"/>
        </w:rPr>
        <w:t>http</w:t>
      </w:r>
      <w:r>
        <w:rPr>
          <w:rStyle w:val="131"/>
          <w:rFonts w:hint="eastAsia" w:ascii="宋体" w:hAnsi="宋体" w:cs="宋体"/>
          <w:color w:val="auto"/>
          <w:kern w:val="2"/>
          <w:sz w:val="24"/>
          <w:szCs w:val="24"/>
          <w:highlight w:val="none"/>
          <w:lang w:val="en-US" w:eastAsia="zh-CN"/>
        </w:rPr>
        <w:t>s</w:t>
      </w:r>
      <w:r>
        <w:rPr>
          <w:rStyle w:val="131"/>
          <w:rFonts w:hint="eastAsia" w:ascii="宋体" w:hAnsi="宋体" w:cs="宋体"/>
          <w:color w:val="auto"/>
          <w:kern w:val="2"/>
          <w:sz w:val="24"/>
          <w:szCs w:val="24"/>
          <w:highlight w:val="none"/>
        </w:rPr>
        <w:t>://ecaitong.sinotruk.com:8012（投标人注册完成审批后，</w:t>
      </w:r>
      <w:r>
        <w:rPr>
          <w:rStyle w:val="131"/>
          <w:rFonts w:hint="eastAsia" w:ascii="宋体" w:hAnsi="宋体" w:cs="宋体"/>
          <w:color w:val="auto"/>
          <w:sz w:val="24"/>
          <w:szCs w:val="24"/>
          <w:highlight w:val="none"/>
        </w:rPr>
        <w:t>于</w:t>
      </w:r>
      <w:r>
        <w:rPr>
          <w:rStyle w:val="131"/>
          <w:rFonts w:hint="eastAsia" w:ascii="宋体" w:hAnsi="宋体" w:cs="宋体"/>
          <w:color w:val="auto"/>
          <w:sz w:val="24"/>
          <w:szCs w:val="24"/>
          <w:highlight w:val="none"/>
          <w:lang w:eastAsia="zh-CN"/>
        </w:rPr>
        <w:t>2025</w:t>
      </w:r>
      <w:r>
        <w:rPr>
          <w:rStyle w:val="131"/>
          <w:rFonts w:hint="eastAsia" w:ascii="宋体" w:hAnsi="宋体" w:cs="宋体"/>
          <w:color w:val="auto"/>
          <w:sz w:val="24"/>
          <w:szCs w:val="24"/>
          <w:highlight w:val="none"/>
        </w:rPr>
        <w:t>年</w:t>
      </w:r>
      <w:r>
        <w:rPr>
          <w:rStyle w:val="131"/>
          <w:rFonts w:hint="eastAsia" w:ascii="宋体" w:hAnsi="宋体" w:cs="宋体"/>
          <w:color w:val="auto"/>
          <w:sz w:val="24"/>
          <w:szCs w:val="24"/>
          <w:highlight w:val="none"/>
          <w:lang w:val="en-US" w:eastAsia="zh-CN"/>
        </w:rPr>
        <w:t>3月5</w:t>
      </w:r>
      <w:r>
        <w:rPr>
          <w:rStyle w:val="131"/>
          <w:rFonts w:hint="eastAsia" w:ascii="宋体" w:hAnsi="宋体" w:cs="宋体"/>
          <w:color w:val="auto"/>
          <w:sz w:val="24"/>
          <w:szCs w:val="24"/>
          <w:highlight w:val="none"/>
        </w:rPr>
        <w:t>日1</w:t>
      </w:r>
      <w:r>
        <w:rPr>
          <w:rStyle w:val="131"/>
          <w:rFonts w:hint="eastAsia" w:ascii="宋体" w:hAnsi="宋体" w:cs="宋体"/>
          <w:color w:val="auto"/>
          <w:sz w:val="24"/>
          <w:szCs w:val="24"/>
          <w:highlight w:val="none"/>
          <w:lang w:val="en-US" w:eastAsia="zh-CN"/>
        </w:rPr>
        <w:t>2</w:t>
      </w:r>
      <w:r>
        <w:rPr>
          <w:rStyle w:val="131"/>
          <w:rFonts w:hint="eastAsia" w:ascii="宋体" w:hAnsi="宋体" w:cs="宋体"/>
          <w:color w:val="auto"/>
          <w:sz w:val="24"/>
          <w:szCs w:val="24"/>
          <w:highlight w:val="none"/>
        </w:rPr>
        <w:t>:00前在“中国重汽e采通”招投标中心非生产类招投标点击“供应商应标”，逾期系统自动关闭应标）。</w:t>
      </w:r>
      <w:r>
        <w:rPr>
          <w:rStyle w:val="131"/>
          <w:rFonts w:hint="eastAsia" w:ascii="宋体" w:hAnsi="宋体" w:cs="宋体"/>
          <w:color w:val="auto"/>
          <w:sz w:val="24"/>
          <w:szCs w:val="24"/>
          <w:highlight w:val="none"/>
        </w:rPr>
        <w:fldChar w:fldCharType="end"/>
      </w:r>
    </w:p>
    <w:p>
      <w:pPr>
        <w:spacing w:line="360" w:lineRule="auto"/>
        <w:ind w:firstLine="420" w:firstLineChars="200"/>
      </w:pPr>
      <w:r>
        <w:rPr>
          <w:rFonts w:hint="eastAsia"/>
        </w:rPr>
        <w:t xml:space="preserve"> </w:t>
      </w:r>
      <w:r>
        <w:rPr>
          <w:rFonts w:hint="eastAsia" w:ascii="宋体" w:hAnsi="宋体" w:cs="宋体"/>
          <w:sz w:val="24"/>
          <w:szCs w:val="24"/>
        </w:rPr>
        <w:t>供应商应标须上传资料：营业执照、道路运输许可证、投标保证金缴纳凭证</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rPr>
        <w:t>从事</w:t>
      </w:r>
      <w:r>
        <w:rPr>
          <w:rFonts w:hint="eastAsia" w:asciiTheme="minorEastAsia" w:hAnsiTheme="minorEastAsia" w:eastAsiaTheme="minorEastAsia"/>
          <w:sz w:val="24"/>
          <w:szCs w:val="24"/>
          <w:highlight w:val="none"/>
          <w:lang w:val="en-US" w:eastAsia="zh-CN"/>
        </w:rPr>
        <w:t>重汽</w:t>
      </w:r>
      <w:r>
        <w:rPr>
          <w:rFonts w:hint="eastAsia" w:asciiTheme="minorEastAsia" w:hAnsiTheme="minorEastAsia" w:eastAsiaTheme="minorEastAsia"/>
          <w:sz w:val="24"/>
          <w:szCs w:val="24"/>
          <w:highlight w:val="none"/>
        </w:rPr>
        <w:t>集团内整车运输业务的可免交保证金</w:t>
      </w:r>
      <w:r>
        <w:rPr>
          <w:rFonts w:hint="eastAsia" w:asciiTheme="minorEastAsia" w:hAnsiTheme="minorEastAsia" w:eastAsiaTheme="minorEastAsia"/>
          <w:sz w:val="24"/>
          <w:szCs w:val="24"/>
          <w:highlight w:val="none"/>
          <w:lang w:eastAsia="zh-CN"/>
        </w:rPr>
        <w:t>）</w:t>
      </w:r>
      <w:r>
        <w:rPr>
          <w:rFonts w:hint="eastAsia" w:ascii="宋体" w:hAnsi="宋体" w:cs="宋体"/>
          <w:sz w:val="24"/>
          <w:szCs w:val="24"/>
        </w:rPr>
        <w:t>、三年财务报表（成立不足三年的上传成立以来的财务报表）。</w:t>
      </w:r>
    </w:p>
    <w:p>
      <w:pPr>
        <w:pStyle w:val="4"/>
        <w:bidi w:val="0"/>
        <w:ind w:left="576" w:leftChars="0" w:hanging="576" w:firstLineChars="0"/>
        <w:rPr>
          <w:rFonts w:hint="eastAsia" w:ascii="黑体" w:hAnsi="黑体" w:eastAsia="黑体" w:cs="黑体"/>
          <w:sz w:val="28"/>
          <w:szCs w:val="28"/>
          <w:highlight w:val="none"/>
        </w:rPr>
      </w:pPr>
      <w:bookmarkStart w:id="49" w:name="_Toc131681871"/>
      <w:bookmarkStart w:id="50" w:name="_Toc21396"/>
      <w:bookmarkStart w:id="51" w:name="_Toc22547"/>
      <w:bookmarkStart w:id="52" w:name="_Toc21690"/>
      <w:bookmarkStart w:id="53" w:name="_Toc4826"/>
      <w:bookmarkStart w:id="54" w:name="_Toc30019"/>
      <w:bookmarkStart w:id="55" w:name="_Toc696"/>
      <w:bookmarkStart w:id="56" w:name="_Toc32700"/>
      <w:r>
        <w:rPr>
          <w:rFonts w:hint="eastAsia" w:ascii="黑体" w:hAnsi="黑体" w:eastAsia="黑体" w:cs="黑体"/>
          <w:sz w:val="28"/>
          <w:szCs w:val="28"/>
        </w:rPr>
        <w:t>招标形</w:t>
      </w:r>
      <w:r>
        <w:rPr>
          <w:rFonts w:hint="eastAsia" w:ascii="黑体" w:hAnsi="黑体" w:eastAsia="黑体" w:cs="黑体"/>
          <w:sz w:val="28"/>
          <w:szCs w:val="28"/>
          <w:highlight w:val="none"/>
        </w:rPr>
        <w:t>式：</w:t>
      </w:r>
      <w:bookmarkEnd w:id="47"/>
      <w:bookmarkEnd w:id="48"/>
      <w:bookmarkEnd w:id="49"/>
      <w:bookmarkEnd w:id="50"/>
      <w:r>
        <w:rPr>
          <w:rFonts w:hint="eastAsia" w:ascii="黑体" w:hAnsi="黑体" w:eastAsia="黑体" w:cs="黑体"/>
          <w:sz w:val="28"/>
          <w:szCs w:val="28"/>
          <w:highlight w:val="none"/>
          <w:lang w:val="en-US" w:eastAsia="zh-CN"/>
        </w:rPr>
        <w:t>公开招标</w:t>
      </w:r>
      <w:bookmarkEnd w:id="51"/>
      <w:bookmarkEnd w:id="52"/>
      <w:bookmarkEnd w:id="53"/>
      <w:bookmarkEnd w:id="54"/>
      <w:bookmarkEnd w:id="55"/>
      <w:bookmarkEnd w:id="56"/>
    </w:p>
    <w:p>
      <w:pPr>
        <w:pStyle w:val="4"/>
        <w:bidi w:val="0"/>
        <w:ind w:left="576" w:leftChars="0" w:hanging="576" w:firstLineChars="0"/>
        <w:rPr>
          <w:rFonts w:hint="eastAsia" w:ascii="黑体" w:hAnsi="黑体" w:eastAsia="黑体" w:cs="黑体"/>
          <w:sz w:val="28"/>
          <w:szCs w:val="28"/>
          <w:highlight w:val="none"/>
        </w:rPr>
      </w:pPr>
      <w:bookmarkStart w:id="57" w:name="_Toc23105"/>
      <w:bookmarkStart w:id="58" w:name="_Toc16079"/>
      <w:bookmarkStart w:id="59" w:name="_Toc9824"/>
      <w:bookmarkStart w:id="60" w:name="_Toc2177"/>
      <w:bookmarkStart w:id="61" w:name="_Toc7702"/>
      <w:bookmarkStart w:id="62" w:name="_Toc131681872"/>
      <w:bookmarkStart w:id="63" w:name="_Toc7478"/>
      <w:bookmarkStart w:id="64" w:name="_Toc19988"/>
      <w:bookmarkStart w:id="65" w:name="_Toc22551"/>
      <w:bookmarkStart w:id="66" w:name="_Toc30004"/>
      <w:r>
        <w:rPr>
          <w:rFonts w:hint="eastAsia" w:ascii="黑体" w:hAnsi="黑体" w:eastAsia="黑体" w:cs="黑体"/>
          <w:sz w:val="28"/>
          <w:szCs w:val="28"/>
          <w:highlight w:val="none"/>
        </w:rPr>
        <w:t>投标人资格要求</w:t>
      </w:r>
      <w:bookmarkEnd w:id="57"/>
      <w:bookmarkEnd w:id="58"/>
      <w:bookmarkEnd w:id="59"/>
      <w:bookmarkEnd w:id="60"/>
      <w:bookmarkEnd w:id="61"/>
      <w:bookmarkEnd w:id="62"/>
      <w:bookmarkEnd w:id="63"/>
      <w:bookmarkEnd w:id="64"/>
      <w:bookmarkEnd w:id="65"/>
      <w:bookmarkEnd w:id="66"/>
    </w:p>
    <w:p>
      <w:pPr>
        <w:spacing w:line="360" w:lineRule="auto"/>
        <w:ind w:firstLine="480" w:firstLineChars="200"/>
        <w:rPr>
          <w:rFonts w:ascii="宋体" w:hAnsi="宋体" w:cs="宋体"/>
          <w:sz w:val="24"/>
          <w:szCs w:val="24"/>
          <w:highlight w:val="none"/>
        </w:rPr>
      </w:pPr>
      <w:r>
        <w:rPr>
          <w:rFonts w:hint="eastAsia" w:ascii="宋体" w:hAnsi="宋体" w:cs="宋体"/>
          <w:color w:val="000000"/>
          <w:sz w:val="24"/>
          <w:szCs w:val="24"/>
          <w:highlight w:val="none"/>
        </w:rPr>
        <w:t>1</w:t>
      </w:r>
      <w:r>
        <w:rPr>
          <w:rFonts w:hint="eastAsia" w:ascii="宋体" w:hAnsi="宋体" w:cs="宋体"/>
          <w:sz w:val="24"/>
          <w:szCs w:val="24"/>
          <w:highlight w:val="none"/>
        </w:rPr>
        <w:t>.符合以下条件的投标人即为合格的投标人，合格的投标人将具有参与评审的资格。</w:t>
      </w:r>
    </w:p>
    <w:p>
      <w:pPr>
        <w:spacing w:line="360" w:lineRule="auto"/>
        <w:ind w:firstLine="480" w:firstLineChars="200"/>
        <w:rPr>
          <w:rFonts w:ascii="宋体" w:hAnsi="宋体" w:cs="宋体"/>
          <w:sz w:val="24"/>
          <w:szCs w:val="24"/>
          <w:highlight w:val="none"/>
        </w:rPr>
      </w:pPr>
      <w:bookmarkStart w:id="67" w:name="_Toc129697429"/>
      <w:r>
        <w:rPr>
          <w:rFonts w:hint="eastAsia" w:ascii="宋体" w:hAnsi="宋体" w:cs="宋体"/>
          <w:color w:val="000000"/>
          <w:sz w:val="24"/>
          <w:szCs w:val="24"/>
          <w:highlight w:val="none"/>
        </w:rPr>
        <w:t>（1）投标人须遵守《中华人民共和国招标投标法》、《中华人民共和国民法典》及其它有关的法律和法规；为中华人民共和国境内注册的独立法人机构，具有独立承担民事责任的能力；经营范围满足竞价项目需求；</w:t>
      </w:r>
    </w:p>
    <w:p>
      <w:pPr>
        <w:spacing w:line="360" w:lineRule="auto"/>
        <w:ind w:firstLine="480" w:firstLineChars="200"/>
        <w:rPr>
          <w:rFonts w:hint="eastAsia" w:eastAsia="宋体"/>
          <w:lang w:val="en-US" w:eastAsia="zh-CN"/>
        </w:rPr>
      </w:pPr>
      <w:r>
        <w:rPr>
          <w:rFonts w:hint="eastAsia" w:ascii="宋体" w:hAnsi="宋体" w:cs="宋体"/>
          <w:color w:val="000000"/>
          <w:sz w:val="24"/>
          <w:szCs w:val="24"/>
          <w:highlight w:val="none"/>
        </w:rPr>
        <w:t>（2）注册资金不少于</w:t>
      </w:r>
      <w:r>
        <w:rPr>
          <w:rFonts w:hint="eastAsia" w:ascii="宋体" w:hAnsi="宋体" w:cs="宋体"/>
          <w:color w:val="000000"/>
          <w:sz w:val="24"/>
          <w:szCs w:val="24"/>
          <w:highlight w:val="none"/>
          <w:lang w:val="en-US" w:eastAsia="zh-CN"/>
        </w:rPr>
        <w:t>10</w:t>
      </w:r>
      <w:r>
        <w:rPr>
          <w:rFonts w:hint="eastAsia" w:ascii="宋体" w:hAnsi="宋体" w:cs="宋体"/>
          <w:color w:val="000000"/>
          <w:sz w:val="24"/>
          <w:szCs w:val="24"/>
          <w:highlight w:val="none"/>
        </w:rPr>
        <w:t>00万，投</w:t>
      </w:r>
      <w:r>
        <w:rPr>
          <w:rFonts w:hint="eastAsia" w:ascii="宋体" w:hAnsi="宋体" w:cs="宋体"/>
          <w:color w:val="000000"/>
          <w:sz w:val="24"/>
          <w:szCs w:val="24"/>
        </w:rPr>
        <w:t>标人须于投标时提供具有统一社会信用代码的</w:t>
      </w:r>
      <w:r>
        <w:rPr>
          <w:rFonts w:hint="eastAsia" w:ascii="宋体" w:hAnsi="宋体" w:cs="宋体"/>
          <w:color w:val="000000"/>
          <w:sz w:val="24"/>
          <w:szCs w:val="24"/>
          <w:lang w:val="en-US" w:eastAsia="zh-CN"/>
        </w:rPr>
        <w:t>三证合一的</w:t>
      </w:r>
      <w:r>
        <w:rPr>
          <w:rFonts w:hint="eastAsia" w:ascii="宋体" w:hAnsi="宋体" w:cs="宋体"/>
          <w:color w:val="000000"/>
          <w:sz w:val="24"/>
          <w:szCs w:val="24"/>
        </w:rPr>
        <w:t>营业执照副本原件</w:t>
      </w:r>
      <w:r>
        <w:rPr>
          <w:rFonts w:hint="eastAsia" w:ascii="宋体" w:hAnsi="宋体" w:cs="宋体"/>
          <w:color w:val="000000"/>
          <w:sz w:val="24"/>
          <w:szCs w:val="24"/>
          <w:lang w:val="en-US" w:eastAsia="zh-CN"/>
        </w:rPr>
        <w:t>及</w:t>
      </w:r>
      <w:r>
        <w:rPr>
          <w:rFonts w:hint="eastAsia" w:ascii="宋体" w:hAnsi="宋体" w:cs="宋体"/>
          <w:color w:val="000000"/>
          <w:sz w:val="24"/>
          <w:szCs w:val="24"/>
        </w:rPr>
        <w:t>复印件(加盖公章)；</w:t>
      </w:r>
    </w:p>
    <w:p>
      <w:pPr>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投标人必须具有大型物件运输资质,并至少20台自有运力（10台超限运输车辆、10台常规车辆）。</w:t>
      </w:r>
    </w:p>
    <w:p>
      <w:pPr>
        <w:spacing w:line="36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w:t>
      </w:r>
      <w:r>
        <w:rPr>
          <w:rFonts w:hint="eastAsia" w:ascii="宋体" w:hAnsi="宋体" w:cs="宋体"/>
          <w:color w:val="000000"/>
          <w:sz w:val="24"/>
          <w:szCs w:val="24"/>
        </w:rPr>
        <w:t>投标人需提供</w:t>
      </w:r>
      <w:r>
        <w:rPr>
          <w:rFonts w:hint="eastAsia" w:ascii="宋体" w:hAnsi="宋体" w:cs="宋体"/>
          <w:color w:val="000000"/>
          <w:sz w:val="24"/>
          <w:szCs w:val="24"/>
          <w:lang w:eastAsia="zh-CN"/>
        </w:rPr>
        <w:t>：</w:t>
      </w:r>
    </w:p>
    <w:p>
      <w:pPr>
        <w:spacing w:line="360" w:lineRule="auto"/>
        <w:ind w:firstLine="480" w:firstLineChars="200"/>
        <w:rPr>
          <w:rFonts w:hint="eastAsia" w:ascii="宋体" w:hAnsi="宋体" w:eastAsia="宋体" w:cs="宋体"/>
          <w:i w:val="0"/>
          <w:iCs w:val="0"/>
          <w:caps w:val="0"/>
          <w:color w:val="000000"/>
          <w:spacing w:val="0"/>
          <w:sz w:val="24"/>
          <w:szCs w:val="24"/>
          <w:shd w:val="clear"/>
          <w:lang w:eastAsia="zh-CN"/>
        </w:rPr>
      </w:pPr>
      <w:r>
        <w:rPr>
          <w:rFonts w:hint="eastAsia" w:ascii="宋体" w:hAnsi="宋体" w:eastAsia="宋体" w:cs="宋体"/>
          <w:color w:val="000000"/>
          <w:sz w:val="24"/>
          <w:szCs w:val="24"/>
          <w:lang w:val="en-US" w:eastAsia="zh-CN"/>
        </w:rPr>
        <w:t>①</w:t>
      </w:r>
      <w:r>
        <w:rPr>
          <w:rFonts w:hint="eastAsia" w:ascii="宋体" w:hAnsi="宋体" w:eastAsia="宋体" w:cs="宋体"/>
          <w:color w:val="000000"/>
          <w:sz w:val="24"/>
          <w:szCs w:val="24"/>
        </w:rPr>
        <w:t>《道路运输经营许可证》原件及复印件(加盖公章)，并保证行政许可在有效期内；</w:t>
      </w:r>
    </w:p>
    <w:p>
      <w:pPr>
        <w:widowControl w:val="0"/>
        <w:numPr>
          <w:ilvl w:val="0"/>
          <w:numId w:val="0"/>
        </w:numPr>
        <w:spacing w:line="360" w:lineRule="auto"/>
        <w:ind w:left="0" w:leftChars="0" w:firstLine="480" w:firstLineChars="200"/>
        <w:jc w:val="both"/>
        <w:rPr>
          <w:rFonts w:hint="eastAsia" w:ascii="宋体" w:hAnsi="宋体" w:eastAsia="宋体" w:cs="宋体"/>
          <w:kern w:val="2"/>
          <w:sz w:val="24"/>
          <w:szCs w:val="24"/>
          <w:lang w:eastAsia="zh-CN"/>
        </w:rPr>
      </w:pPr>
      <w:r>
        <w:rPr>
          <w:rFonts w:hint="eastAsia" w:ascii="宋体" w:hAnsi="宋体" w:cs="宋体"/>
          <w:kern w:val="2"/>
          <w:sz w:val="24"/>
          <w:szCs w:val="24"/>
          <w:lang w:val="en-US" w:eastAsia="zh-CN"/>
        </w:rPr>
        <w:t>②</w:t>
      </w:r>
      <w:r>
        <w:rPr>
          <w:rFonts w:hint="eastAsia" w:ascii="宋体" w:hAnsi="宋体" w:eastAsia="宋体" w:cs="宋体"/>
          <w:kern w:val="2"/>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r>
        <w:rPr>
          <w:rFonts w:hint="eastAsia" w:ascii="宋体" w:hAnsi="宋体" w:cs="宋体"/>
          <w:kern w:val="2"/>
          <w:sz w:val="24"/>
          <w:szCs w:val="24"/>
          <w:lang w:eastAsia="zh-CN"/>
        </w:rPr>
        <w:t>；</w:t>
      </w:r>
    </w:p>
    <w:p>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cs="宋体"/>
          <w:kern w:val="2"/>
          <w:sz w:val="24"/>
          <w:szCs w:val="24"/>
          <w:lang w:val="en-US" w:eastAsia="zh-CN"/>
        </w:rPr>
        <w:t>③</w:t>
      </w:r>
      <w:r>
        <w:rPr>
          <w:rFonts w:hint="eastAsia" w:ascii="宋体" w:hAnsi="宋体" w:eastAsia="宋体" w:cs="宋体"/>
          <w:kern w:val="2"/>
          <w:sz w:val="24"/>
          <w:szCs w:val="24"/>
        </w:rPr>
        <w:t xml:space="preserve">应提供中文版本的审计报告或财务报表； </w:t>
      </w:r>
    </w:p>
    <w:p>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cs="宋体"/>
          <w:kern w:val="2"/>
          <w:sz w:val="24"/>
          <w:szCs w:val="24"/>
          <w:lang w:val="en-US" w:eastAsia="zh-CN"/>
        </w:rPr>
        <w:t>④</w:t>
      </w:r>
      <w:r>
        <w:rPr>
          <w:rFonts w:hint="eastAsia" w:ascii="宋体" w:hAnsi="宋体" w:eastAsia="宋体" w:cs="宋体"/>
          <w:kern w:val="2"/>
          <w:sz w:val="24"/>
          <w:szCs w:val="24"/>
        </w:rPr>
        <w:t xml:space="preserve">企业最近半年完税证明、信用证明材料（中国人民银行信用代码证+征信报告）； </w:t>
      </w:r>
    </w:p>
    <w:p>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cs="宋体"/>
          <w:kern w:val="2"/>
          <w:sz w:val="24"/>
          <w:szCs w:val="24"/>
          <w:lang w:val="en-US" w:eastAsia="zh-CN"/>
        </w:rPr>
        <w:t>⑤</w:t>
      </w:r>
      <w:r>
        <w:rPr>
          <w:rFonts w:hint="eastAsia" w:ascii="宋体" w:hAnsi="宋体" w:eastAsia="宋体" w:cs="宋体"/>
          <w:kern w:val="2"/>
          <w:sz w:val="24"/>
          <w:szCs w:val="24"/>
        </w:rPr>
        <w:t xml:space="preserve">年度纳税信用评价信息（可从电子税务局查询截图，需加盖公章）； </w:t>
      </w:r>
    </w:p>
    <w:p>
      <w:pPr>
        <w:widowControl w:val="0"/>
        <w:numPr>
          <w:ilvl w:val="0"/>
          <w:numId w:val="0"/>
        </w:numPr>
        <w:spacing w:line="360" w:lineRule="auto"/>
        <w:ind w:firstLine="480" w:firstLineChars="200"/>
        <w:jc w:val="both"/>
        <w:rPr>
          <w:rFonts w:hint="eastAsia" w:ascii="宋体" w:hAnsi="宋体" w:eastAsia="宋体" w:cs="宋体"/>
          <w:kern w:val="2"/>
          <w:sz w:val="24"/>
          <w:szCs w:val="24"/>
          <w:lang w:eastAsia="zh-CN"/>
        </w:rPr>
      </w:pPr>
      <w:r>
        <w:rPr>
          <w:rFonts w:hint="eastAsia" w:ascii="宋体" w:hAnsi="宋体" w:cs="宋体"/>
          <w:kern w:val="2"/>
          <w:sz w:val="24"/>
          <w:szCs w:val="24"/>
          <w:lang w:val="en-US" w:eastAsia="zh-CN"/>
        </w:rPr>
        <w:t>⑥</w:t>
      </w:r>
      <w:r>
        <w:rPr>
          <w:rFonts w:hint="eastAsia" w:ascii="宋体" w:hAnsi="宋体" w:eastAsia="宋体" w:cs="宋体"/>
          <w:kern w:val="2"/>
          <w:sz w:val="24"/>
          <w:szCs w:val="24"/>
        </w:rPr>
        <w:t>企业对外担保说明（写明贵单位对外有无对外担保和质押业务，需加盖公章）</w:t>
      </w:r>
      <w:r>
        <w:rPr>
          <w:rFonts w:hint="eastAsia" w:ascii="宋体" w:hAnsi="宋体" w:eastAsia="宋体" w:cs="宋体"/>
          <w:kern w:val="2"/>
          <w:sz w:val="24"/>
          <w:szCs w:val="24"/>
          <w:lang w:eastAsia="zh-CN"/>
        </w:rPr>
        <w:t>；</w:t>
      </w:r>
    </w:p>
    <w:p>
      <w:pPr>
        <w:pStyle w:val="2"/>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w:t>
      </w:r>
      <w:r>
        <w:rPr>
          <w:rFonts w:hint="eastAsia" w:ascii="宋体" w:hAnsi="宋体" w:cs="宋体"/>
          <w:color w:val="000000"/>
          <w:kern w:val="2"/>
          <w:sz w:val="24"/>
          <w:szCs w:val="24"/>
          <w:lang w:val="en-US" w:eastAsia="zh-CN" w:bidi="ar-SA"/>
        </w:rPr>
        <w:t>5</w:t>
      </w:r>
      <w:r>
        <w:rPr>
          <w:rFonts w:hint="eastAsia" w:ascii="宋体" w:hAnsi="宋体" w:eastAsia="宋体" w:cs="宋体"/>
          <w:color w:val="000000"/>
          <w:kern w:val="2"/>
          <w:sz w:val="24"/>
          <w:szCs w:val="24"/>
          <w:lang w:val="en-US" w:eastAsia="zh-CN" w:bidi="ar-SA"/>
        </w:rPr>
        <w:t>）投标人须确保具有良好的商业信</w:t>
      </w:r>
      <w:r>
        <w:rPr>
          <w:rFonts w:hint="eastAsia" w:ascii="宋体" w:hAnsi="宋体" w:eastAsia="宋体" w:cs="宋体"/>
          <w:color w:val="000000"/>
          <w:kern w:val="2"/>
          <w:sz w:val="24"/>
          <w:szCs w:val="24"/>
          <w:highlight w:val="none"/>
          <w:lang w:val="en-US" w:eastAsia="zh-CN" w:bidi="ar-SA"/>
        </w:rPr>
        <w:t>誉和诚实的职业道德，</w:t>
      </w:r>
      <w:r>
        <w:rPr>
          <w:rFonts w:hint="eastAsia" w:ascii="宋体" w:hAnsi="宋体" w:eastAsia="宋体" w:cs="宋体"/>
          <w:color w:val="000000"/>
          <w:sz w:val="24"/>
          <w:szCs w:val="24"/>
          <w:highlight w:val="none"/>
        </w:rPr>
        <w:t>在近三年内或成立以来在经营活动中无重大违法、违规的不良记录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kern w:val="2"/>
          <w:sz w:val="24"/>
          <w:szCs w:val="24"/>
          <w:highlight w:val="none"/>
          <w:lang w:val="en-US" w:eastAsia="zh-CN" w:bidi="ar-SA"/>
        </w:rPr>
        <w:t>在国家企业信用信息公示系统中无行政处罚、列入经营异常名录和列入严重违法失信企业名单（黑名单）信息或上述信息已被移除的声明；</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）投标人竞价承运商应能提供其正在或曾经从事过类似相关行业产品或服务经历的从业证明（可使用正在或曾经从事过的服务合同文本原件或复印件加盖公章加以证明）；</w:t>
      </w:r>
    </w:p>
    <w:p>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具有健全的财务会计制度，财务状况和市场行为良好。没有处于被有权机关吊销营业执照、吊销资质、停业整顿、取消投标资格以及财产被接管、冻结或进入破产程序等，资信良好；</w:t>
      </w:r>
    </w:p>
    <w:p>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8）投标人在以往的招投标活动中没有违纪、违规、违约等不良行为，</w:t>
      </w:r>
      <w:r>
        <w:rPr>
          <w:rFonts w:hint="eastAsia" w:ascii="宋体" w:hAnsi="宋体" w:eastAsia="宋体" w:cs="宋体"/>
          <w:color w:val="000000"/>
          <w:sz w:val="24"/>
          <w:szCs w:val="24"/>
        </w:rPr>
        <w:t>没有被列入相关</w:t>
      </w:r>
      <w:r>
        <w:rPr>
          <w:rFonts w:hint="eastAsia" w:ascii="宋体" w:hAnsi="宋体" w:cs="宋体"/>
          <w:color w:val="000000"/>
          <w:sz w:val="24"/>
          <w:szCs w:val="24"/>
          <w:lang w:eastAsia="zh-CN"/>
        </w:rPr>
        <w:t>权属单位</w:t>
      </w:r>
      <w:r>
        <w:rPr>
          <w:rFonts w:hint="eastAsia" w:ascii="宋体" w:hAnsi="宋体" w:eastAsia="宋体" w:cs="宋体"/>
          <w:color w:val="000000"/>
          <w:sz w:val="24"/>
          <w:szCs w:val="24"/>
        </w:rPr>
        <w:t>（业务单位）处《黑名单》（《黑名单》指竞价承运商与相关</w:t>
      </w:r>
      <w:r>
        <w:rPr>
          <w:rFonts w:hint="eastAsia" w:ascii="宋体" w:hAnsi="宋体" w:cs="宋体"/>
          <w:color w:val="000000"/>
          <w:sz w:val="24"/>
          <w:szCs w:val="24"/>
          <w:lang w:eastAsia="zh-CN"/>
        </w:rPr>
        <w:t>权属单位</w:t>
      </w:r>
      <w:r>
        <w:rPr>
          <w:rFonts w:hint="eastAsia" w:ascii="宋体" w:hAnsi="宋体" w:eastAsia="宋体" w:cs="宋体"/>
          <w:color w:val="000000"/>
          <w:sz w:val="24"/>
          <w:szCs w:val="24"/>
        </w:rPr>
        <w:t>（业务单位）在以往或正在进行的合作中，存在相关</w:t>
      </w:r>
      <w:r>
        <w:rPr>
          <w:rFonts w:hint="eastAsia" w:ascii="宋体" w:hAnsi="宋体" w:cs="宋体"/>
          <w:color w:val="000000"/>
          <w:sz w:val="24"/>
          <w:szCs w:val="24"/>
          <w:lang w:eastAsia="zh-CN"/>
        </w:rPr>
        <w:t>权属单位</w:t>
      </w:r>
      <w:r>
        <w:rPr>
          <w:rFonts w:hint="eastAsia" w:ascii="宋体" w:hAnsi="宋体" w:eastAsia="宋体" w:cs="宋体"/>
          <w:color w:val="000000"/>
          <w:sz w:val="24"/>
          <w:szCs w:val="24"/>
        </w:rPr>
        <w:t>（业务单位）认为的违反合同约定或违反法律法规等的失信行为）的；</w:t>
      </w:r>
    </w:p>
    <w:p>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9）投标人</w:t>
      </w:r>
      <w:r>
        <w:rPr>
          <w:rFonts w:hint="eastAsia" w:ascii="宋体" w:hAnsi="宋体" w:eastAsia="宋体" w:cs="宋体"/>
          <w:color w:val="000000"/>
          <w:sz w:val="24"/>
          <w:szCs w:val="24"/>
        </w:rPr>
        <w:t>须提供法人授权委托书原件（在投标文件副本中可用复印件并加盖公章）及投标单位的法定代表人或授权代表的身份证原件；法人到场的，提供法定代表人身份证；</w:t>
      </w:r>
    </w:p>
    <w:p>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10）投标人</w:t>
      </w:r>
      <w:r>
        <w:rPr>
          <w:rFonts w:hint="eastAsia" w:ascii="宋体" w:hAnsi="宋体" w:eastAsia="宋体" w:cs="宋体"/>
          <w:color w:val="000000"/>
          <w:sz w:val="24"/>
          <w:szCs w:val="24"/>
        </w:rPr>
        <w:t>须具有履行合同所必须的设备、财务、技术、服务等方面的资质和能力，并具有以</w:t>
      </w:r>
      <w:r>
        <w:rPr>
          <w:rFonts w:hint="eastAsia" w:ascii="宋体" w:hAnsi="宋体" w:cs="宋体"/>
          <w:color w:val="000000"/>
          <w:sz w:val="24"/>
          <w:szCs w:val="24"/>
          <w:lang w:val="en-US" w:eastAsia="zh-CN"/>
        </w:rPr>
        <w:t>投标人</w:t>
      </w:r>
      <w:r>
        <w:rPr>
          <w:rFonts w:hint="eastAsia" w:ascii="宋体" w:hAnsi="宋体" w:eastAsia="宋体" w:cs="宋体"/>
          <w:color w:val="000000"/>
          <w:sz w:val="24"/>
          <w:szCs w:val="24"/>
        </w:rPr>
        <w:t>的名义开具正规运输业务增值税专用发票的资质（税率 9%）；</w:t>
      </w:r>
    </w:p>
    <w:p>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11）投标人</w:t>
      </w:r>
      <w:r>
        <w:rPr>
          <w:rFonts w:hint="eastAsia" w:ascii="宋体" w:hAnsi="宋体" w:eastAsia="宋体" w:cs="宋体"/>
          <w:color w:val="000000"/>
          <w:sz w:val="24"/>
          <w:szCs w:val="24"/>
        </w:rPr>
        <w:t>须具有完全履行招标文件的所有要求的能力；</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12）投标人</w:t>
      </w:r>
      <w:r>
        <w:rPr>
          <w:rFonts w:hint="eastAsia" w:ascii="宋体" w:hAnsi="宋体" w:eastAsia="宋体" w:cs="宋体"/>
          <w:color w:val="000000"/>
          <w:sz w:val="24"/>
          <w:szCs w:val="24"/>
          <w:highlight w:val="none"/>
        </w:rPr>
        <w:t>须负责提供合理的便于运输的包装物，并承担相关费用；</w:t>
      </w:r>
    </w:p>
    <w:p>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13）投标人</w:t>
      </w:r>
      <w:r>
        <w:rPr>
          <w:rFonts w:hint="eastAsia" w:ascii="宋体" w:hAnsi="宋体" w:eastAsia="宋体" w:cs="宋体"/>
          <w:color w:val="000000"/>
          <w:sz w:val="24"/>
          <w:szCs w:val="24"/>
        </w:rPr>
        <w:t>须认可相关</w:t>
      </w:r>
      <w:r>
        <w:rPr>
          <w:rFonts w:hint="eastAsia" w:ascii="宋体" w:hAnsi="宋体" w:cs="宋体"/>
          <w:color w:val="000000"/>
          <w:sz w:val="24"/>
          <w:szCs w:val="24"/>
          <w:lang w:eastAsia="zh-CN"/>
        </w:rPr>
        <w:t>权属单位</w:t>
      </w:r>
      <w:r>
        <w:rPr>
          <w:rFonts w:hint="eastAsia" w:ascii="宋体" w:hAnsi="宋体" w:eastAsia="宋体" w:cs="宋体"/>
          <w:color w:val="000000"/>
          <w:sz w:val="24"/>
          <w:szCs w:val="24"/>
        </w:rPr>
        <w:t>（业务单位）的工作指令，包括节假日能正常开展工作的要求；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14）投标人</w:t>
      </w:r>
      <w:r>
        <w:rPr>
          <w:rFonts w:hint="eastAsia" w:ascii="宋体" w:hAnsi="宋体" w:eastAsia="宋体" w:cs="宋体"/>
          <w:color w:val="000000"/>
          <w:sz w:val="24"/>
          <w:szCs w:val="24"/>
        </w:rPr>
        <w:t>须认可相关</w:t>
      </w:r>
      <w:r>
        <w:rPr>
          <w:rFonts w:hint="eastAsia" w:ascii="宋体" w:hAnsi="宋体" w:cs="宋体"/>
          <w:color w:val="000000"/>
          <w:sz w:val="24"/>
          <w:szCs w:val="24"/>
          <w:lang w:eastAsia="zh-CN"/>
        </w:rPr>
        <w:t>权属单位</w:t>
      </w:r>
      <w:r>
        <w:rPr>
          <w:rFonts w:hint="eastAsia" w:ascii="宋体" w:hAnsi="宋体" w:eastAsia="宋体" w:cs="宋体"/>
          <w:color w:val="000000"/>
          <w:sz w:val="24"/>
          <w:szCs w:val="24"/>
        </w:rPr>
        <w:t>（业务单位）</w:t>
      </w:r>
      <w:r>
        <w:rPr>
          <w:rFonts w:hint="eastAsia" w:ascii="宋体" w:hAnsi="宋体" w:eastAsia="宋体" w:cs="宋体"/>
          <w:color w:val="000000"/>
          <w:sz w:val="24"/>
          <w:szCs w:val="24"/>
          <w:highlight w:val="none"/>
        </w:rPr>
        <w:t>终止合同后 3个月无息退还履约保证金的招标要求；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15）投标人</w:t>
      </w:r>
      <w:r>
        <w:rPr>
          <w:rFonts w:hint="eastAsia" w:ascii="宋体" w:hAnsi="宋体" w:eastAsia="宋体" w:cs="宋体"/>
          <w:color w:val="000000"/>
          <w:sz w:val="24"/>
          <w:szCs w:val="24"/>
        </w:rPr>
        <w:t>必须是最终投标、签订合同的单位，不得以任何理由将已中标项目以任何形式转包给其他单位；</w:t>
      </w:r>
    </w:p>
    <w:p>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16）</w:t>
      </w:r>
      <w:r>
        <w:rPr>
          <w:rFonts w:hint="eastAsia" w:ascii="宋体" w:hAnsi="宋体" w:eastAsia="宋体" w:cs="宋体"/>
          <w:color w:val="000000"/>
          <w:sz w:val="24"/>
          <w:szCs w:val="24"/>
        </w:rPr>
        <w:t>本次招标项目不接受联合体投标；</w:t>
      </w:r>
    </w:p>
    <w:p>
      <w:pPr>
        <w:spacing w:line="36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17）投标人</w:t>
      </w:r>
      <w:r>
        <w:rPr>
          <w:rFonts w:hint="eastAsia" w:ascii="宋体" w:hAnsi="宋体" w:eastAsia="宋体" w:cs="宋体"/>
          <w:color w:val="000000"/>
          <w:sz w:val="24"/>
          <w:szCs w:val="24"/>
        </w:rPr>
        <w:t>需承诺严格在运输过程中对运输产品的安全及相关</w:t>
      </w:r>
      <w:r>
        <w:rPr>
          <w:rFonts w:hint="eastAsia" w:ascii="宋体" w:hAnsi="宋体" w:cs="宋体"/>
          <w:color w:val="000000"/>
          <w:sz w:val="24"/>
          <w:szCs w:val="24"/>
          <w:lang w:eastAsia="zh-CN"/>
        </w:rPr>
        <w:t>权属单位</w:t>
      </w:r>
      <w:r>
        <w:rPr>
          <w:rFonts w:hint="eastAsia" w:ascii="宋体" w:hAnsi="宋体" w:eastAsia="宋体" w:cs="宋体"/>
          <w:color w:val="000000"/>
          <w:sz w:val="24"/>
          <w:szCs w:val="24"/>
        </w:rPr>
        <w:t>（业务单位）的形象负责，不做任何有损相关</w:t>
      </w:r>
      <w:r>
        <w:rPr>
          <w:rFonts w:hint="eastAsia" w:ascii="宋体" w:hAnsi="宋体" w:cs="宋体"/>
          <w:color w:val="000000"/>
          <w:sz w:val="24"/>
          <w:szCs w:val="24"/>
          <w:lang w:eastAsia="zh-CN"/>
        </w:rPr>
        <w:t>权属单位</w:t>
      </w:r>
      <w:r>
        <w:rPr>
          <w:rFonts w:hint="eastAsia" w:ascii="宋体" w:hAnsi="宋体" w:eastAsia="宋体" w:cs="宋体"/>
          <w:color w:val="000000"/>
          <w:sz w:val="24"/>
          <w:szCs w:val="24"/>
        </w:rPr>
        <w:t>（业务单位）形象的事情</w:t>
      </w:r>
      <w:r>
        <w:rPr>
          <w:rFonts w:hint="eastAsia" w:ascii="宋体" w:hAnsi="宋体" w:cs="宋体"/>
          <w:color w:val="000000"/>
          <w:sz w:val="24"/>
          <w:szCs w:val="24"/>
          <w:lang w:eastAsia="zh-CN"/>
        </w:rPr>
        <w:t>；</w:t>
      </w:r>
    </w:p>
    <w:p>
      <w:pPr>
        <w:pStyle w:val="2"/>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18）投标人须按要求缴纳投标保证金</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rPr>
        <w:t>从事集团内整车运输业务的可免交保证金</w:t>
      </w:r>
      <w:r>
        <w:rPr>
          <w:rFonts w:hint="eastAsia" w:asciiTheme="minorEastAsia" w:hAnsiTheme="minorEastAsia" w:eastAsiaTheme="minorEastAsia"/>
          <w:sz w:val="24"/>
          <w:szCs w:val="24"/>
          <w:highlight w:val="none"/>
          <w:lang w:eastAsia="zh-CN"/>
        </w:rPr>
        <w:t>）</w:t>
      </w:r>
      <w:r>
        <w:rPr>
          <w:rFonts w:hint="eastAsia" w:ascii="宋体" w:hAnsi="宋体" w:cs="宋体"/>
          <w:color w:val="000000"/>
          <w:sz w:val="24"/>
          <w:szCs w:val="24"/>
          <w:lang w:val="en-US" w:eastAsia="zh-CN"/>
        </w:rPr>
        <w:t>；</w:t>
      </w:r>
    </w:p>
    <w:p>
      <w:pPr>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19）投标人须于招标人中标结果发出三日内与招标人指定联系人沟通合同签订事宜，二十日内完成合同签订，并应当按照合同约定的履约责任，于合同签订前向相关权属单位（业务单位）缴纳履约保证金300万元，需要针对多家主营单位签约的合计履约保证金控制在300万元；现供方履约保证金累计达到1000万元，可不再缴纳保证金。并接受合同履行期间保证金不计利息的要求，如中标承运商未按合同及其附件约定履行应承担的责任，相关权属单位（业务单位）有权从应付中标承运商的运费中予以扣除或抵销，或从招标方所属集团公司内其他任何一家关联单位收到的中标承运商的风险抵押金或保证金中进行相应划扣，不足部分招标方有权通过其它方式向中标承运商追偿，中标承运商对此无异议；</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2.如出现因</w:t>
      </w:r>
      <w:r>
        <w:rPr>
          <w:rFonts w:hint="eastAsia" w:ascii="宋体" w:hAnsi="宋体" w:cs="宋体"/>
          <w:color w:val="000000"/>
          <w:sz w:val="24"/>
          <w:szCs w:val="24"/>
          <w:lang w:val="en-US" w:eastAsia="zh-CN"/>
        </w:rPr>
        <w:t>投标</w:t>
      </w:r>
      <w:r>
        <w:rPr>
          <w:rFonts w:hint="eastAsia" w:ascii="宋体" w:hAnsi="宋体" w:cs="宋体"/>
          <w:color w:val="000000"/>
          <w:sz w:val="24"/>
          <w:szCs w:val="24"/>
        </w:rPr>
        <w:t>人漏报或少报而造成的一切经济后果，由</w:t>
      </w:r>
      <w:r>
        <w:rPr>
          <w:rFonts w:hint="eastAsia" w:ascii="宋体" w:hAnsi="宋体" w:cs="宋体"/>
          <w:color w:val="000000"/>
          <w:sz w:val="24"/>
          <w:szCs w:val="24"/>
          <w:lang w:val="en-US" w:eastAsia="zh-CN"/>
        </w:rPr>
        <w:t>投标</w:t>
      </w:r>
      <w:r>
        <w:rPr>
          <w:rFonts w:hint="eastAsia" w:ascii="宋体" w:hAnsi="宋体" w:cs="宋体"/>
          <w:color w:val="000000"/>
          <w:sz w:val="24"/>
          <w:szCs w:val="24"/>
        </w:rPr>
        <w:t>人自行负责。</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3.若中标人在签订合同时，坚持提出附加条件或不合理要求的，招标人有权取消其中标资格，由此产生的该中标人损失由该中标人自负，并且招标人有权将由此产生的招标人损失（包括经济上的损失和工期上的损失）向该中标人索赔。</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4．投标人须具有独立的法人资格、良好的商业信誉、优质的服务态度和认真负责的工作作风，有应付特殊情况的反应能力，可提供365天</w:t>
      </w:r>
      <m:oMath>
        <m:r>
          <m:rPr/>
          <w:rPr>
            <w:rFonts w:ascii="Cambria Math" w:hAnsi="Cambria Math" w:cs="宋体"/>
            <w:color w:val="000000"/>
            <w:sz w:val="24"/>
            <w:szCs w:val="24"/>
          </w:rPr>
          <m:t>×</m:t>
        </m:r>
      </m:oMath>
      <w:r>
        <w:rPr>
          <w:rFonts w:hint="eastAsia" w:ascii="宋体" w:hAnsi="宋体" w:cs="宋体"/>
          <w:color w:val="000000"/>
          <w:sz w:val="24"/>
          <w:szCs w:val="24"/>
        </w:rPr>
        <w:t>24小时服务，包括节假日，有专职人员负责业务联络。</w:t>
      </w:r>
    </w:p>
    <w:p>
      <w:pPr>
        <w:spacing w:line="360" w:lineRule="auto"/>
        <w:ind w:firstLine="480" w:firstLineChars="200"/>
        <w:rPr>
          <w:rFonts w:ascii="宋体" w:hAnsi="宋体" w:cs="宋体"/>
          <w:sz w:val="24"/>
          <w:szCs w:val="24"/>
        </w:rPr>
      </w:pP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.投标人应视需要至招标人处详细了解与本次招标项目有关的全部文件及制度，并同意</w:t>
      </w:r>
      <w:r>
        <w:rPr>
          <w:rFonts w:hint="eastAsia" w:ascii="宋体" w:hAnsi="宋体" w:cs="宋体"/>
          <w:color w:val="000000"/>
          <w:sz w:val="24"/>
          <w:szCs w:val="24"/>
          <w:highlight w:val="none"/>
          <w:lang w:val="en-US" w:eastAsia="zh-CN"/>
        </w:rPr>
        <w:t>运输协议</w:t>
      </w:r>
      <w:r>
        <w:rPr>
          <w:rFonts w:hint="eastAsia" w:ascii="宋体" w:hAnsi="宋体" w:cs="宋体"/>
          <w:color w:val="000000"/>
          <w:sz w:val="24"/>
          <w:szCs w:val="24"/>
          <w:highlight w:val="none"/>
        </w:rPr>
        <w:t xml:space="preserve">中各项条款。       </w:t>
      </w:r>
      <w:r>
        <w:rPr>
          <w:rFonts w:hint="eastAsia" w:ascii="宋体" w:hAnsi="宋体" w:cs="宋体"/>
          <w:color w:val="000000"/>
          <w:sz w:val="24"/>
          <w:szCs w:val="24"/>
        </w:rPr>
        <w:t xml:space="preserve">          </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.投标人应承担其在投标准备、编制、递交投标文件和签订合同协议的整个过程的一切费用而不论其投标结果如何。</w:t>
      </w:r>
    </w:p>
    <w:bookmarkEnd w:id="67"/>
    <w:p>
      <w:pPr>
        <w:pStyle w:val="4"/>
        <w:bidi w:val="0"/>
        <w:ind w:left="576" w:leftChars="0" w:hanging="576" w:firstLineChars="0"/>
        <w:rPr>
          <w:rFonts w:hint="eastAsia" w:ascii="黑体" w:hAnsi="黑体" w:eastAsia="黑体" w:cs="黑体"/>
          <w:sz w:val="28"/>
          <w:szCs w:val="28"/>
        </w:rPr>
      </w:pPr>
      <w:bookmarkStart w:id="68" w:name="_Toc19833"/>
      <w:bookmarkStart w:id="69" w:name="_Toc24725"/>
      <w:bookmarkStart w:id="70" w:name="_Toc10779"/>
      <w:bookmarkStart w:id="71" w:name="_Toc20280"/>
      <w:bookmarkStart w:id="72" w:name="_Toc30539"/>
      <w:bookmarkStart w:id="73" w:name="_Toc10192"/>
      <w:bookmarkStart w:id="74" w:name="_Toc21168"/>
      <w:bookmarkStart w:id="75" w:name="_Toc28184"/>
      <w:bookmarkStart w:id="76" w:name="_Toc131681873"/>
      <w:bookmarkStart w:id="77" w:name="_Toc8291"/>
      <w:r>
        <w:rPr>
          <w:rFonts w:hint="eastAsia" w:ascii="黑体" w:hAnsi="黑体" w:eastAsia="黑体" w:cs="黑体"/>
          <w:sz w:val="28"/>
          <w:szCs w:val="28"/>
        </w:rPr>
        <w:t>招标文件的获取</w:t>
      </w:r>
      <w:bookmarkEnd w:id="68"/>
      <w:bookmarkEnd w:id="69"/>
      <w:bookmarkEnd w:id="70"/>
      <w:bookmarkEnd w:id="71"/>
      <w:bookmarkEnd w:id="72"/>
      <w:bookmarkEnd w:id="73"/>
      <w:bookmarkEnd w:id="74"/>
      <w:bookmarkEnd w:id="75"/>
      <w:bookmarkEnd w:id="76"/>
      <w:bookmarkEnd w:id="77"/>
    </w:p>
    <w:p>
      <w:pPr>
        <w:pStyle w:val="2"/>
        <w:spacing w:line="360" w:lineRule="auto"/>
        <w:ind w:firstLine="480"/>
        <w:jc w:val="left"/>
        <w:rPr>
          <w:rFonts w:ascii="宋体" w:hAnsi="宋体" w:cs="宋体"/>
          <w:color w:val="000000"/>
          <w:sz w:val="24"/>
          <w:szCs w:val="24"/>
          <w:highlight w:val="none"/>
        </w:rPr>
      </w:pPr>
      <w:bookmarkStart w:id="78" w:name="_Toc23013"/>
      <w:bookmarkStart w:id="79" w:name="_Toc131681874"/>
      <w:r>
        <w:rPr>
          <w:rFonts w:hint="eastAsia" w:ascii="宋体" w:hAnsi="宋体" w:cs="宋体"/>
          <w:color w:val="000000"/>
          <w:sz w:val="24"/>
          <w:szCs w:val="24"/>
        </w:rPr>
        <w:t>1</w:t>
      </w:r>
      <w:bookmarkEnd w:id="78"/>
      <w:bookmarkEnd w:id="79"/>
      <w:r>
        <w:rPr>
          <w:rFonts w:hint="eastAsia" w:ascii="宋体" w:hAnsi="宋体" w:cs="宋体"/>
          <w:color w:val="000000"/>
          <w:sz w:val="24"/>
          <w:szCs w:val="24"/>
          <w:lang w:eastAsia="zh-CN"/>
        </w:rPr>
        <w:t>.</w:t>
      </w:r>
      <w:r>
        <w:rPr>
          <w:rFonts w:hint="eastAsia" w:ascii="宋体" w:hAnsi="宋体" w:cs="宋体"/>
          <w:color w:val="000000"/>
          <w:sz w:val="24"/>
          <w:szCs w:val="24"/>
        </w:rPr>
        <w:t>招</w:t>
      </w:r>
      <w:r>
        <w:rPr>
          <w:rFonts w:hint="eastAsia" w:ascii="宋体" w:hAnsi="宋体" w:cs="宋体"/>
          <w:color w:val="000000"/>
          <w:sz w:val="24"/>
          <w:szCs w:val="24"/>
          <w:highlight w:val="none"/>
        </w:rPr>
        <w:t>标文件获取方式：投标人报名并且缴纳投标保证金</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rPr>
        <w:t>从事集团内整车运输业务的可免交保证金</w:t>
      </w:r>
      <w:r>
        <w:rPr>
          <w:rFonts w:hint="eastAsia" w:asciiTheme="minorEastAsia" w:hAnsiTheme="minorEastAsia" w:eastAsiaTheme="minorEastAsia"/>
          <w:sz w:val="24"/>
          <w:szCs w:val="24"/>
          <w:highlight w:val="none"/>
          <w:lang w:eastAsia="zh-CN"/>
        </w:rPr>
        <w:t>）</w:t>
      </w:r>
      <w:r>
        <w:rPr>
          <w:rFonts w:hint="eastAsia" w:ascii="宋体" w:hAnsi="宋体" w:cs="宋体"/>
          <w:color w:val="000000"/>
          <w:sz w:val="24"/>
          <w:szCs w:val="24"/>
          <w:highlight w:val="none"/>
        </w:rPr>
        <w:t>应标成功后，通过</w:t>
      </w:r>
      <w:r>
        <w:rPr>
          <w:rFonts w:hint="eastAsia" w:ascii="宋体" w:hAnsi="宋体" w:cs="宋体"/>
          <w:sz w:val="24"/>
          <w:szCs w:val="24"/>
          <w:highlight w:val="none"/>
        </w:rPr>
        <w:t>中国重汽e采通</w:t>
      </w:r>
      <w:r>
        <w:rPr>
          <w:rFonts w:hint="eastAsia" w:ascii="宋体" w:hAnsi="宋体" w:cs="宋体"/>
          <w:color w:val="000000"/>
          <w:sz w:val="24"/>
          <w:szCs w:val="24"/>
          <w:highlight w:val="none"/>
        </w:rPr>
        <w:t>系统自行下载。</w:t>
      </w:r>
    </w:p>
    <w:p>
      <w:pPr>
        <w:pStyle w:val="2"/>
        <w:spacing w:line="360" w:lineRule="auto"/>
        <w:ind w:firstLine="240" w:firstLineChars="100"/>
        <w:rPr>
          <w:highlight w:val="none"/>
        </w:rPr>
      </w:pPr>
      <w:r>
        <w:rPr>
          <w:rFonts w:hint="eastAsia" w:ascii="宋体" w:hAnsi="宋体" w:cs="宋体"/>
          <w:color w:val="000000"/>
          <w:sz w:val="24"/>
          <w:szCs w:val="24"/>
          <w:highlight w:val="none"/>
        </w:rPr>
        <w:t xml:space="preserve">  </w:t>
      </w:r>
      <w:r>
        <w:rPr>
          <w:rFonts w:hint="eastAsia" w:ascii="宋体" w:hAnsi="宋体" w:cs="宋体"/>
          <w:color w:val="000000"/>
          <w:kern w:val="2"/>
          <w:sz w:val="24"/>
          <w:szCs w:val="24"/>
          <w:highlight w:val="none"/>
          <w:lang w:val="en-US" w:eastAsia="zh-CN"/>
        </w:rPr>
        <w:t>2.</w:t>
      </w:r>
      <w:r>
        <w:rPr>
          <w:rFonts w:hint="eastAsia" w:ascii="宋体" w:hAnsi="宋体" w:cs="宋体"/>
          <w:color w:val="000000"/>
          <w:kern w:val="2"/>
          <w:sz w:val="24"/>
          <w:szCs w:val="24"/>
          <w:highlight w:val="none"/>
        </w:rPr>
        <w:t>售价：￥0.0 元，本公告包含的招标文件售价总和。</w:t>
      </w:r>
    </w:p>
    <w:p>
      <w:pPr>
        <w:pStyle w:val="2"/>
        <w:spacing w:line="360" w:lineRule="auto"/>
        <w:ind w:firstLine="480"/>
        <w:jc w:val="left"/>
        <w:rPr>
          <w:rFonts w:hint="eastAsia" w:asciiTheme="minorEastAsia" w:hAnsiTheme="minorEastAsia" w:eastAsiaTheme="minorEastAsia"/>
          <w:sz w:val="24"/>
          <w:szCs w:val="24"/>
          <w:highlight w:val="none"/>
        </w:rPr>
      </w:pPr>
      <w:bookmarkStart w:id="80" w:name="_Toc15411"/>
      <w:bookmarkStart w:id="81" w:name="_Toc15520"/>
      <w:bookmarkStart w:id="82" w:name="_Toc131681877"/>
      <w:r>
        <w:rPr>
          <w:rFonts w:hint="eastAsia" w:ascii="宋体" w:hAnsi="宋体" w:cs="宋体"/>
          <w:color w:val="000000"/>
          <w:kern w:val="2"/>
          <w:sz w:val="24"/>
          <w:szCs w:val="24"/>
          <w:highlight w:val="none"/>
          <w:lang w:val="en-US" w:eastAsia="zh-CN"/>
        </w:rPr>
        <w:t>3.</w:t>
      </w:r>
      <w:r>
        <w:rPr>
          <w:rFonts w:hint="eastAsia" w:ascii="宋体" w:hAnsi="宋体" w:cs="宋体"/>
          <w:color w:val="000000"/>
          <w:kern w:val="2"/>
          <w:sz w:val="24"/>
          <w:szCs w:val="24"/>
          <w:highlight w:val="none"/>
        </w:rPr>
        <w:t>登陆网址：</w:t>
      </w:r>
      <w:r>
        <w:rPr>
          <w:rFonts w:hint="eastAsia" w:asciiTheme="minorEastAsia" w:hAnsiTheme="minorEastAsia" w:eastAsiaTheme="minorEastAsia"/>
          <w:sz w:val="24"/>
          <w:szCs w:val="24"/>
          <w:highlight w:val="none"/>
        </w:rPr>
        <w:fldChar w:fldCharType="begin"/>
      </w:r>
      <w:r>
        <w:rPr>
          <w:rFonts w:hint="eastAsia" w:asciiTheme="minorEastAsia" w:hAnsiTheme="minorEastAsia" w:eastAsiaTheme="minorEastAsia"/>
          <w:sz w:val="24"/>
          <w:szCs w:val="24"/>
          <w:highlight w:val="none"/>
        </w:rPr>
        <w:instrText xml:space="preserve"> HYPERLINK "http://ecaitong.sinotruk.com:8012（投标人注册完成审批后，于2023年4月13日17:00前在" </w:instrText>
      </w:r>
      <w:r>
        <w:rPr>
          <w:rFonts w:hint="eastAsia" w:asciiTheme="minorEastAsia" w:hAnsiTheme="minorEastAsia" w:eastAsiaTheme="minorEastAsia"/>
          <w:sz w:val="24"/>
          <w:szCs w:val="24"/>
          <w:highlight w:val="none"/>
        </w:rPr>
        <w:fldChar w:fldCharType="separate"/>
      </w:r>
      <w:r>
        <w:rPr>
          <w:rFonts w:hint="eastAsia" w:asciiTheme="minorEastAsia" w:hAnsiTheme="minorEastAsia" w:eastAsiaTheme="minorEastAsia"/>
          <w:sz w:val="24"/>
          <w:szCs w:val="24"/>
          <w:highlight w:val="none"/>
        </w:rPr>
        <w:t>http</w:t>
      </w:r>
      <w:r>
        <w:rPr>
          <w:rFonts w:hint="eastAsia" w:asciiTheme="minorEastAsia" w:hAnsiTheme="minorEastAsia" w:eastAsiaTheme="minorEastAsia"/>
          <w:sz w:val="24"/>
          <w:szCs w:val="24"/>
          <w:highlight w:val="none"/>
          <w:lang w:val="en-US" w:eastAsia="zh-CN"/>
        </w:rPr>
        <w:t>s</w:t>
      </w:r>
      <w:r>
        <w:rPr>
          <w:rFonts w:hint="eastAsia" w:asciiTheme="minorEastAsia" w:hAnsiTheme="minorEastAsia" w:eastAsiaTheme="minorEastAsia"/>
          <w:sz w:val="24"/>
          <w:szCs w:val="24"/>
          <w:highlight w:val="none"/>
        </w:rPr>
        <w:t>://ecaitong.sinotruk.com:8012（投标人注册完成审批后，于</w:t>
      </w:r>
      <w:r>
        <w:rPr>
          <w:rFonts w:hint="eastAsia" w:asciiTheme="minorEastAsia" w:hAnsiTheme="minorEastAsia" w:eastAsiaTheme="minorEastAsia"/>
          <w:sz w:val="24"/>
          <w:szCs w:val="24"/>
          <w:highlight w:val="none"/>
          <w:lang w:eastAsia="zh-CN"/>
        </w:rPr>
        <w:t>2025</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3月5</w:t>
      </w:r>
      <w:r>
        <w:rPr>
          <w:rFonts w:hint="eastAsia" w:asciiTheme="minorEastAsia" w:hAnsiTheme="minorEastAsia" w:eastAsiaTheme="minorEastAsia"/>
          <w:sz w:val="24"/>
          <w:szCs w:val="24"/>
          <w:highlight w:val="none"/>
        </w:rPr>
        <w:t>日1</w:t>
      </w: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rPr>
        <w:t>:00前在“中国重汽e采通”招投标中心非生产类招投标点击“供应商应标”，逾期系统自动关闭应标）。</w:t>
      </w:r>
      <w:r>
        <w:rPr>
          <w:rFonts w:hint="eastAsia" w:asciiTheme="minorEastAsia" w:hAnsiTheme="minorEastAsia" w:eastAsiaTheme="minorEastAsia"/>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highlight w:val="none"/>
          <w:lang w:val="en-US" w:eastAsia="zh-CN" w:bidi="ar-SA"/>
        </w:rPr>
      </w:pPr>
      <w:r>
        <w:rPr>
          <w:rFonts w:hint="eastAsia"/>
          <w:b/>
          <w:highlight w:val="none"/>
        </w:rPr>
        <w:t xml:space="preserve">  </w:t>
      </w:r>
      <w:r>
        <w:rPr>
          <w:rFonts w:hint="eastAsia" w:ascii="宋体" w:hAnsi="宋体" w:cs="宋体"/>
          <w:color w:val="000000"/>
          <w:sz w:val="24"/>
          <w:szCs w:val="24"/>
          <w:highlight w:val="none"/>
        </w:rPr>
        <w:t xml:space="preserve">  </w:t>
      </w:r>
      <w:r>
        <w:rPr>
          <w:rFonts w:hint="eastAsia" w:ascii="宋体" w:hAnsi="宋体" w:eastAsia="宋体" w:cs="宋体"/>
          <w:color w:val="000000"/>
          <w:kern w:val="0"/>
          <w:sz w:val="24"/>
          <w:szCs w:val="24"/>
          <w:highlight w:val="none"/>
          <w:lang w:val="en-US" w:eastAsia="zh-CN" w:bidi="ar-SA"/>
        </w:rPr>
        <w:t>4</w:t>
      </w:r>
      <w:r>
        <w:rPr>
          <w:rFonts w:hint="eastAsia" w:ascii="宋体" w:hAnsi="宋体" w:cs="宋体"/>
          <w:color w:val="000000"/>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供应商应标须上传资料：营业执照、道路运输许可证、投标保证金缴纳凭证（从事集团内整车运输业务的可免交保证金）、三年财务报表（成立不足三年的上传成立以来的财务报表）</w:t>
      </w:r>
    </w:p>
    <w:p>
      <w:pPr>
        <w:pStyle w:val="4"/>
        <w:bidi w:val="0"/>
        <w:ind w:left="576" w:leftChars="0" w:hanging="576" w:firstLineChars="0"/>
        <w:rPr>
          <w:rFonts w:hint="eastAsia" w:ascii="黑体" w:hAnsi="黑体" w:eastAsia="黑体" w:cs="黑体"/>
          <w:sz w:val="28"/>
          <w:szCs w:val="28"/>
        </w:rPr>
      </w:pPr>
      <w:bookmarkStart w:id="83" w:name="_Toc6742"/>
      <w:bookmarkStart w:id="84" w:name="_Toc6261"/>
      <w:bookmarkStart w:id="85" w:name="_Toc4064"/>
      <w:bookmarkStart w:id="86" w:name="_Toc8447"/>
      <w:bookmarkStart w:id="87" w:name="_Toc32560"/>
      <w:bookmarkStart w:id="88" w:name="_Toc788"/>
      <w:bookmarkStart w:id="89" w:name="_Toc22338"/>
      <w:r>
        <w:rPr>
          <w:rFonts w:hint="eastAsia" w:ascii="黑体" w:hAnsi="黑体" w:eastAsia="黑体" w:cs="黑体"/>
          <w:sz w:val="28"/>
          <w:szCs w:val="28"/>
        </w:rPr>
        <w:t>投标文件的递交</w:t>
      </w:r>
      <w:bookmarkEnd w:id="80"/>
      <w:bookmarkEnd w:id="81"/>
      <w:bookmarkEnd w:id="82"/>
      <w:bookmarkEnd w:id="83"/>
      <w:bookmarkEnd w:id="84"/>
      <w:bookmarkEnd w:id="85"/>
      <w:bookmarkEnd w:id="86"/>
      <w:bookmarkEnd w:id="87"/>
      <w:bookmarkEnd w:id="88"/>
      <w:bookmarkEnd w:id="89"/>
    </w:p>
    <w:p>
      <w:pPr>
        <w:pStyle w:val="180"/>
        <w:spacing w:beforeLines="0" w:afterLines="0"/>
        <w:ind w:firstLineChars="0"/>
        <w:rPr>
          <w:highlight w:val="none"/>
        </w:rPr>
      </w:pPr>
      <w:bookmarkStart w:id="90" w:name="_Toc129697439"/>
      <w:r>
        <w:rPr>
          <w:rFonts w:hint="eastAsia"/>
          <w:highlight w:val="none"/>
        </w:rPr>
        <w:t>1</w:t>
      </w:r>
      <w:r>
        <w:rPr>
          <w:rFonts w:hint="eastAsia"/>
          <w:highlight w:val="none"/>
          <w:lang w:val="en-US" w:eastAsia="zh-CN"/>
        </w:rPr>
        <w:t>.</w:t>
      </w:r>
      <w:r>
        <w:rPr>
          <w:rFonts w:hint="eastAsia"/>
          <w:highlight w:val="none"/>
        </w:rPr>
        <w:t>投标文件递交的截止时间：</w:t>
      </w:r>
      <w:r>
        <w:rPr>
          <w:rFonts w:hint="eastAsia"/>
          <w:highlight w:val="none"/>
          <w:u w:val="single"/>
        </w:rPr>
        <w:t xml:space="preserve"> </w:t>
      </w:r>
      <w:r>
        <w:rPr>
          <w:rFonts w:hint="eastAsia"/>
          <w:highlight w:val="none"/>
          <w:u w:val="single"/>
          <w:lang w:val="en-US" w:eastAsia="zh-CN"/>
        </w:rPr>
        <w:t>2025年3月5</w:t>
      </w:r>
      <w:r>
        <w:rPr>
          <w:rFonts w:hint="eastAsia"/>
          <w:highlight w:val="none"/>
          <w:u w:val="single"/>
        </w:rPr>
        <w:t>日</w:t>
      </w:r>
      <w:r>
        <w:rPr>
          <w:rFonts w:hint="eastAsia"/>
          <w:highlight w:val="none"/>
          <w:u w:val="single"/>
          <w:lang w:val="en-US" w:eastAsia="zh-CN"/>
        </w:rPr>
        <w:t>17</w:t>
      </w:r>
      <w:r>
        <w:rPr>
          <w:rFonts w:hint="eastAsia"/>
          <w:highlight w:val="none"/>
          <w:u w:val="single"/>
        </w:rPr>
        <w:t>：</w:t>
      </w:r>
      <w:r>
        <w:rPr>
          <w:rFonts w:hint="eastAsia"/>
          <w:highlight w:val="none"/>
          <w:u w:val="single"/>
          <w:lang w:val="en-US" w:eastAsia="zh-CN"/>
        </w:rPr>
        <w:t>0</w:t>
      </w:r>
      <w:r>
        <w:rPr>
          <w:rFonts w:hint="eastAsia"/>
          <w:highlight w:val="none"/>
          <w:u w:val="single"/>
        </w:rPr>
        <w:t xml:space="preserve">0   </w:t>
      </w:r>
    </w:p>
    <w:p>
      <w:pPr>
        <w:wordWrap w:val="0"/>
        <w:spacing w:line="360" w:lineRule="auto"/>
        <w:ind w:firstLine="480" w:firstLineChars="200"/>
        <w:rPr>
          <w:highlight w:val="none"/>
        </w:rPr>
      </w:pPr>
      <w:r>
        <w:rPr>
          <w:rFonts w:hint="eastAsia"/>
          <w:kern w:val="0"/>
          <w:sz w:val="24"/>
          <w:szCs w:val="20"/>
          <w:highlight w:val="none"/>
        </w:rPr>
        <w:t>2</w:t>
      </w:r>
      <w:r>
        <w:rPr>
          <w:rFonts w:hint="eastAsia"/>
          <w:kern w:val="0"/>
          <w:sz w:val="24"/>
          <w:szCs w:val="20"/>
          <w:highlight w:val="none"/>
          <w:lang w:val="en-US" w:eastAsia="zh-CN"/>
        </w:rPr>
        <w:t>.</w:t>
      </w:r>
      <w:r>
        <w:rPr>
          <w:rFonts w:hint="eastAsia"/>
          <w:kern w:val="0"/>
          <w:sz w:val="24"/>
          <w:szCs w:val="20"/>
          <w:highlight w:val="none"/>
        </w:rPr>
        <w:t xml:space="preserve">递交地点： </w:t>
      </w:r>
      <w:bookmarkEnd w:id="90"/>
      <w:r>
        <w:rPr>
          <w:rFonts w:hint="eastAsia" w:ascii="宋体" w:hAnsi="宋体" w:cs="宋体"/>
          <w:color w:val="000000"/>
          <w:sz w:val="24"/>
          <w:szCs w:val="24"/>
          <w:highlight w:val="none"/>
          <w:u w:val="single"/>
          <w:lang w:val="en-US" w:eastAsia="zh-CN"/>
        </w:rPr>
        <w:t xml:space="preserve">中国重汽科技大厦309会议室 </w:t>
      </w:r>
      <w:r>
        <w:rPr>
          <w:rFonts w:hint="eastAsia" w:ascii="宋体" w:hAnsi="宋体" w:cs="宋体"/>
          <w:color w:val="000000"/>
          <w:sz w:val="24"/>
          <w:szCs w:val="24"/>
          <w:highlight w:val="none"/>
          <w:u w:val="single"/>
        </w:rPr>
        <w:t>，线上同步上传e采通</w:t>
      </w:r>
    </w:p>
    <w:p>
      <w:pPr>
        <w:pStyle w:val="180"/>
        <w:spacing w:beforeLines="0" w:afterLines="0"/>
        <w:rPr>
          <w:highlight w:val="none"/>
        </w:rPr>
      </w:pPr>
      <w:bookmarkStart w:id="91" w:name="_Toc129697440"/>
      <w:r>
        <w:rPr>
          <w:highlight w:val="none"/>
        </w:rPr>
        <w:t>3</w:t>
      </w:r>
      <w:r>
        <w:rPr>
          <w:rFonts w:hint="eastAsia"/>
          <w:highlight w:val="none"/>
          <w:lang w:val="en-US" w:eastAsia="zh-CN"/>
        </w:rPr>
        <w:t>.</w:t>
      </w:r>
      <w:r>
        <w:rPr>
          <w:rFonts w:hint="eastAsia"/>
          <w:highlight w:val="none"/>
        </w:rPr>
        <w:t>逾期送达的或者未送达指定地点的投标文件，招标人不予受理。</w:t>
      </w:r>
      <w:bookmarkEnd w:id="91"/>
    </w:p>
    <w:p>
      <w:pPr>
        <w:pStyle w:val="4"/>
        <w:bidi w:val="0"/>
        <w:ind w:left="576" w:leftChars="0" w:hanging="576" w:firstLineChars="0"/>
        <w:rPr>
          <w:rFonts w:hint="eastAsia" w:ascii="黑体" w:hAnsi="黑体" w:eastAsia="黑体" w:cs="黑体"/>
          <w:sz w:val="28"/>
          <w:szCs w:val="28"/>
        </w:rPr>
      </w:pPr>
      <w:bookmarkStart w:id="92" w:name="_Toc11104"/>
      <w:bookmarkStart w:id="93" w:name="_Toc15858"/>
      <w:bookmarkStart w:id="94" w:name="_Toc30985"/>
      <w:bookmarkStart w:id="95" w:name="_Toc13596"/>
      <w:bookmarkStart w:id="96" w:name="_Toc1122"/>
      <w:bookmarkStart w:id="97" w:name="_Toc2086"/>
      <w:bookmarkStart w:id="98" w:name="_Toc6755"/>
      <w:r>
        <w:rPr>
          <w:rFonts w:hint="eastAsia" w:ascii="黑体" w:hAnsi="黑体" w:eastAsia="黑体" w:cs="黑体"/>
          <w:sz w:val="28"/>
          <w:szCs w:val="28"/>
        </w:rPr>
        <w:t>开标时间和地点</w:t>
      </w:r>
      <w:bookmarkEnd w:id="92"/>
      <w:bookmarkEnd w:id="93"/>
      <w:bookmarkEnd w:id="94"/>
      <w:bookmarkEnd w:id="95"/>
      <w:bookmarkEnd w:id="96"/>
      <w:bookmarkEnd w:id="97"/>
      <w:bookmarkEnd w:id="98"/>
    </w:p>
    <w:p>
      <w:pPr>
        <w:autoSpaceDE w:val="0"/>
        <w:autoSpaceDN w:val="0"/>
        <w:adjustRightInd w:val="0"/>
        <w:snapToGrid w:val="0"/>
        <w:spacing w:line="360" w:lineRule="auto"/>
        <w:ind w:firstLine="480" w:firstLineChars="200"/>
        <w:jc w:val="left"/>
        <w:rPr>
          <w:rFonts w:hint="eastAsia" w:ascii="宋体" w:hAnsi="宋体" w:eastAsia="宋体" w:cs="宋体"/>
          <w:sz w:val="24"/>
          <w:szCs w:val="24"/>
          <w:highlight w:val="none"/>
          <w:lang w:eastAsia="zh-CN"/>
        </w:rPr>
      </w:pPr>
      <w:r>
        <w:rPr>
          <w:rFonts w:ascii="宋体" w:hAnsi="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cs="宋体"/>
          <w:sz w:val="24"/>
          <w:szCs w:val="24"/>
          <w:highlight w:val="none"/>
        </w:rPr>
        <w:t>开标时间：</w:t>
      </w:r>
      <w:r>
        <w:rPr>
          <w:rFonts w:hint="eastAsia" w:ascii="宋体" w:hAnsi="宋体" w:cs="宋体"/>
          <w:sz w:val="24"/>
          <w:szCs w:val="24"/>
          <w:highlight w:val="none"/>
          <w:lang w:eastAsia="zh-CN"/>
        </w:rPr>
        <w:t>2025</w:t>
      </w:r>
      <w:r>
        <w:rPr>
          <w:rFonts w:hint="eastAsia" w:ascii="宋体" w:hAnsi="宋体" w:cs="宋体"/>
          <w:sz w:val="24"/>
          <w:szCs w:val="24"/>
          <w:highlight w:val="none"/>
        </w:rPr>
        <w:t>年</w:t>
      </w:r>
      <w:r>
        <w:rPr>
          <w:rFonts w:hint="eastAsia" w:ascii="宋体" w:hAnsi="宋体" w:cs="宋体"/>
          <w:sz w:val="24"/>
          <w:szCs w:val="24"/>
          <w:highlight w:val="none"/>
          <w:lang w:val="en-US" w:eastAsia="zh-CN"/>
        </w:rPr>
        <w:t>3月6</w:t>
      </w:r>
      <w:r>
        <w:rPr>
          <w:rFonts w:hint="eastAsia" w:ascii="宋体" w:hAnsi="宋体" w:cs="宋体"/>
          <w:sz w:val="24"/>
          <w:szCs w:val="24"/>
          <w:highlight w:val="none"/>
        </w:rPr>
        <w:t>日上午</w:t>
      </w:r>
      <w:r>
        <w:rPr>
          <w:rFonts w:hint="eastAsia" w:ascii="宋体" w:hAnsi="宋体" w:cs="宋体"/>
          <w:sz w:val="24"/>
          <w:szCs w:val="24"/>
          <w:highlight w:val="none"/>
          <w:lang w:val="en-US" w:eastAsia="zh-CN"/>
        </w:rPr>
        <w:t xml:space="preserve">9:00 </w:t>
      </w:r>
    </w:p>
    <w:p>
      <w:pPr>
        <w:autoSpaceDE w:val="0"/>
        <w:autoSpaceDN w:val="0"/>
        <w:adjustRightInd w:val="0"/>
        <w:snapToGrid w:val="0"/>
        <w:spacing w:line="360" w:lineRule="auto"/>
        <w:ind w:firstLine="48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cs="宋体"/>
          <w:sz w:val="24"/>
          <w:szCs w:val="24"/>
          <w:highlight w:val="none"/>
        </w:rPr>
        <w:t>开标地点：</w:t>
      </w:r>
      <w:r>
        <w:rPr>
          <w:rFonts w:hint="eastAsia" w:ascii="宋体" w:hAnsi="宋体" w:cs="宋体"/>
          <w:sz w:val="24"/>
          <w:szCs w:val="24"/>
          <w:highlight w:val="none"/>
          <w:lang w:val="en-US" w:eastAsia="zh-CN"/>
        </w:rPr>
        <w:t xml:space="preserve"> </w:t>
      </w:r>
      <w:r>
        <w:rPr>
          <w:rFonts w:hint="eastAsia" w:ascii="宋体" w:hAnsi="宋体" w:cs="宋体"/>
          <w:color w:val="000000"/>
          <w:sz w:val="24"/>
          <w:szCs w:val="24"/>
          <w:highlight w:val="none"/>
          <w:u w:val="single"/>
          <w:lang w:val="en-US" w:eastAsia="zh-CN"/>
        </w:rPr>
        <w:t>中国重汽科技大厦309会议室</w:t>
      </w:r>
    </w:p>
    <w:p>
      <w:pPr>
        <w:pStyle w:val="4"/>
        <w:bidi w:val="0"/>
        <w:ind w:left="576" w:leftChars="0" w:hanging="576" w:firstLineChars="0"/>
        <w:rPr>
          <w:rFonts w:hint="eastAsia" w:ascii="黑体" w:hAnsi="黑体" w:eastAsia="黑体" w:cs="黑体"/>
          <w:sz w:val="28"/>
          <w:szCs w:val="28"/>
        </w:rPr>
      </w:pPr>
      <w:bookmarkStart w:id="99" w:name="_Toc3396"/>
      <w:bookmarkStart w:id="100" w:name="_Toc2869"/>
      <w:bookmarkStart w:id="101" w:name="_Toc11305"/>
      <w:bookmarkStart w:id="102" w:name="_Toc8613"/>
      <w:bookmarkStart w:id="103" w:name="_Toc23007"/>
      <w:bookmarkStart w:id="104" w:name="_Toc27115"/>
      <w:bookmarkStart w:id="105" w:name="_Toc16392"/>
      <w:r>
        <w:rPr>
          <w:rFonts w:hint="eastAsia" w:ascii="黑体" w:hAnsi="黑体" w:eastAsia="黑体" w:cs="黑体"/>
          <w:sz w:val="28"/>
          <w:szCs w:val="28"/>
        </w:rPr>
        <w:t>联系方式</w:t>
      </w:r>
      <w:bookmarkEnd w:id="99"/>
      <w:bookmarkEnd w:id="100"/>
      <w:bookmarkEnd w:id="101"/>
      <w:bookmarkEnd w:id="102"/>
      <w:bookmarkEnd w:id="103"/>
      <w:bookmarkEnd w:id="104"/>
      <w:bookmarkEnd w:id="105"/>
    </w:p>
    <w:p>
      <w:pPr>
        <w:numPr>
          <w:ilvl w:val="0"/>
          <w:numId w:val="0"/>
        </w:num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技术、商务答疑</w:t>
      </w:r>
    </w:p>
    <w:tbl>
      <w:tblPr>
        <w:tblStyle w:val="76"/>
        <w:tblW w:w="88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1218"/>
        <w:gridCol w:w="1510"/>
        <w:gridCol w:w="2735"/>
        <w:gridCol w:w="2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8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各板块答疑人员一览表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责任板块</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联系人</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联系方式</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国际板块</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梁思爱</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15165315200</w:t>
            </w:r>
          </w:p>
        </w:tc>
        <w:tc>
          <w:tcPr>
            <w:tcW w:w="2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运量、车辆数据及其他具体详细信息请联系各板块联系人。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重卡板块</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王军</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17860603309</w:t>
            </w:r>
          </w:p>
        </w:tc>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轻卡板块</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刘毅</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15865317961</w:t>
            </w:r>
          </w:p>
        </w:tc>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超限板块</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崔丽伟</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15315558775</w:t>
            </w:r>
          </w:p>
        </w:tc>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pStyle w:val="2"/>
        <w:numPr>
          <w:ilvl w:val="0"/>
          <w:numId w:val="0"/>
        </w:numPr>
        <w:rPr>
          <w:rFonts w:hint="eastAsia" w:ascii="宋体" w:hAnsi="宋体" w:eastAsia="宋体" w:cs="宋体"/>
        </w:rPr>
      </w:pP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cs="宋体"/>
          <w:color w:val="000000"/>
          <w:kern w:val="0"/>
          <w:sz w:val="24"/>
          <w:szCs w:val="24"/>
          <w:lang w:val="en-US" w:eastAsia="zh-CN" w:bidi="ar"/>
        </w:rPr>
        <w:t>(1)投标人</w:t>
      </w:r>
      <w:r>
        <w:rPr>
          <w:rFonts w:hint="eastAsia" w:ascii="宋体" w:hAnsi="宋体" w:eastAsia="宋体" w:cs="宋体"/>
          <w:color w:val="000000"/>
          <w:kern w:val="0"/>
          <w:sz w:val="24"/>
          <w:szCs w:val="24"/>
          <w:lang w:val="en-US" w:eastAsia="zh-CN" w:bidi="ar"/>
        </w:rPr>
        <w:t xml:space="preserve">应与相关答疑人员充分沟通，理解认可并接受相关技术规范及服务要求。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 xml:space="preserve">熟悉相关业务后，须准备业务运营方案及相应业务交接、开始运行业务时间等预案。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应严格执行相关技术质量标准，如果</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未按技术质量标准要求执行，</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应无条件进行整改，所发生的所有费用均由</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承担。如</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所供产品和服务质量存在严重缺陷，导致</w:t>
      </w:r>
      <w:r>
        <w:rPr>
          <w:rFonts w:hint="eastAsia" w:ascii="宋体" w:hAnsi="宋体" w:cs="宋体"/>
          <w:color w:val="000000"/>
          <w:kern w:val="0"/>
          <w:sz w:val="24"/>
          <w:szCs w:val="24"/>
          <w:lang w:val="en-US" w:eastAsia="zh-CN" w:bidi="ar"/>
        </w:rPr>
        <w:t>权属单位</w:t>
      </w:r>
      <w:r>
        <w:rPr>
          <w:rFonts w:hint="eastAsia" w:ascii="宋体" w:hAnsi="宋体" w:eastAsia="宋体" w:cs="宋体"/>
          <w:color w:val="000000"/>
          <w:kern w:val="0"/>
          <w:sz w:val="24"/>
          <w:szCs w:val="24"/>
          <w:lang w:val="en-US" w:eastAsia="zh-CN" w:bidi="ar"/>
        </w:rPr>
        <w:t>产品市场形象受到损害，</w:t>
      </w:r>
      <w:r>
        <w:rPr>
          <w:rFonts w:hint="eastAsia" w:ascii="宋体" w:hAnsi="宋体" w:cs="宋体"/>
          <w:color w:val="000000"/>
          <w:kern w:val="0"/>
          <w:sz w:val="24"/>
          <w:szCs w:val="24"/>
          <w:lang w:val="en-US" w:eastAsia="zh-CN" w:bidi="ar"/>
        </w:rPr>
        <w:t>权属单位</w:t>
      </w:r>
      <w:r>
        <w:rPr>
          <w:rFonts w:hint="eastAsia" w:ascii="宋体" w:hAnsi="宋体" w:eastAsia="宋体" w:cs="宋体"/>
          <w:color w:val="000000"/>
          <w:kern w:val="0"/>
          <w:sz w:val="24"/>
          <w:szCs w:val="24"/>
          <w:lang w:val="en-US" w:eastAsia="zh-CN" w:bidi="ar"/>
        </w:rPr>
        <w:t>有权中止或解除本合同，并由</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 xml:space="preserve">承担违约责任。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在</w:t>
      </w:r>
      <w:r>
        <w:rPr>
          <w:rFonts w:hint="eastAsia" w:ascii="宋体" w:hAnsi="宋体" w:cs="宋体"/>
          <w:color w:val="000000"/>
          <w:kern w:val="0"/>
          <w:sz w:val="24"/>
          <w:szCs w:val="24"/>
          <w:lang w:val="en-US" w:eastAsia="zh-CN" w:bidi="ar"/>
        </w:rPr>
        <w:t>权属单位场地内作业时</w:t>
      </w:r>
      <w:r>
        <w:rPr>
          <w:rFonts w:hint="eastAsia" w:ascii="宋体" w:hAnsi="宋体" w:eastAsia="宋体" w:cs="宋体"/>
          <w:color w:val="000000"/>
          <w:kern w:val="0"/>
          <w:sz w:val="24"/>
          <w:szCs w:val="24"/>
          <w:lang w:val="en-US" w:eastAsia="zh-CN" w:bidi="ar"/>
        </w:rPr>
        <w:t>，须严格遵守招标人园区内安全管理制度</w:t>
      </w:r>
      <w:r>
        <w:rPr>
          <w:rFonts w:hint="eastAsia" w:ascii="宋体" w:hAnsi="宋体" w:cs="宋体"/>
          <w:color w:val="000000"/>
          <w:kern w:val="0"/>
          <w:sz w:val="24"/>
          <w:szCs w:val="24"/>
          <w:lang w:val="en-US" w:eastAsia="zh-CN" w:bidi="ar"/>
        </w:rPr>
        <w:t>并</w:t>
      </w:r>
      <w:r>
        <w:rPr>
          <w:rFonts w:hint="eastAsia" w:ascii="宋体" w:hAnsi="宋体" w:eastAsia="宋体" w:cs="宋体"/>
          <w:color w:val="000000"/>
          <w:kern w:val="0"/>
          <w:sz w:val="24"/>
          <w:szCs w:val="24"/>
          <w:lang w:val="en-US" w:eastAsia="zh-CN" w:bidi="ar"/>
        </w:rPr>
        <w:t xml:space="preserve">接受相关监督和考核。 </w:t>
      </w:r>
    </w:p>
    <w:p>
      <w:pPr>
        <w:keepNext w:val="0"/>
        <w:keepLines w:val="0"/>
        <w:pageBreakBefore w:val="0"/>
        <w:widowControl/>
        <w:suppressLineNumbers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(5)投标人</w:t>
      </w:r>
      <w:r>
        <w:rPr>
          <w:rFonts w:hint="eastAsia" w:ascii="宋体" w:hAnsi="宋体" w:eastAsia="宋体" w:cs="宋体"/>
          <w:color w:val="000000"/>
          <w:kern w:val="0"/>
          <w:sz w:val="24"/>
          <w:szCs w:val="24"/>
          <w:lang w:val="en-US" w:eastAsia="zh-CN" w:bidi="ar"/>
        </w:rPr>
        <w:t>应充分理解并完全响应</w:t>
      </w:r>
      <w:r>
        <w:rPr>
          <w:rFonts w:hint="eastAsia" w:ascii="宋体" w:hAnsi="宋体" w:cs="宋体"/>
          <w:color w:val="000000"/>
          <w:kern w:val="0"/>
          <w:sz w:val="24"/>
          <w:szCs w:val="24"/>
          <w:lang w:val="en-US" w:eastAsia="zh-CN" w:bidi="ar"/>
        </w:rPr>
        <w:t>重汽</w:t>
      </w:r>
      <w:r>
        <w:rPr>
          <w:rFonts w:hint="eastAsia" w:ascii="宋体" w:hAnsi="宋体" w:eastAsia="宋体" w:cs="宋体"/>
          <w:color w:val="000000"/>
          <w:kern w:val="0"/>
          <w:sz w:val="24"/>
          <w:szCs w:val="24"/>
          <w:lang w:val="en-US" w:eastAsia="zh-CN" w:bidi="ar"/>
        </w:rPr>
        <w:t>集团各</w:t>
      </w:r>
      <w:r>
        <w:rPr>
          <w:rFonts w:hint="eastAsia" w:ascii="宋体" w:hAnsi="宋体" w:cs="宋体"/>
          <w:color w:val="000000"/>
          <w:kern w:val="0"/>
          <w:sz w:val="24"/>
          <w:szCs w:val="24"/>
          <w:lang w:val="en-US" w:eastAsia="zh-CN" w:bidi="ar"/>
        </w:rPr>
        <w:t>权属单位</w:t>
      </w:r>
      <w:r>
        <w:rPr>
          <w:rFonts w:hint="eastAsia" w:ascii="宋体" w:hAnsi="宋体" w:eastAsia="宋体" w:cs="宋体"/>
          <w:color w:val="000000"/>
          <w:kern w:val="0"/>
          <w:sz w:val="24"/>
          <w:szCs w:val="24"/>
          <w:lang w:val="en-US" w:eastAsia="zh-CN" w:bidi="ar"/>
        </w:rPr>
        <w:t>对该承运业务的承运质量和承运时效要求，对所承运车辆的完好性和及时性负全部责任，无法满足承运质量和承运时效要求的，</w:t>
      </w:r>
      <w:r>
        <w:rPr>
          <w:rFonts w:hint="eastAsia" w:ascii="宋体" w:hAnsi="宋体" w:cs="宋体"/>
          <w:color w:val="000000"/>
          <w:kern w:val="0"/>
          <w:sz w:val="24"/>
          <w:szCs w:val="24"/>
          <w:lang w:val="en-US" w:eastAsia="zh-CN" w:bidi="ar"/>
        </w:rPr>
        <w:t>权属单位</w:t>
      </w:r>
      <w:r>
        <w:rPr>
          <w:rFonts w:hint="eastAsia" w:ascii="宋体" w:hAnsi="宋体" w:eastAsia="宋体" w:cs="宋体"/>
          <w:color w:val="000000"/>
          <w:kern w:val="0"/>
          <w:sz w:val="24"/>
          <w:szCs w:val="24"/>
          <w:lang w:val="en-US" w:eastAsia="zh-CN" w:bidi="ar"/>
        </w:rPr>
        <w:t>有权扣除质保金，严重者解除合同并纳入</w:t>
      </w:r>
      <w:r>
        <w:rPr>
          <w:rFonts w:hint="eastAsia" w:ascii="宋体" w:hAnsi="宋体" w:cs="宋体"/>
          <w:color w:val="000000"/>
          <w:kern w:val="0"/>
          <w:sz w:val="24"/>
          <w:szCs w:val="24"/>
          <w:lang w:val="en-US" w:eastAsia="zh-CN" w:bidi="ar"/>
        </w:rPr>
        <w:t>重汽</w:t>
      </w:r>
      <w:r>
        <w:rPr>
          <w:rFonts w:hint="eastAsia" w:ascii="宋体" w:hAnsi="宋体" w:eastAsia="宋体" w:cs="宋体"/>
          <w:color w:val="000000"/>
          <w:kern w:val="0"/>
          <w:sz w:val="24"/>
          <w:szCs w:val="24"/>
          <w:lang w:val="en-US" w:eastAsia="zh-CN" w:bidi="ar"/>
        </w:rPr>
        <w:t xml:space="preserve">集团黑名单； </w:t>
      </w:r>
    </w:p>
    <w:p>
      <w:pPr>
        <w:keepNext w:val="0"/>
        <w:keepLines w:val="0"/>
        <w:pageBreakBefore w:val="0"/>
        <w:widowControl/>
        <w:suppressLineNumbers w:val="0"/>
        <w:kinsoku/>
        <w:wordWrap/>
        <w:overflowPunct/>
        <w:topLinePunct w:val="0"/>
        <w:bidi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对以上如有质疑，请在报价前与重汽集团智能物流中心联系，报价则视为接受以上规定，并能完全按照各环节要求执行，并认可各环节招标结果。扰乱招标流程和招标秩序的承运单位，将纳入重汽集团黑名单，终止集团内所有业务。</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w:t>
      </w:r>
      <w:r>
        <w:rPr>
          <w:rFonts w:hint="eastAsia" w:ascii="宋体" w:hAnsi="宋体" w:cs="宋体"/>
          <w:color w:val="000000"/>
          <w:sz w:val="24"/>
          <w:szCs w:val="24"/>
        </w:rPr>
        <w:t>中国重汽e采通操作咨询</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w:t>
      </w:r>
      <w:r>
        <w:rPr>
          <w:rFonts w:hint="eastAsia" w:ascii="宋体" w:hAnsi="宋体" w:cs="宋体"/>
          <w:sz w:val="24"/>
          <w:szCs w:val="24"/>
          <w:highlight w:val="none"/>
        </w:rPr>
        <w:t>李晓斌        联系电话：17860603455</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报名参标网址：</w:t>
      </w:r>
      <w:r>
        <w:rPr>
          <w:rFonts w:hint="eastAsia" w:ascii="宋体" w:hAnsi="宋体" w:cs="宋体"/>
          <w:color w:val="000000"/>
          <w:sz w:val="24"/>
          <w:szCs w:val="24"/>
        </w:rPr>
        <w:t>http</w:t>
      </w:r>
      <w:r>
        <w:rPr>
          <w:rFonts w:hint="eastAsia" w:ascii="宋体" w:hAnsi="宋体" w:cs="宋体"/>
          <w:color w:val="000000"/>
          <w:sz w:val="24"/>
          <w:szCs w:val="24"/>
          <w:lang w:val="en-US" w:eastAsia="zh-CN"/>
        </w:rPr>
        <w:t>s</w:t>
      </w:r>
      <w:r>
        <w:rPr>
          <w:rFonts w:hint="eastAsia" w:ascii="宋体" w:hAnsi="宋体" w:cs="宋体"/>
          <w:color w:val="000000"/>
          <w:sz w:val="24"/>
          <w:szCs w:val="24"/>
        </w:rPr>
        <w:t>://ecaitong.sinotruk.com:8012</w:t>
      </w:r>
    </w:p>
    <w:p>
      <w:pPr>
        <w:pStyle w:val="4"/>
        <w:bidi w:val="0"/>
        <w:ind w:left="576" w:leftChars="0" w:hanging="576" w:firstLineChars="0"/>
        <w:rPr>
          <w:rFonts w:hint="eastAsia" w:ascii="黑体" w:hAnsi="黑体" w:eastAsia="黑体" w:cs="黑体"/>
          <w:sz w:val="28"/>
          <w:szCs w:val="28"/>
        </w:rPr>
      </w:pPr>
      <w:bookmarkStart w:id="106" w:name="_Toc26769"/>
      <w:bookmarkStart w:id="107" w:name="_Toc4987"/>
      <w:bookmarkStart w:id="108" w:name="_Toc8863"/>
      <w:bookmarkStart w:id="109" w:name="_Toc28817"/>
      <w:bookmarkStart w:id="110" w:name="_Toc29055"/>
      <w:bookmarkStart w:id="111" w:name="_Toc5930"/>
      <w:bookmarkStart w:id="112" w:name="_Toc28928"/>
      <w:r>
        <w:rPr>
          <w:rFonts w:hint="eastAsia" w:ascii="黑体" w:hAnsi="黑体" w:eastAsia="黑体" w:cs="黑体"/>
          <w:sz w:val="28"/>
          <w:szCs w:val="28"/>
        </w:rPr>
        <w:t>投标保证金</w:t>
      </w:r>
      <w:bookmarkEnd w:id="106"/>
      <w:bookmarkEnd w:id="107"/>
      <w:bookmarkEnd w:id="108"/>
      <w:bookmarkEnd w:id="109"/>
      <w:bookmarkEnd w:id="110"/>
      <w:bookmarkEnd w:id="111"/>
      <w:bookmarkEnd w:id="112"/>
    </w:p>
    <w:p>
      <w:pPr>
        <w:spacing w:line="360" w:lineRule="auto"/>
        <w:ind w:firstLine="480" w:firstLineChars="200"/>
        <w:rPr>
          <w:rFonts w:ascii="宋体" w:hAnsi="宋体" w:cs="宋体"/>
          <w:sz w:val="24"/>
          <w:szCs w:val="24"/>
        </w:rPr>
      </w:pPr>
      <w:r>
        <w:rPr>
          <w:rFonts w:hint="eastAsia" w:ascii="宋体" w:hAnsi="宋体" w:cs="宋体"/>
          <w:color w:val="000000"/>
          <w:sz w:val="24"/>
          <w:szCs w:val="24"/>
          <w:highlight w:val="none"/>
        </w:rPr>
        <w:t xml:space="preserve">1.投标人于 </w:t>
      </w:r>
      <w:r>
        <w:rPr>
          <w:rFonts w:hint="eastAsia" w:ascii="宋体" w:hAnsi="宋体" w:cs="宋体"/>
          <w:color w:val="000000"/>
          <w:sz w:val="24"/>
          <w:szCs w:val="24"/>
          <w:highlight w:val="none"/>
          <w:lang w:eastAsia="zh-CN"/>
        </w:rPr>
        <w:t>2025</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3月5</w:t>
      </w:r>
      <w:r>
        <w:rPr>
          <w:rFonts w:hint="eastAsia" w:ascii="宋体" w:hAnsi="宋体" w:cs="宋体"/>
          <w:color w:val="000000"/>
          <w:sz w:val="24"/>
          <w:szCs w:val="24"/>
          <w:highlight w:val="none"/>
          <w:u w:val="single"/>
        </w:rPr>
        <w:t>日1</w:t>
      </w:r>
      <w:r>
        <w:rPr>
          <w:rFonts w:hint="eastAsia" w:ascii="宋体" w:hAnsi="宋体" w:cs="宋体"/>
          <w:color w:val="000000"/>
          <w:sz w:val="24"/>
          <w:szCs w:val="24"/>
          <w:highlight w:val="none"/>
          <w:u w:val="single"/>
          <w:lang w:val="en-US" w:eastAsia="zh-CN"/>
        </w:rPr>
        <w:t>2</w:t>
      </w:r>
      <w:r>
        <w:rPr>
          <w:rFonts w:hint="eastAsia" w:ascii="宋体" w:hAnsi="宋体" w:cs="宋体"/>
          <w:color w:val="000000"/>
          <w:sz w:val="24"/>
          <w:szCs w:val="24"/>
          <w:highlight w:val="none"/>
          <w:u w:val="single"/>
        </w:rPr>
        <w:t>:00</w:t>
      </w:r>
      <w:r>
        <w:rPr>
          <w:rFonts w:hint="eastAsia" w:ascii="宋体" w:hAnsi="宋体" w:cs="宋体"/>
          <w:color w:val="000000"/>
          <w:sz w:val="24"/>
          <w:szCs w:val="24"/>
          <w:highlight w:val="none"/>
        </w:rPr>
        <w:t>之前完成向招标人财务部门缴纳人民币</w:t>
      </w:r>
      <w:r>
        <w:rPr>
          <w:rFonts w:hint="eastAsia" w:ascii="宋体" w:hAnsi="宋体" w:cs="宋体"/>
          <w:color w:val="000000"/>
          <w:sz w:val="24"/>
          <w:szCs w:val="24"/>
          <w:highlight w:val="none"/>
          <w:u w:val="single"/>
        </w:rPr>
        <w:t>10000</w:t>
      </w:r>
      <w:r>
        <w:rPr>
          <w:rFonts w:hint="eastAsia" w:ascii="宋体" w:hAnsi="宋体" w:cs="宋体"/>
          <w:color w:val="000000"/>
          <w:sz w:val="24"/>
          <w:szCs w:val="24"/>
          <w:highlight w:val="none"/>
          <w:u w:val="single"/>
          <w:lang w:val="en-US" w:eastAsia="zh-CN"/>
        </w:rPr>
        <w:t>00</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元（</w:t>
      </w:r>
      <w:r>
        <w:rPr>
          <w:rFonts w:hint="eastAsia" w:ascii="宋体" w:hAnsi="宋体" w:cs="宋体"/>
          <w:color w:val="000000"/>
          <w:sz w:val="24"/>
          <w:szCs w:val="24"/>
          <w:highlight w:val="none"/>
          <w:lang w:val="en-US" w:eastAsia="zh-CN"/>
        </w:rPr>
        <w:t>壹佰</w:t>
      </w:r>
      <w:r>
        <w:rPr>
          <w:rFonts w:hint="eastAsia" w:ascii="宋体" w:hAnsi="宋体" w:cs="宋体"/>
          <w:color w:val="000000"/>
          <w:sz w:val="24"/>
          <w:szCs w:val="24"/>
          <w:highlight w:val="none"/>
        </w:rPr>
        <w:t>万元整），</w:t>
      </w:r>
      <w:r>
        <w:rPr>
          <w:rFonts w:hint="eastAsia" w:ascii="宋体" w:hAnsi="宋体" w:cs="宋体"/>
          <w:color w:val="000000"/>
          <w:sz w:val="24"/>
          <w:szCs w:val="24"/>
        </w:rPr>
        <w:t>作为投标人本次投标的保</w:t>
      </w:r>
      <w:r>
        <w:rPr>
          <w:rFonts w:hint="eastAsia" w:ascii="宋体" w:hAnsi="宋体" w:cs="宋体"/>
          <w:color w:val="000000"/>
          <w:sz w:val="24"/>
          <w:szCs w:val="24"/>
          <w:highlight w:val="none"/>
        </w:rPr>
        <w:t>证金</w:t>
      </w:r>
      <w:r>
        <w:rPr>
          <w:rFonts w:hint="eastAsia" w:ascii="宋体" w:hAnsi="宋体" w:cs="宋体"/>
          <w:color w:val="000000"/>
          <w:sz w:val="24"/>
          <w:szCs w:val="24"/>
          <w:highlight w:val="none"/>
          <w:lang w:eastAsia="zh-CN"/>
        </w:rPr>
        <w:t>，</w:t>
      </w:r>
      <w:r>
        <w:rPr>
          <w:rFonts w:hint="eastAsia" w:asciiTheme="minorEastAsia" w:hAnsiTheme="minorEastAsia" w:eastAsiaTheme="minorEastAsia"/>
          <w:sz w:val="24"/>
          <w:szCs w:val="24"/>
          <w:highlight w:val="none"/>
        </w:rPr>
        <w:t>从事</w:t>
      </w:r>
      <w:r>
        <w:rPr>
          <w:rFonts w:hint="eastAsia" w:asciiTheme="minorEastAsia" w:hAnsiTheme="minorEastAsia" w:eastAsiaTheme="minorEastAsia"/>
          <w:sz w:val="24"/>
          <w:szCs w:val="24"/>
          <w:highlight w:val="none"/>
          <w:lang w:val="en-US" w:eastAsia="zh-CN"/>
        </w:rPr>
        <w:t>重汽</w:t>
      </w:r>
      <w:r>
        <w:rPr>
          <w:rFonts w:hint="eastAsia" w:asciiTheme="minorEastAsia" w:hAnsiTheme="minorEastAsia" w:eastAsiaTheme="minorEastAsia"/>
          <w:sz w:val="24"/>
          <w:szCs w:val="24"/>
          <w:highlight w:val="none"/>
        </w:rPr>
        <w:t>集团内整车运输业务的可免交保证金</w:t>
      </w:r>
      <w:r>
        <w:rPr>
          <w:rFonts w:hint="eastAsia" w:ascii="宋体" w:hAnsi="宋体" w:cs="宋体"/>
          <w:color w:val="000000"/>
          <w:sz w:val="24"/>
          <w:szCs w:val="24"/>
        </w:rPr>
        <w:t>。</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2.缴纳方式：基本账户转账。</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3.接收单位：中国重型汽车集团有限公司 </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4.转账信息：</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开户银行：中国工商银行济南天桥支行</w:t>
      </w:r>
    </w:p>
    <w:p>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户名：中国重型汽车集团有限公司  </w:t>
      </w:r>
    </w:p>
    <w:p>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账号：1602005019200063284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highlight w:val="none"/>
        </w:rPr>
        <w:t>应</w:t>
      </w:r>
      <w:r>
        <w:rPr>
          <w:rFonts w:hint="eastAsia" w:ascii="宋体" w:hAnsi="宋体" w:cs="宋体"/>
          <w:color w:val="000000"/>
          <w:sz w:val="24"/>
          <w:szCs w:val="24"/>
        </w:rPr>
        <w:t>备注“</w:t>
      </w:r>
      <w:r>
        <w:rPr>
          <w:rFonts w:hint="eastAsia" w:ascii="宋体" w:hAnsi="宋体" w:cs="宋体"/>
          <w:color w:val="000000"/>
          <w:sz w:val="24"/>
          <w:szCs w:val="24"/>
          <w:lang w:val="en-US" w:eastAsia="zh-CN"/>
        </w:rPr>
        <w:t>2025年商用车板车</w:t>
      </w:r>
      <w:r>
        <w:rPr>
          <w:rFonts w:hint="eastAsia" w:ascii="宋体" w:hAnsi="宋体" w:cs="宋体"/>
          <w:color w:val="000000"/>
          <w:sz w:val="24"/>
          <w:szCs w:val="24"/>
          <w:lang w:eastAsia="zh-CN"/>
        </w:rPr>
        <w:t>运输项目投标保证金</w:t>
      </w:r>
      <w:r>
        <w:rPr>
          <w:rFonts w:hint="eastAsia" w:ascii="宋体" w:hAnsi="宋体" w:cs="宋体"/>
          <w:color w:val="000000"/>
          <w:sz w:val="24"/>
          <w:szCs w:val="24"/>
        </w:rPr>
        <w:t>”</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注：投标人应充分考虑银行信息交换时间，由此带来的保证金不能按时到帐的由投标人自行承担。</w:t>
      </w:r>
    </w:p>
    <w:p>
      <w:pPr>
        <w:pStyle w:val="2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szCs w:val="24"/>
          <w:highlight w:val="none"/>
        </w:rPr>
      </w:pPr>
      <w:r>
        <w:rPr>
          <w:rFonts w:hint="eastAsia" w:ascii="宋体" w:hAnsi="宋体" w:cs="宋体"/>
          <w:color w:val="000000"/>
          <w:sz w:val="24"/>
          <w:szCs w:val="24"/>
        </w:rPr>
        <w:t>5.保证金到期为无息退还，未中标</w:t>
      </w:r>
      <w:r>
        <w:rPr>
          <w:rFonts w:hint="eastAsia" w:ascii="宋体" w:hAnsi="宋体" w:cs="宋体"/>
          <w:color w:val="000000"/>
          <w:sz w:val="24"/>
          <w:szCs w:val="24"/>
          <w:lang w:val="en-US" w:eastAsia="zh-CN"/>
        </w:rPr>
        <w:t>单位</w:t>
      </w:r>
      <w:r>
        <w:rPr>
          <w:rFonts w:hint="eastAsia" w:ascii="宋体" w:hAnsi="宋体" w:cs="宋体"/>
          <w:color w:val="000000"/>
          <w:sz w:val="24"/>
          <w:szCs w:val="24"/>
        </w:rPr>
        <w:t>在中标通知书发出后</w:t>
      </w:r>
      <w:r>
        <w:rPr>
          <w:rFonts w:hint="eastAsia" w:ascii="宋体" w:hAnsi="宋体" w:cs="宋体"/>
          <w:color w:val="000000"/>
          <w:sz w:val="24"/>
          <w:szCs w:val="24"/>
          <w:lang w:val="en-US" w:eastAsia="zh-CN"/>
        </w:rPr>
        <w:t>次月底前</w:t>
      </w:r>
      <w:r>
        <w:rPr>
          <w:rFonts w:hint="eastAsia" w:ascii="宋体" w:hAnsi="宋体" w:cs="宋体"/>
          <w:color w:val="000000"/>
          <w:sz w:val="24"/>
          <w:szCs w:val="24"/>
        </w:rPr>
        <w:t>，财务部门退还投标保证金；中标</w:t>
      </w:r>
      <w:r>
        <w:rPr>
          <w:rFonts w:hint="eastAsia" w:ascii="宋体" w:hAnsi="宋体" w:cs="宋体"/>
          <w:color w:val="000000"/>
          <w:sz w:val="24"/>
          <w:szCs w:val="24"/>
          <w:lang w:val="en-US" w:eastAsia="zh-CN"/>
        </w:rPr>
        <w:t>单位</w:t>
      </w:r>
      <w:r>
        <w:rPr>
          <w:rFonts w:hint="eastAsia" w:ascii="宋体" w:hAnsi="宋体" w:cs="宋体"/>
          <w:color w:val="000000"/>
          <w:sz w:val="24"/>
          <w:szCs w:val="24"/>
        </w:rPr>
        <w:t>在采购合同签订后</w:t>
      </w:r>
      <w:r>
        <w:rPr>
          <w:rFonts w:hint="eastAsia" w:ascii="宋体" w:hAnsi="宋体" w:cs="宋体"/>
          <w:color w:val="000000"/>
          <w:sz w:val="24"/>
          <w:szCs w:val="24"/>
          <w:lang w:val="en-US" w:eastAsia="zh-CN"/>
        </w:rPr>
        <w:t>次月底前</w:t>
      </w:r>
      <w:r>
        <w:rPr>
          <w:rFonts w:hint="eastAsia" w:ascii="宋体" w:hAnsi="宋体" w:cs="宋体"/>
          <w:color w:val="000000"/>
          <w:sz w:val="24"/>
          <w:szCs w:val="24"/>
        </w:rPr>
        <w:t>退还投标保证</w:t>
      </w:r>
      <w:r>
        <w:rPr>
          <w:rFonts w:hint="eastAsia" w:ascii="宋体" w:hAnsi="宋体" w:cs="宋体"/>
          <w:color w:val="000000"/>
          <w:sz w:val="24"/>
          <w:szCs w:val="24"/>
          <w:highlight w:val="none"/>
        </w:rPr>
        <w:t>金</w:t>
      </w:r>
      <w:r>
        <w:rPr>
          <w:rFonts w:hint="eastAsia" w:ascii="宋体" w:hAnsi="宋体" w:cs="宋体"/>
          <w:color w:val="000000"/>
          <w:sz w:val="24"/>
          <w:szCs w:val="24"/>
          <w:highlight w:val="none"/>
          <w:lang w:eastAsia="zh-CN"/>
        </w:rPr>
        <w:t>，恶意竞价、中标后拒绝履约</w:t>
      </w:r>
      <w:r>
        <w:rPr>
          <w:rFonts w:hint="eastAsia" w:ascii="宋体" w:hAnsi="宋体" w:cs="宋体"/>
          <w:color w:val="000000"/>
          <w:sz w:val="24"/>
          <w:szCs w:val="24"/>
          <w:highlight w:val="none"/>
          <w:lang w:val="en-US" w:eastAsia="zh-CN"/>
        </w:rPr>
        <w:t>的扣除全部投标保证金，</w:t>
      </w:r>
      <w:r>
        <w:rPr>
          <w:rFonts w:hint="eastAsia" w:ascii="宋体" w:hAnsi="宋体" w:cs="宋体"/>
          <w:color w:val="000000"/>
          <w:sz w:val="24"/>
          <w:szCs w:val="24"/>
          <w:highlight w:val="none"/>
          <w:lang w:eastAsia="zh-CN"/>
        </w:rPr>
        <w:t>履约后又申请退出的扣除</w:t>
      </w:r>
      <w:r>
        <w:rPr>
          <w:rFonts w:hint="eastAsia" w:ascii="宋体" w:hAnsi="宋体" w:cs="宋体"/>
          <w:color w:val="000000"/>
          <w:sz w:val="24"/>
          <w:szCs w:val="24"/>
          <w:highlight w:val="none"/>
          <w:lang w:val="en-US" w:eastAsia="zh-CN"/>
        </w:rPr>
        <w:t>全部履约保证金，同时其所有板车运输承运线路必须同步退出</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投标人须于招标人中标结果发出三日内与招标人指定联系人沟通合同签订事宜，二十日内完成合同签订，并应当按照合同约定的履约责任，于合同签订前向相关权属单位（业务单位）缴纳履约保证金</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否则视为违约，</w:t>
      </w:r>
      <w:r>
        <w:rPr>
          <w:rFonts w:hint="eastAsia" w:ascii="宋体" w:hAnsi="宋体" w:cs="宋体"/>
          <w:color w:val="000000"/>
          <w:sz w:val="24"/>
          <w:szCs w:val="24"/>
          <w:highlight w:val="none"/>
        </w:rPr>
        <w:t>保证金不予退回。</w:t>
      </w:r>
    </w:p>
    <w:p>
      <w:pPr>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6.履约保证金：</w:t>
      </w:r>
      <w:r>
        <w:rPr>
          <w:rFonts w:hint="eastAsia" w:ascii="宋体" w:hAnsi="宋体" w:cs="宋体"/>
          <w:color w:val="000000"/>
          <w:sz w:val="24"/>
          <w:szCs w:val="24"/>
          <w:highlight w:val="none"/>
          <w:lang w:val="en-US" w:eastAsia="zh-CN"/>
        </w:rPr>
        <w:t>300 万元，需要针对多家主营单位签约的合计履约保证金控制在300万元；现供方履约保证金累计达到1000万元，则不再缴纳保证金。</w:t>
      </w:r>
    </w:p>
    <w:p>
      <w:pPr>
        <w:pStyle w:val="72"/>
        <w:ind w:left="420"/>
        <w:rPr>
          <w:rFonts w:hint="eastAsia" w:ascii="黑体" w:hAnsi="黑体" w:eastAsia="黑体" w:cs="黑体"/>
          <w:sz w:val="40"/>
          <w:szCs w:val="40"/>
        </w:rPr>
      </w:pPr>
      <w:r>
        <w:rPr>
          <w:rFonts w:hint="eastAsia" w:ascii="黑体" w:hAnsi="黑体" w:eastAsia="黑体" w:cs="黑体"/>
          <w:sz w:val="40"/>
          <w:szCs w:val="40"/>
        </w:rPr>
        <w:t>投标人须知</w:t>
      </w:r>
      <w:bookmarkEnd w:id="0"/>
      <w:bookmarkEnd w:id="1"/>
      <w:bookmarkEnd w:id="2"/>
      <w:bookmarkEnd w:id="3"/>
      <w:bookmarkEnd w:id="4"/>
      <w:bookmarkEnd w:id="5"/>
      <w:bookmarkEnd w:id="6"/>
      <w:bookmarkEnd w:id="7"/>
      <w:bookmarkEnd w:id="8"/>
      <w:bookmarkEnd w:id="9"/>
      <w:bookmarkStart w:id="113" w:name="_Toc129685543"/>
      <w:bookmarkEnd w:id="113"/>
      <w:bookmarkStart w:id="114" w:name="_Toc129685544"/>
      <w:bookmarkEnd w:id="114"/>
    </w:p>
    <w:p>
      <w:pPr>
        <w:pStyle w:val="292"/>
        <w:keepNext/>
        <w:keepLines/>
        <w:numPr>
          <w:ilvl w:val="0"/>
          <w:numId w:val="8"/>
        </w:numPr>
        <w:spacing w:line="360" w:lineRule="auto"/>
        <w:ind w:firstLineChars="0"/>
        <w:jc w:val="left"/>
        <w:outlineLvl w:val="1"/>
        <w:rPr>
          <w:b/>
          <w:vanish/>
          <w:kern w:val="0"/>
          <w:sz w:val="24"/>
          <w:szCs w:val="32"/>
        </w:rPr>
      </w:pPr>
      <w:bookmarkStart w:id="115" w:name="_Toc129692640"/>
      <w:bookmarkEnd w:id="115"/>
      <w:bookmarkStart w:id="116" w:name="_Toc142572974"/>
      <w:bookmarkEnd w:id="116"/>
      <w:bookmarkStart w:id="117" w:name="_Toc142573645"/>
      <w:bookmarkEnd w:id="117"/>
      <w:bookmarkStart w:id="118" w:name="_Toc129693371"/>
      <w:bookmarkEnd w:id="118"/>
      <w:bookmarkStart w:id="119" w:name="_Toc142573020"/>
      <w:bookmarkEnd w:id="119"/>
      <w:bookmarkStart w:id="120" w:name="_Toc129692786"/>
      <w:bookmarkEnd w:id="120"/>
      <w:bookmarkStart w:id="121" w:name="_Toc129697443"/>
      <w:bookmarkEnd w:id="121"/>
      <w:bookmarkStart w:id="122" w:name="_Toc142573112"/>
      <w:bookmarkEnd w:id="122"/>
      <w:bookmarkStart w:id="123" w:name="_Toc129693887"/>
      <w:bookmarkEnd w:id="123"/>
      <w:bookmarkStart w:id="124" w:name="_Toc129692723"/>
      <w:bookmarkEnd w:id="124"/>
      <w:bookmarkStart w:id="125" w:name="_Toc142572939"/>
      <w:bookmarkEnd w:id="125"/>
      <w:bookmarkStart w:id="126" w:name="_Toc142573481"/>
      <w:bookmarkEnd w:id="126"/>
      <w:bookmarkStart w:id="127" w:name="_Toc129695603"/>
      <w:bookmarkEnd w:id="127"/>
    </w:p>
    <w:p>
      <w:pPr>
        <w:pStyle w:val="292"/>
        <w:keepNext/>
        <w:keepLines/>
        <w:numPr>
          <w:ilvl w:val="0"/>
          <w:numId w:val="8"/>
        </w:numPr>
        <w:spacing w:line="360" w:lineRule="auto"/>
        <w:ind w:firstLineChars="0"/>
        <w:jc w:val="left"/>
        <w:outlineLvl w:val="1"/>
        <w:rPr>
          <w:b/>
          <w:vanish/>
          <w:kern w:val="0"/>
          <w:sz w:val="24"/>
          <w:szCs w:val="32"/>
        </w:rPr>
      </w:pPr>
      <w:bookmarkStart w:id="128" w:name="_Toc129695604"/>
      <w:bookmarkEnd w:id="128"/>
      <w:bookmarkStart w:id="129" w:name="_Toc129692724"/>
      <w:bookmarkEnd w:id="129"/>
      <w:bookmarkStart w:id="130" w:name="_Toc142573021"/>
      <w:bookmarkEnd w:id="130"/>
      <w:bookmarkStart w:id="131" w:name="_Toc129697444"/>
      <w:bookmarkEnd w:id="131"/>
      <w:bookmarkStart w:id="132" w:name="_Toc129692787"/>
      <w:bookmarkEnd w:id="132"/>
      <w:bookmarkStart w:id="133" w:name="_Toc129693888"/>
      <w:bookmarkEnd w:id="133"/>
      <w:bookmarkStart w:id="134" w:name="_Toc142573646"/>
      <w:bookmarkEnd w:id="134"/>
      <w:bookmarkStart w:id="135" w:name="_Toc142572940"/>
      <w:bookmarkEnd w:id="135"/>
      <w:bookmarkStart w:id="136" w:name="_Toc129692641"/>
      <w:bookmarkEnd w:id="136"/>
      <w:bookmarkStart w:id="137" w:name="_Toc142573482"/>
      <w:bookmarkEnd w:id="137"/>
      <w:bookmarkStart w:id="138" w:name="_Toc142573113"/>
      <w:bookmarkEnd w:id="138"/>
      <w:bookmarkStart w:id="139" w:name="_Toc129693372"/>
      <w:bookmarkEnd w:id="139"/>
      <w:bookmarkStart w:id="140" w:name="_Toc142572975"/>
      <w:bookmarkEnd w:id="140"/>
    </w:p>
    <w:p>
      <w:pPr>
        <w:pStyle w:val="4"/>
        <w:numPr>
          <w:ilvl w:val="1"/>
          <w:numId w:val="8"/>
        </w:numPr>
        <w:spacing w:before="0" w:beforeLines="0"/>
        <w:rPr>
          <w:rFonts w:hint="eastAsia" w:ascii="黑体" w:hAnsi="黑体" w:eastAsia="黑体" w:cs="黑体"/>
          <w:sz w:val="28"/>
          <w:szCs w:val="28"/>
        </w:rPr>
      </w:pPr>
      <w:bookmarkStart w:id="141" w:name="_Toc28952"/>
      <w:bookmarkStart w:id="142" w:name="_Toc10162"/>
      <w:bookmarkStart w:id="143" w:name="_Toc30551"/>
      <w:bookmarkStart w:id="144" w:name="_Toc8123"/>
      <w:bookmarkStart w:id="145" w:name="_Toc22704"/>
      <w:bookmarkStart w:id="146" w:name="_Toc14852"/>
      <w:bookmarkStart w:id="147" w:name="_Toc396"/>
      <w:bookmarkStart w:id="148" w:name="_Toc30171"/>
      <w:bookmarkStart w:id="149" w:name="_Toc6707"/>
      <w:r>
        <w:rPr>
          <w:rFonts w:hint="eastAsia" w:ascii="黑体" w:hAnsi="黑体" w:eastAsia="黑体" w:cs="黑体"/>
          <w:sz w:val="28"/>
          <w:szCs w:val="28"/>
        </w:rPr>
        <w:t>投标人须知前附表</w:t>
      </w:r>
      <w:bookmarkEnd w:id="141"/>
      <w:bookmarkEnd w:id="142"/>
      <w:bookmarkEnd w:id="143"/>
      <w:bookmarkEnd w:id="144"/>
      <w:bookmarkEnd w:id="145"/>
      <w:bookmarkEnd w:id="146"/>
      <w:bookmarkEnd w:id="147"/>
      <w:bookmarkEnd w:id="148"/>
      <w:bookmarkEnd w:id="149"/>
    </w:p>
    <w:p>
      <w:pPr>
        <w:spacing w:line="360" w:lineRule="auto"/>
        <w:ind w:firstLine="480" w:firstLineChars="200"/>
        <w:rPr>
          <w:rFonts w:ascii="宋体" w:hAnsi="宋体"/>
          <w:sz w:val="24"/>
          <w:szCs w:val="24"/>
        </w:rPr>
      </w:pPr>
      <w:r>
        <w:rPr>
          <w:rFonts w:hint="eastAsia" w:ascii="宋体" w:hAnsi="宋体" w:cs="宋体"/>
          <w:sz w:val="24"/>
          <w:szCs w:val="24"/>
        </w:rPr>
        <w:t>本表是对“投标人须知”正文的具体补充和修改，如有不一致，以“前附表”为准。</w:t>
      </w:r>
    </w:p>
    <w:tbl>
      <w:tblPr>
        <w:tblStyle w:val="76"/>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664"/>
        <w:gridCol w:w="84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blHeader/>
          <w:jc w:val="center"/>
        </w:trPr>
        <w:tc>
          <w:tcPr>
            <w:tcW w:w="364"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bookmarkStart w:id="150" w:name="_Toc346372875"/>
            <w:r>
              <w:rPr>
                <w:rFonts w:hint="eastAsia" w:ascii="宋体" w:hAnsi="宋体" w:cs="宋体"/>
                <w:sz w:val="24"/>
              </w:rPr>
              <w:t>序号</w:t>
            </w:r>
          </w:p>
        </w:tc>
        <w:tc>
          <w:tcPr>
            <w:tcW w:w="4635" w:type="pct"/>
            <w:tcBorders>
              <w:top w:val="single" w:color="auto" w:sz="2" w:space="0"/>
              <w:left w:val="single" w:color="auto" w:sz="2" w:space="0"/>
              <w:bottom w:val="single" w:color="auto" w:sz="2" w:space="0"/>
              <w:right w:val="single" w:color="auto" w:sz="2" w:space="0"/>
            </w:tcBorders>
            <w:vAlign w:val="center"/>
          </w:tcPr>
          <w:p>
            <w:pPr>
              <w:spacing w:line="360" w:lineRule="auto"/>
              <w:ind w:firstLine="3542" w:firstLineChars="1470"/>
              <w:rPr>
                <w:rFonts w:ascii="宋体" w:hAnsi="宋体"/>
                <w:b/>
                <w:bCs/>
                <w:sz w:val="24"/>
                <w:szCs w:val="24"/>
              </w:rPr>
            </w:pPr>
            <w:r>
              <w:rPr>
                <w:rFonts w:hint="eastAsia" w:ascii="宋体" w:hAnsi="宋体" w:cs="宋体"/>
                <w:b/>
                <w:bCs/>
                <w:sz w:val="24"/>
              </w:rPr>
              <w:t>内容说明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6" w:hRule="atLeast"/>
          <w:jc w:val="center"/>
        </w:trPr>
        <w:tc>
          <w:tcPr>
            <w:tcW w:w="364"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1</w:t>
            </w:r>
          </w:p>
        </w:tc>
        <w:tc>
          <w:tcPr>
            <w:tcW w:w="4635"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rPr>
              <w:t>项目名称</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中国重汽集团2025年商用车板车运输项目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ascii="宋体" w:hAnsi="宋体" w:cs="宋体"/>
                <w:color w:val="000000"/>
                <w:sz w:val="24"/>
                <w:szCs w:val="24"/>
                <w:highlight w:val="none"/>
                <w:lang w:val="en-US" w:eastAsia="zh-CN"/>
              </w:rPr>
              <w:t>本次招标确定2025年4月</w:t>
            </w:r>
            <w:r>
              <w:rPr>
                <w:rFonts w:hint="default" w:ascii="宋体" w:hAnsi="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日——2026年3月31日的合同期，共三个包次，总包总中，</w:t>
            </w:r>
            <w:r>
              <w:rPr>
                <w:rFonts w:ascii="宋体" w:hAnsi="宋体" w:eastAsia="宋体" w:cs="宋体"/>
                <w:sz w:val="24"/>
                <w:szCs w:val="24"/>
                <w:highlight w:val="none"/>
              </w:rPr>
              <w:t>按综合评分</w:t>
            </w:r>
            <w:r>
              <w:rPr>
                <w:rFonts w:hint="eastAsia" w:ascii="宋体" w:hAnsi="宋体" w:cs="宋体"/>
                <w:color w:val="000000"/>
                <w:sz w:val="24"/>
                <w:szCs w:val="24"/>
                <w:highlight w:val="none"/>
                <w:lang w:val="en-US" w:eastAsia="zh-CN"/>
              </w:rPr>
              <w:t>确定三个中标单位和一个备选单位，</w:t>
            </w:r>
            <w:r>
              <w:rPr>
                <w:rFonts w:ascii="宋体" w:hAnsi="宋体" w:eastAsia="宋体" w:cs="宋体"/>
                <w:sz w:val="24"/>
                <w:szCs w:val="24"/>
                <w:highlight w:val="none"/>
              </w:rPr>
              <w:t>中标后按照50%、</w:t>
            </w: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0%、</w:t>
            </w: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0%分配份额</w:t>
            </w:r>
            <w:r>
              <w:rPr>
                <w:rFonts w:hint="eastAsia" w:ascii="宋体" w:hAnsi="宋体" w:eastAsia="宋体" w:cs="宋体"/>
                <w:sz w:val="24"/>
                <w:szCs w:val="24"/>
                <w:highlight w:val="none"/>
                <w:lang w:eastAsia="zh-CN"/>
              </w:rPr>
              <w:t>，</w:t>
            </w:r>
            <w:r>
              <w:rPr>
                <w:rFonts w:hint="eastAsia" w:ascii="宋体" w:hAnsi="宋体" w:cs="宋体"/>
                <w:color w:val="000000"/>
                <w:sz w:val="24"/>
                <w:szCs w:val="24"/>
                <w:highlight w:val="none"/>
                <w:lang w:val="en-US" w:eastAsia="zh-CN"/>
              </w:rPr>
              <w:t>中标单位确定后招标方指定所属二级单位负责签定合同；备选单位启用时签订合同。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364"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2</w:t>
            </w:r>
          </w:p>
        </w:tc>
        <w:tc>
          <w:tcPr>
            <w:tcW w:w="4635"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bCs/>
                <w:snapToGrid w:val="0"/>
                <w:kern w:val="0"/>
                <w:sz w:val="24"/>
              </w:rPr>
            </w:pPr>
            <w:r>
              <w:rPr>
                <w:rFonts w:hint="eastAsia" w:ascii="宋体" w:hAnsi="宋体"/>
                <w:bCs/>
                <w:snapToGrid w:val="0"/>
                <w:kern w:val="0"/>
                <w:sz w:val="24"/>
              </w:rPr>
              <w:t>招标人名称：</w:t>
            </w:r>
            <w:r>
              <w:rPr>
                <w:rFonts w:hint="eastAsia" w:ascii="宋体" w:hAnsi="宋体" w:cs="宋体"/>
                <w:color w:val="000000"/>
                <w:sz w:val="24"/>
                <w:szCs w:val="24"/>
              </w:rPr>
              <w:t>中国重型汽车集团有限公司</w:t>
            </w:r>
            <w:r>
              <w:rPr>
                <w:rFonts w:hint="eastAsia" w:ascii="宋体" w:hAnsi="宋体"/>
                <w:bCs/>
                <w:snapToGrid w:val="0"/>
                <w:kern w:val="0"/>
                <w:sz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bCs/>
                <w:snapToGrid w:val="0"/>
                <w:kern w:val="0"/>
                <w:sz w:val="24"/>
                <w:highlight w:val="none"/>
                <w:lang w:val="en-US" w:eastAsia="zh-CN"/>
              </w:rPr>
            </w:pPr>
            <w:r>
              <w:rPr>
                <w:rFonts w:hint="eastAsia" w:ascii="宋体" w:hAnsi="宋体"/>
                <w:bCs/>
                <w:snapToGrid w:val="0"/>
                <w:kern w:val="0"/>
                <w:sz w:val="24"/>
              </w:rPr>
              <w:t xml:space="preserve">联系人： </w:t>
            </w:r>
            <w:r>
              <w:rPr>
                <w:rFonts w:hint="eastAsia" w:ascii="宋体" w:hAnsi="宋体"/>
                <w:bCs/>
                <w:snapToGrid w:val="0"/>
                <w:kern w:val="0"/>
                <w:sz w:val="24"/>
                <w:highlight w:val="none"/>
                <w:lang w:val="en-US" w:eastAsia="zh-CN"/>
              </w:rPr>
              <w:t>任双双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bCs/>
                <w:snapToGrid w:val="0"/>
                <w:kern w:val="0"/>
                <w:sz w:val="24"/>
                <w:lang w:val="en-US" w:eastAsia="zh-CN"/>
              </w:rPr>
            </w:pPr>
            <w:r>
              <w:rPr>
                <w:rFonts w:hint="eastAsia" w:ascii="宋体" w:hAnsi="宋体"/>
                <w:bCs/>
                <w:snapToGrid w:val="0"/>
                <w:kern w:val="0"/>
                <w:sz w:val="24"/>
              </w:rPr>
              <w:t xml:space="preserve">电  话： </w:t>
            </w:r>
            <w:r>
              <w:rPr>
                <w:rFonts w:hint="eastAsia" w:ascii="宋体" w:hAnsi="宋体"/>
                <w:bCs/>
                <w:snapToGrid w:val="0"/>
                <w:kern w:val="0"/>
                <w:sz w:val="24"/>
                <w:highlight w:val="none"/>
                <w:lang w:val="en-US" w:eastAsia="zh-CN"/>
              </w:rPr>
              <w:t>15140441108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364"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3</w:t>
            </w:r>
          </w:p>
        </w:tc>
        <w:tc>
          <w:tcPr>
            <w:tcW w:w="4635" w:type="pct"/>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ascii="宋体" w:hAnsi="宋体" w:cs="宋体"/>
                <w:sz w:val="24"/>
                <w:szCs w:val="24"/>
              </w:rPr>
            </w:pPr>
            <w:r>
              <w:rPr>
                <w:rFonts w:hint="eastAsia" w:ascii="宋体" w:hAnsi="宋体"/>
                <w:bCs/>
                <w:snapToGrid w:val="0"/>
                <w:kern w:val="0"/>
                <w:sz w:val="24"/>
              </w:rPr>
              <w:t>招标代理机构</w:t>
            </w:r>
            <w:r>
              <w:rPr>
                <w:rFonts w:hint="eastAsia" w:ascii="宋体" w:hAnsi="宋体"/>
                <w:sz w:val="24"/>
              </w:rPr>
              <w:t>：</w:t>
            </w:r>
            <w:r>
              <w:rPr>
                <w:rFonts w:ascii="宋体" w:hAnsi="宋体"/>
                <w:sz w:val="24"/>
              </w:rPr>
              <w:t xml:space="preserve"> </w:t>
            </w:r>
            <w:r>
              <w:rPr>
                <w:rFonts w:hint="eastAsia" w:ascii="宋体" w:hAnsi="宋体"/>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364"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4</w:t>
            </w:r>
          </w:p>
        </w:tc>
        <w:tc>
          <w:tcPr>
            <w:tcW w:w="4635" w:type="pct"/>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ascii="宋体" w:hAnsi="宋体"/>
                <w:sz w:val="24"/>
                <w:szCs w:val="24"/>
              </w:rPr>
            </w:pPr>
            <w:r>
              <w:rPr>
                <w:rFonts w:hint="eastAsia" w:ascii="宋体" w:hAnsi="宋体" w:cs="宋体"/>
                <w:sz w:val="24"/>
              </w:rPr>
              <w:t>资金来源：</w:t>
            </w:r>
            <w:r>
              <w:rPr>
                <w:rFonts w:hint="eastAsia" w:ascii="宋体" w:hAnsi="宋体"/>
                <w:kern w:val="0"/>
                <w:sz w:val="24"/>
              </w:rPr>
              <w:t>企业自筹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364"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5</w:t>
            </w:r>
          </w:p>
        </w:tc>
        <w:tc>
          <w:tcPr>
            <w:tcW w:w="4635" w:type="pct"/>
            <w:tcBorders>
              <w:top w:val="single" w:color="auto" w:sz="2" w:space="0"/>
              <w:left w:val="single" w:color="auto" w:sz="2" w:space="0"/>
              <w:bottom w:val="single" w:color="auto" w:sz="2" w:space="0"/>
              <w:right w:val="single" w:color="auto" w:sz="2" w:space="0"/>
            </w:tcBorders>
            <w:vAlign w:val="center"/>
          </w:tcPr>
          <w:p>
            <w:pPr>
              <w:pStyle w:val="25"/>
              <w:spacing w:after="0" w:line="360" w:lineRule="auto"/>
              <w:ind w:firstLine="480" w:firstLineChars="200"/>
              <w:rPr>
                <w:rFonts w:ascii="宋体" w:hAnsi="宋体"/>
                <w:sz w:val="24"/>
              </w:rPr>
            </w:pPr>
            <w:r>
              <w:rPr>
                <w:rFonts w:hint="eastAsia" w:ascii="宋体" w:hAnsi="宋体"/>
                <w:sz w:val="24"/>
              </w:rPr>
              <w:t>合格投标人：</w:t>
            </w:r>
          </w:p>
          <w:p>
            <w:pPr>
              <w:spacing w:line="360" w:lineRule="auto"/>
              <w:ind w:firstLine="480"/>
              <w:rPr>
                <w:rFonts w:ascii="宋体" w:hAnsi="宋体"/>
                <w:sz w:val="24"/>
              </w:rPr>
            </w:pPr>
            <w:r>
              <w:rPr>
                <w:rFonts w:hint="eastAsia" w:ascii="宋体" w:hAnsi="宋体"/>
                <w:sz w:val="24"/>
              </w:rPr>
              <w:t>同第一章招标公告第三条“投标人资格要求”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bCs/>
                <w:sz w:val="24"/>
                <w:szCs w:val="24"/>
              </w:rPr>
            </w:pPr>
            <w:r>
              <w:rPr>
                <w:rFonts w:hint="eastAsia" w:ascii="宋体" w:hAnsi="宋体" w:cs="宋体"/>
                <w:b/>
                <w:bCs/>
                <w:sz w:val="24"/>
              </w:rPr>
              <w:t>招标文件的答疑、澄清和修改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364"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6</w:t>
            </w:r>
          </w:p>
        </w:tc>
        <w:tc>
          <w:tcPr>
            <w:tcW w:w="4635"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480" w:firstLineChars="200"/>
              <w:rPr>
                <w:rFonts w:ascii="宋体" w:hAnsi="宋体"/>
                <w:sz w:val="24"/>
                <w:szCs w:val="24"/>
                <w:highlight w:val="none"/>
              </w:rPr>
            </w:pPr>
            <w:r>
              <w:rPr>
                <w:rFonts w:hint="eastAsia" w:ascii="宋体" w:hAnsi="宋体" w:cs="宋体"/>
                <w:sz w:val="24"/>
              </w:rPr>
              <w:t>提</w:t>
            </w:r>
            <w:r>
              <w:rPr>
                <w:rFonts w:hint="eastAsia" w:ascii="宋体" w:hAnsi="宋体" w:cs="宋体"/>
                <w:sz w:val="24"/>
                <w:highlight w:val="none"/>
              </w:rPr>
              <w:t>交疑问时间：</w:t>
            </w:r>
            <w:r>
              <w:rPr>
                <w:rFonts w:hint="eastAsia"/>
                <w:b/>
                <w:sz w:val="24"/>
                <w:highlight w:val="none"/>
                <w:u w:val="single"/>
              </w:rPr>
              <w:t xml:space="preserve">  </w:t>
            </w:r>
            <w:r>
              <w:rPr>
                <w:rFonts w:hint="eastAsia"/>
                <w:b/>
                <w:sz w:val="24"/>
                <w:highlight w:val="none"/>
                <w:u w:val="single"/>
                <w:lang w:eastAsia="zh-CN"/>
              </w:rPr>
              <w:t>2025</w:t>
            </w:r>
            <w:r>
              <w:rPr>
                <w:rFonts w:hint="eastAsia"/>
                <w:b/>
                <w:sz w:val="24"/>
                <w:highlight w:val="none"/>
                <w:u w:val="single"/>
              </w:rPr>
              <w:t xml:space="preserve"> 年</w:t>
            </w:r>
            <w:r>
              <w:rPr>
                <w:rFonts w:hint="eastAsia"/>
                <w:b/>
                <w:sz w:val="24"/>
                <w:highlight w:val="none"/>
                <w:u w:val="single"/>
                <w:lang w:val="en-US" w:eastAsia="zh-CN"/>
              </w:rPr>
              <w:t xml:space="preserve"> 3 </w:t>
            </w:r>
            <w:r>
              <w:rPr>
                <w:rFonts w:hint="eastAsia"/>
                <w:b/>
                <w:sz w:val="24"/>
                <w:highlight w:val="none"/>
                <w:u w:val="single"/>
              </w:rPr>
              <w:t>月</w:t>
            </w:r>
            <w:r>
              <w:rPr>
                <w:rFonts w:hint="eastAsia"/>
                <w:b/>
                <w:sz w:val="24"/>
                <w:highlight w:val="none"/>
                <w:u w:val="single"/>
                <w:lang w:val="en-US" w:eastAsia="zh-CN"/>
              </w:rPr>
              <w:t>5</w:t>
            </w:r>
            <w:r>
              <w:rPr>
                <w:rFonts w:hint="eastAsia"/>
                <w:b/>
                <w:sz w:val="24"/>
                <w:highlight w:val="none"/>
                <w:u w:val="single"/>
              </w:rPr>
              <w:t>日17时</w:t>
            </w:r>
            <w:r>
              <w:rPr>
                <w:b/>
                <w:sz w:val="24"/>
                <w:highlight w:val="none"/>
                <w:u w:val="single"/>
              </w:rPr>
              <w:t>00</w:t>
            </w:r>
            <w:r>
              <w:rPr>
                <w:rFonts w:hint="eastAsia"/>
                <w:b/>
                <w:sz w:val="24"/>
                <w:highlight w:val="none"/>
                <w:u w:val="single"/>
              </w:rPr>
              <w:t>分</w:t>
            </w:r>
            <w:r>
              <w:rPr>
                <w:rFonts w:hint="eastAsia"/>
                <w:b/>
                <w:sz w:val="24"/>
                <w:highlight w:val="none"/>
              </w:rPr>
              <w:t>前</w:t>
            </w:r>
            <w:r>
              <w:rPr>
                <w:rFonts w:hint="eastAsia" w:ascii="宋体" w:hAnsi="宋体" w:cs="宋体"/>
                <w:sz w:val="24"/>
                <w:highlight w:val="none"/>
              </w:rPr>
              <w:t>。</w:t>
            </w:r>
          </w:p>
          <w:p>
            <w:pPr>
              <w:snapToGrid w:val="0"/>
              <w:spacing w:line="360" w:lineRule="auto"/>
              <w:ind w:firstLine="480" w:firstLineChars="200"/>
              <w:jc w:val="left"/>
              <w:rPr>
                <w:rFonts w:ascii="宋体" w:hAnsi="宋体"/>
                <w:b/>
                <w:sz w:val="24"/>
                <w:u w:val="single"/>
              </w:rPr>
            </w:pPr>
            <w:r>
              <w:rPr>
                <w:rFonts w:hint="eastAsia" w:ascii="宋体" w:hAnsi="宋体" w:cs="宋体"/>
                <w:sz w:val="24"/>
                <w:highlight w:val="none"/>
              </w:rPr>
              <w:t>提交疑问方式：</w:t>
            </w:r>
            <w:r>
              <w:rPr>
                <w:highlight w:val="none"/>
              </w:rPr>
              <w:fldChar w:fldCharType="begin"/>
            </w:r>
            <w:r>
              <w:rPr>
                <w:highlight w:val="none"/>
              </w:rPr>
              <w:instrText xml:space="preserve"> HYPERLINK "mailto:将答疑问题发邮件至15762268551@139.com%20" </w:instrText>
            </w:r>
            <w:r>
              <w:rPr>
                <w:highlight w:val="none"/>
              </w:rPr>
              <w:fldChar w:fldCharType="separate"/>
            </w:r>
            <w:r>
              <w:rPr>
                <w:rFonts w:hint="eastAsia" w:ascii="宋体" w:hAnsi="宋体" w:cs="宋体"/>
                <w:sz w:val="24"/>
                <w:highlight w:val="none"/>
              </w:rPr>
              <w:t>将答疑问题发邮件至</w:t>
            </w:r>
            <w:r>
              <w:rPr>
                <w:rFonts w:ascii="宋体" w:hAnsi="宋体" w:eastAsia="宋体" w:cs="宋体"/>
                <w:sz w:val="24"/>
                <w:szCs w:val="24"/>
              </w:rPr>
              <w:t>renshuangshuang1@sinotruk.com</w:t>
            </w:r>
            <w:r>
              <w:rPr>
                <w:rFonts w:hint="eastAsia" w:ascii="宋体" w:hAnsi="宋体" w:cs="宋体"/>
                <w:sz w:val="24"/>
                <w:highlight w:val="none"/>
              </w:rPr>
              <w:fldChar w:fldCharType="end"/>
            </w:r>
            <w:r>
              <w:rPr>
                <w:rFonts w:hint="eastAsia" w:ascii="宋体" w:hAnsi="宋体" w:cs="宋体"/>
                <w:sz w:val="24"/>
                <w:highlight w:val="none"/>
              </w:rPr>
              <w:t xml:space="preserve">并电话通知招标人。 </w:t>
            </w:r>
            <w:r>
              <w:rPr>
                <w:rFonts w:hint="eastAsia" w:ascii="宋体" w:hAnsi="宋体"/>
                <w:b/>
                <w:sz w:val="24"/>
                <w:highlight w:val="none"/>
              </w:rPr>
              <w:t xml:space="preserve">      </w:t>
            </w:r>
            <w:r>
              <w:rPr>
                <w:rFonts w:hint="eastAsia" w:ascii="宋体" w:hAnsi="宋体"/>
                <w:b/>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364"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7</w:t>
            </w:r>
          </w:p>
        </w:tc>
        <w:tc>
          <w:tcPr>
            <w:tcW w:w="4635" w:type="pct"/>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hint="eastAsia" w:ascii="宋体" w:hAnsi="宋体" w:eastAsia="宋体"/>
                <w:sz w:val="24"/>
                <w:szCs w:val="24"/>
                <w:lang w:eastAsia="zh-CN"/>
              </w:rPr>
            </w:pPr>
            <w:r>
              <w:rPr>
                <w:rFonts w:hint="eastAsia" w:ascii="宋体" w:hAnsi="宋体"/>
                <w:sz w:val="24"/>
              </w:rPr>
              <w:t>答疑、澄清和修改文件方式：招标人将以电子邮件的方式将招标文件的答疑澄清文件发送至投标报名时登记的电子邮箱</w:t>
            </w:r>
            <w:r>
              <w:rPr>
                <w:rFonts w:hint="eastAsia" w:ascii="宋体" w:hAnsi="宋体"/>
                <w:sz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bCs/>
                <w:sz w:val="24"/>
                <w:szCs w:val="24"/>
              </w:rPr>
            </w:pPr>
            <w:r>
              <w:rPr>
                <w:rFonts w:hint="eastAsia" w:ascii="宋体" w:hAnsi="宋体" w:cs="宋体"/>
                <w:b/>
                <w:bCs/>
                <w:sz w:val="24"/>
              </w:rPr>
              <w:t>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364"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sz w:val="24"/>
                <w:szCs w:val="24"/>
                <w:lang w:eastAsia="zh-CN"/>
              </w:rPr>
            </w:pPr>
            <w:r>
              <w:rPr>
                <w:rFonts w:hint="eastAsia" w:ascii="宋体" w:hAnsi="宋体" w:cs="宋体"/>
                <w:sz w:val="24"/>
                <w:lang w:val="en-US" w:eastAsia="zh-CN"/>
              </w:rPr>
              <w:t>8</w:t>
            </w:r>
          </w:p>
        </w:tc>
        <w:tc>
          <w:tcPr>
            <w:tcW w:w="4635" w:type="pct"/>
            <w:tcBorders>
              <w:top w:val="single" w:color="auto" w:sz="2" w:space="0"/>
              <w:left w:val="single" w:color="auto" w:sz="2" w:space="0"/>
              <w:bottom w:val="single" w:color="auto" w:sz="2" w:space="0"/>
              <w:right w:val="single" w:color="auto" w:sz="2" w:space="0"/>
            </w:tcBorders>
            <w:vAlign w:val="center"/>
          </w:tcPr>
          <w:p>
            <w:pPr>
              <w:pStyle w:val="30"/>
              <w:spacing w:after="0" w:line="360" w:lineRule="auto"/>
              <w:ind w:firstLine="480"/>
              <w:rPr>
                <w:rFonts w:ascii="宋体" w:hAnsi="宋体"/>
                <w:sz w:val="24"/>
                <w:szCs w:val="24"/>
              </w:rPr>
            </w:pPr>
            <w:r>
              <w:rPr>
                <w:rFonts w:hint="eastAsia" w:ascii="宋体" w:hAnsi="宋体" w:cs="宋体"/>
                <w:sz w:val="24"/>
              </w:rPr>
              <w:t>投标文件</w:t>
            </w:r>
            <w:r>
              <w:rPr>
                <w:rFonts w:hint="eastAsia" w:ascii="宋体" w:hAnsi="宋体" w:cs="宋体"/>
                <w:sz w:val="24"/>
                <w:lang w:val="en-US" w:eastAsia="zh-CN"/>
              </w:rPr>
              <w:t>组成</w:t>
            </w:r>
            <w:r>
              <w:rPr>
                <w:rFonts w:hint="eastAsia" w:ascii="宋体" w:hAnsi="宋体" w:cs="宋体"/>
                <w:sz w:val="24"/>
              </w:rPr>
              <w:t>：</w:t>
            </w:r>
          </w:p>
          <w:p>
            <w:pPr>
              <w:pStyle w:val="30"/>
              <w:numPr>
                <w:ilvl w:val="0"/>
                <w:numId w:val="0"/>
              </w:numPr>
              <w:spacing w:after="0" w:line="360" w:lineRule="auto"/>
              <w:ind w:firstLine="480" w:firstLineChars="200"/>
              <w:rPr>
                <w:rFonts w:ascii="宋体" w:hAnsi="宋体" w:cs="宋体"/>
                <w:sz w:val="28"/>
                <w:szCs w:val="22"/>
                <w:highlight w:val="none"/>
              </w:rPr>
            </w:pPr>
            <w:r>
              <w:rPr>
                <w:rFonts w:hint="eastAsia" w:ascii="宋体" w:hAnsi="宋体" w:cs="宋体"/>
                <w:sz w:val="24"/>
                <w:lang w:val="en-US" w:eastAsia="zh-CN"/>
              </w:rPr>
              <w:t>1.</w:t>
            </w:r>
            <w:r>
              <w:rPr>
                <w:rFonts w:hint="eastAsia" w:ascii="宋体" w:hAnsi="宋体" w:cs="宋体"/>
                <w:sz w:val="24"/>
              </w:rPr>
              <w:t>开标一览表</w:t>
            </w:r>
            <w:r>
              <w:rPr>
                <w:rFonts w:hint="eastAsia" w:ascii="宋体" w:hAnsi="宋体" w:cs="宋体"/>
                <w:sz w:val="24"/>
                <w:lang w:eastAsia="zh-CN"/>
              </w:rPr>
              <w:t>：</w:t>
            </w:r>
          </w:p>
          <w:p>
            <w:pPr>
              <w:pStyle w:val="30"/>
              <w:numPr>
                <w:ilvl w:val="0"/>
                <w:numId w:val="0"/>
              </w:numPr>
              <w:spacing w:after="0" w:line="360" w:lineRule="auto"/>
              <w:ind w:firstLine="480" w:firstLineChars="200"/>
              <w:rPr>
                <w:rFonts w:ascii="宋体" w:hAnsi="宋体" w:cs="宋体"/>
                <w:sz w:val="28"/>
                <w:szCs w:val="22"/>
                <w:highlight w:val="none"/>
              </w:rPr>
            </w:pPr>
            <w:r>
              <w:rPr>
                <w:rFonts w:hint="eastAsia" w:ascii="宋体" w:hAnsi="宋体" w:cs="宋体"/>
                <w:sz w:val="24"/>
              </w:rPr>
              <w:t>纸质版加盖公章+USB设备存储的EXCEL电子版开标一览表一份，</w:t>
            </w:r>
            <w:r>
              <w:rPr>
                <w:rFonts w:hint="eastAsia" w:ascii="宋体" w:hAnsi="宋体" w:cs="宋体"/>
                <w:sz w:val="24"/>
                <w:highlight w:val="none"/>
              </w:rPr>
              <w:t>USB接口存储设备不退还</w:t>
            </w:r>
            <w:r>
              <w:rPr>
                <w:rFonts w:hint="eastAsia" w:ascii="宋体" w:hAnsi="宋体" w:cs="宋体"/>
                <w:sz w:val="24"/>
                <w:highlight w:val="none"/>
                <w:lang w:eastAsia="zh-CN"/>
              </w:rPr>
              <w:t>，</w:t>
            </w:r>
            <w:r>
              <w:rPr>
                <w:rFonts w:hint="eastAsia" w:hAnsi="宋体"/>
                <w:sz w:val="24"/>
                <w:szCs w:val="24"/>
              </w:rPr>
              <w:t>密封，并在密封袋外注明：</w:t>
            </w:r>
            <w:r>
              <w:rPr>
                <w:rFonts w:hint="eastAsia" w:ascii="宋体" w:hAnsi="宋体" w:cs="宋体"/>
                <w:color w:val="000000"/>
                <w:sz w:val="24"/>
                <w:szCs w:val="24"/>
                <w:highlight w:val="none"/>
                <w:lang w:val="en-US" w:eastAsia="zh-CN"/>
              </w:rPr>
              <w:t>中国重汽集团2025年商用车板车运输</w:t>
            </w:r>
            <w:r>
              <w:rPr>
                <w:rFonts w:hint="eastAsia" w:hAnsi="宋体"/>
                <w:sz w:val="24"/>
                <w:szCs w:val="24"/>
              </w:rPr>
              <w:t>招标项目</w:t>
            </w:r>
            <w:r>
              <w:rPr>
                <w:rFonts w:hint="eastAsia" w:hAnsi="宋体"/>
                <w:sz w:val="24"/>
                <w:szCs w:val="24"/>
                <w:lang w:val="en-US" w:eastAsia="zh-CN"/>
              </w:rPr>
              <w:t>开标一览表</w:t>
            </w:r>
            <w:r>
              <w:rPr>
                <w:rFonts w:hint="eastAsia" w:hAnsi="宋体"/>
                <w:sz w:val="24"/>
                <w:szCs w:val="24"/>
              </w:rPr>
              <w:t>、投标人名称（加盖公章）</w:t>
            </w:r>
            <w:r>
              <w:rPr>
                <w:rFonts w:hint="eastAsia" w:hAnsi="宋体"/>
                <w:sz w:val="24"/>
                <w:szCs w:val="24"/>
                <w:lang w:eastAsia="zh-CN"/>
              </w:rPr>
              <w:t>（</w:t>
            </w:r>
            <w:r>
              <w:rPr>
                <w:rFonts w:hint="eastAsia" w:ascii="宋体" w:hAnsi="宋体"/>
                <w:b/>
                <w:bCs/>
                <w:color w:val="000000"/>
                <w:sz w:val="24"/>
              </w:rPr>
              <w:t>提供纸质版材料同时须附开标一览表EXCEL电子版，格式严格按照excel版本附件1：开标一览表填写，不准删减或更改行列！！！开标现场录入供应商电子版报价信息。电子版作为报价的唯一依据，纸质版作为辅助</w:t>
            </w:r>
            <w:r>
              <w:rPr>
                <w:rFonts w:hint="eastAsia" w:ascii="宋体" w:hAnsi="宋体"/>
                <w:b/>
                <w:bCs/>
                <w:color w:val="000000"/>
                <w:sz w:val="24"/>
                <w:lang w:eastAsia="zh-CN"/>
              </w:rPr>
              <w:t>）</w:t>
            </w:r>
            <w:r>
              <w:rPr>
                <w:rFonts w:hint="eastAsia" w:ascii="宋体" w:hAnsi="宋体" w:cs="宋体"/>
                <w:b/>
                <w:sz w:val="28"/>
                <w:szCs w:val="22"/>
                <w:highlight w:val="none"/>
              </w:rPr>
              <w:t>。</w:t>
            </w:r>
          </w:p>
          <w:p>
            <w:pPr>
              <w:pStyle w:val="30"/>
              <w:numPr>
                <w:ilvl w:val="0"/>
                <w:numId w:val="0"/>
              </w:numPr>
              <w:spacing w:after="0" w:line="360" w:lineRule="auto"/>
              <w:ind w:firstLine="480" w:firstLineChars="200"/>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lang w:val="en-US" w:eastAsia="zh-CN"/>
              </w:rPr>
              <w:t>资格审查文件：</w:t>
            </w:r>
          </w:p>
          <w:p>
            <w:pPr>
              <w:pStyle w:val="40"/>
              <w:spacing w:line="360" w:lineRule="auto"/>
              <w:ind w:firstLine="480" w:firstLineChars="200"/>
              <w:rPr>
                <w:rFonts w:hAnsi="宋体"/>
                <w:sz w:val="24"/>
                <w:szCs w:val="24"/>
              </w:rPr>
            </w:pPr>
            <w:r>
              <w:rPr>
                <w:rFonts w:hint="eastAsia" w:hAnsi="宋体"/>
                <w:sz w:val="24"/>
                <w:szCs w:val="24"/>
              </w:rPr>
              <w:t>资质文件1份，密封，并在密封袋外注明：</w:t>
            </w:r>
            <w:r>
              <w:rPr>
                <w:rFonts w:hint="eastAsia" w:ascii="宋体" w:hAnsi="宋体" w:cs="宋体"/>
                <w:color w:val="000000"/>
                <w:sz w:val="24"/>
                <w:szCs w:val="24"/>
                <w:highlight w:val="none"/>
                <w:lang w:val="en-US" w:eastAsia="zh-CN"/>
              </w:rPr>
              <w:t>中国重汽集团2025年商用车板车运输</w:t>
            </w:r>
            <w:r>
              <w:rPr>
                <w:rFonts w:hint="eastAsia" w:hAnsi="宋体"/>
                <w:sz w:val="24"/>
                <w:szCs w:val="24"/>
              </w:rPr>
              <w:t>招标项目资质文件、投标人名称（加盖公章），内容包括：</w:t>
            </w:r>
          </w:p>
          <w:p>
            <w:pPr>
              <w:spacing w:line="360" w:lineRule="auto"/>
              <w:ind w:firstLine="440" w:firstLineChars="200"/>
              <w:rPr>
                <w:rFonts w:hint="eastAsia"/>
                <w:sz w:val="22"/>
                <w:szCs w:val="22"/>
              </w:rPr>
            </w:pPr>
            <w:r>
              <w:rPr>
                <w:rFonts w:hint="eastAsia"/>
                <w:sz w:val="22"/>
                <w:szCs w:val="22"/>
              </w:rPr>
              <w:t>（1）有统一社会信用代码的新版营业执照复印件，并加盖公章；</w:t>
            </w:r>
          </w:p>
          <w:p>
            <w:pPr>
              <w:spacing w:line="360" w:lineRule="auto"/>
              <w:ind w:firstLine="440" w:firstLineChars="200"/>
              <w:rPr>
                <w:sz w:val="22"/>
                <w:szCs w:val="22"/>
              </w:rPr>
            </w:pPr>
            <w:r>
              <w:rPr>
                <w:rFonts w:hint="eastAsia"/>
                <w:sz w:val="22"/>
                <w:szCs w:val="22"/>
              </w:rPr>
              <w:t>（</w:t>
            </w:r>
            <w:r>
              <w:rPr>
                <w:sz w:val="22"/>
                <w:szCs w:val="22"/>
              </w:rPr>
              <w:t>2</w:t>
            </w:r>
            <w:r>
              <w:rPr>
                <w:rFonts w:hint="eastAsia"/>
                <w:sz w:val="22"/>
                <w:szCs w:val="22"/>
              </w:rPr>
              <w:t>）法定代表人授权书；法定代表人参加投标的，需提供法人身份证复印件；委托授权人参加投标的，需提供法定代表人授权委托书、法定代表人身份证复印件、被授权人身份证复印件；</w:t>
            </w:r>
          </w:p>
          <w:p>
            <w:pPr>
              <w:spacing w:line="360" w:lineRule="auto"/>
              <w:ind w:firstLine="480" w:firstLineChars="200"/>
              <w:rPr>
                <w:rFonts w:hint="eastAsia" w:ascii="宋体" w:hAnsi="宋体" w:eastAsia="宋体" w:cs="宋体"/>
                <w:i w:val="0"/>
                <w:iCs w:val="0"/>
                <w:caps w:val="0"/>
                <w:color w:val="000000"/>
                <w:spacing w:val="0"/>
                <w:sz w:val="24"/>
                <w:szCs w:val="24"/>
                <w:shd w:val="clear"/>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《道路运输经营许可证》原件及复印件(加盖公章)，并保证行政许可在有效期内；</w:t>
            </w:r>
          </w:p>
          <w:p>
            <w:pPr>
              <w:widowControl w:val="0"/>
              <w:numPr>
                <w:ilvl w:val="0"/>
                <w:numId w:val="0"/>
              </w:numPr>
              <w:spacing w:line="360" w:lineRule="auto"/>
              <w:ind w:left="0" w:leftChars="0"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r>
              <w:rPr>
                <w:rFonts w:hint="eastAsia" w:ascii="宋体" w:hAnsi="宋体" w:cs="宋体"/>
                <w:kern w:val="2"/>
                <w:sz w:val="24"/>
                <w:szCs w:val="24"/>
                <w:lang w:eastAsia="zh-CN"/>
              </w:rPr>
              <w:t>；</w:t>
            </w:r>
          </w:p>
          <w:p>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 xml:space="preserve">应提供中文版本的审计报告或财务报表； </w:t>
            </w:r>
          </w:p>
          <w:p>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 xml:space="preserve">企业最近半年完税证明、信用证明材料（中国人民银行信用代码证+征信报告）； </w:t>
            </w:r>
          </w:p>
          <w:p>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 xml:space="preserve">年度纳税信用评价信息（可从电子税务局查询截图，需加盖公章）； </w:t>
            </w:r>
          </w:p>
          <w:p>
            <w:pPr>
              <w:widowControl w:val="0"/>
              <w:numPr>
                <w:ilvl w:val="0"/>
                <w:numId w:val="0"/>
              </w:numPr>
              <w:spacing w:line="360" w:lineRule="auto"/>
              <w:ind w:left="480" w:firstLine="0" w:firstLineChars="0"/>
              <w:jc w:val="both"/>
              <w:rPr>
                <w:rFonts w:hint="eastAsia"/>
                <w:sz w:val="22"/>
                <w:szCs w:val="22"/>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企业对外担保说明（写明贵单位对外有无对外担保和质押业务，需加盖公章）</w:t>
            </w:r>
          </w:p>
          <w:p>
            <w:pPr>
              <w:pStyle w:val="30"/>
              <w:numPr>
                <w:ilvl w:val="0"/>
                <w:numId w:val="0"/>
              </w:numPr>
              <w:spacing w:after="0" w:line="360" w:lineRule="auto"/>
              <w:ind w:firstLine="480" w:firstLineChars="200"/>
              <w:rPr>
                <w:rFonts w:hint="eastAsia" w:ascii="宋体" w:hAnsi="宋体" w:eastAsia="宋体" w:cs="宋体"/>
                <w:sz w:val="28"/>
                <w:szCs w:val="22"/>
              </w:rPr>
            </w:pPr>
            <w:r>
              <w:rPr>
                <w:rFonts w:hint="eastAsia"/>
                <w:bCs/>
                <w:sz w:val="24"/>
                <w:szCs w:val="24"/>
                <w:lang w:eastAsia="zh-CN"/>
              </w:rPr>
              <w:t>（</w:t>
            </w:r>
            <w:r>
              <w:rPr>
                <w:rFonts w:hint="eastAsia"/>
                <w:bCs/>
                <w:sz w:val="24"/>
                <w:szCs w:val="24"/>
                <w:lang w:val="en-US" w:eastAsia="zh-CN"/>
              </w:rPr>
              <w:t>9）</w:t>
            </w:r>
            <w:r>
              <w:rPr>
                <w:rFonts w:hint="eastAsia"/>
                <w:bCs/>
                <w:sz w:val="24"/>
                <w:szCs w:val="24"/>
              </w:rPr>
              <w:t>本项目投标保证金缴纳凭证复印件</w:t>
            </w:r>
          </w:p>
          <w:p>
            <w:pPr>
              <w:pStyle w:val="30"/>
              <w:numPr>
                <w:ilvl w:val="0"/>
                <w:numId w:val="0"/>
              </w:numPr>
              <w:spacing w:after="0"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lang w:val="en-US" w:eastAsia="zh-CN"/>
              </w:rPr>
              <w:t>3.</w:t>
            </w:r>
            <w:r>
              <w:rPr>
                <w:rFonts w:hint="eastAsia" w:ascii="宋体" w:hAnsi="宋体" w:eastAsia="宋体" w:cs="宋体"/>
                <w:sz w:val="24"/>
                <w:lang w:val="en-US" w:eastAsia="zh-CN"/>
              </w:rPr>
              <w:t>技术标文件：</w:t>
            </w:r>
            <w:r>
              <w:rPr>
                <w:rFonts w:hint="eastAsia" w:ascii="宋体" w:hAnsi="宋体" w:cs="宋体"/>
                <w:sz w:val="24"/>
                <w:highlight w:val="none"/>
              </w:rPr>
              <w:t>正本一份和副本</w:t>
            </w:r>
            <w:r>
              <w:rPr>
                <w:rFonts w:hint="eastAsia" w:ascii="宋体" w:hAnsi="宋体" w:cs="宋体"/>
                <w:sz w:val="24"/>
                <w:highlight w:val="none"/>
                <w:lang w:val="en-US" w:eastAsia="zh-CN"/>
              </w:rPr>
              <w:t>六</w:t>
            </w:r>
            <w:r>
              <w:rPr>
                <w:rFonts w:hint="eastAsia" w:ascii="宋体" w:hAnsi="宋体" w:cs="宋体"/>
                <w:sz w:val="24"/>
                <w:highlight w:val="none"/>
              </w:rPr>
              <w:t>份，</w:t>
            </w:r>
            <w:r>
              <w:rPr>
                <w:rFonts w:hint="eastAsia" w:ascii="宋体" w:hAnsi="宋体" w:cs="宋体"/>
                <w:sz w:val="24"/>
                <w:szCs w:val="24"/>
                <w:highlight w:val="none"/>
              </w:rPr>
              <w:t>正、副本密封在一起，正本在最上</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密封，</w:t>
            </w:r>
            <w:r>
              <w:rPr>
                <w:rFonts w:hint="eastAsia" w:hAnsi="宋体"/>
                <w:sz w:val="24"/>
                <w:szCs w:val="24"/>
              </w:rPr>
              <w:t>并在密封袋外注明：</w:t>
            </w:r>
            <w:r>
              <w:rPr>
                <w:rFonts w:hint="eastAsia" w:ascii="宋体" w:hAnsi="宋体" w:cs="宋体"/>
                <w:color w:val="000000"/>
                <w:sz w:val="24"/>
                <w:szCs w:val="24"/>
                <w:highlight w:val="none"/>
                <w:lang w:val="en-US" w:eastAsia="zh-CN"/>
              </w:rPr>
              <w:t>中国重汽集团2025年商用车板车运输</w:t>
            </w:r>
            <w:r>
              <w:rPr>
                <w:rFonts w:hint="eastAsia" w:hAnsi="宋体"/>
                <w:sz w:val="24"/>
                <w:szCs w:val="24"/>
              </w:rPr>
              <w:t>招标项目技术标书、投标人名称（加盖公章）</w:t>
            </w:r>
            <w:r>
              <w:rPr>
                <w:rFonts w:hint="eastAsia" w:hAnsi="宋体"/>
                <w:sz w:val="24"/>
                <w:szCs w:val="24"/>
                <w:lang w:eastAsia="zh-CN"/>
              </w:rPr>
              <w:t>：</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）技术偏离表；</w:t>
            </w:r>
          </w:p>
          <w:p>
            <w:pPr>
              <w:spacing w:line="360" w:lineRule="auto"/>
              <w:ind w:firstLine="480" w:firstLineChars="200"/>
              <w:rPr>
                <w:rFonts w:hint="eastAsia"/>
                <w:sz w:val="24"/>
                <w:szCs w:val="24"/>
              </w:rPr>
            </w:pPr>
            <w:r>
              <w:rPr>
                <w:rFonts w:hint="eastAsia"/>
                <w:sz w:val="24"/>
                <w:szCs w:val="24"/>
              </w:rPr>
              <w:t>（2）近三年同类项目业绩一览表及完整、有效的合同复印件；</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）投标人的技术优势，在其他项目中的案例照片等；</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）业务运营方案、作业标准、管理流程等相关材料；</w:t>
            </w:r>
          </w:p>
          <w:p>
            <w:pPr>
              <w:spacing w:line="360" w:lineRule="auto"/>
              <w:ind w:firstLine="480" w:firstLineChars="200"/>
              <w:rPr>
                <w:rFonts w:hint="eastAsia"/>
                <w:sz w:val="24"/>
                <w:szCs w:val="24"/>
              </w:rPr>
            </w:pPr>
            <w:r>
              <w:rPr>
                <w:rFonts w:hint="eastAsia"/>
                <w:sz w:val="24"/>
                <w:szCs w:val="24"/>
              </w:rPr>
              <w:t>（</w:t>
            </w:r>
            <w:r>
              <w:rPr>
                <w:sz w:val="24"/>
                <w:szCs w:val="24"/>
              </w:rPr>
              <w:t>5</w:t>
            </w:r>
            <w:r>
              <w:rPr>
                <w:rFonts w:hint="eastAsia"/>
                <w:sz w:val="24"/>
                <w:szCs w:val="24"/>
              </w:rPr>
              <w:t>）可提供的增值服务；</w:t>
            </w:r>
          </w:p>
          <w:p>
            <w:pPr>
              <w:pStyle w:val="30"/>
              <w:numPr>
                <w:ilvl w:val="0"/>
                <w:numId w:val="0"/>
              </w:numPr>
              <w:spacing w:after="0" w:line="360" w:lineRule="auto"/>
              <w:ind w:firstLine="480" w:firstLineChars="200"/>
              <w:rPr>
                <w:rFonts w:hint="eastAsia" w:ascii="宋体" w:hAnsi="宋体" w:eastAsia="宋体" w:cs="宋体"/>
                <w:sz w:val="28"/>
                <w:szCs w:val="28"/>
                <w:highlight w:val="none"/>
                <w:lang w:eastAsia="zh-CN"/>
              </w:rPr>
            </w:pPr>
            <w:r>
              <w:rPr>
                <w:rFonts w:hint="eastAsia"/>
                <w:sz w:val="24"/>
                <w:szCs w:val="24"/>
              </w:rPr>
              <w:t>（</w:t>
            </w:r>
            <w:r>
              <w:rPr>
                <w:sz w:val="24"/>
                <w:szCs w:val="24"/>
              </w:rPr>
              <w:t>6</w:t>
            </w:r>
            <w:r>
              <w:rPr>
                <w:rFonts w:hint="eastAsia"/>
                <w:sz w:val="24"/>
                <w:szCs w:val="24"/>
              </w:rPr>
              <w:t>）投标人</w:t>
            </w:r>
            <w:r>
              <w:rPr>
                <w:rFonts w:hint="eastAsia"/>
                <w:sz w:val="24"/>
                <w:szCs w:val="24"/>
                <w:lang w:val="en-US" w:eastAsia="zh-CN"/>
              </w:rPr>
              <w:t>认为</w:t>
            </w:r>
            <w:r>
              <w:rPr>
                <w:rFonts w:hint="eastAsia"/>
                <w:sz w:val="24"/>
                <w:szCs w:val="24"/>
              </w:rPr>
              <w:t>需提交的其他资料</w:t>
            </w:r>
            <w:r>
              <w:rPr>
                <w:rFonts w:hint="eastAsia"/>
                <w:sz w:val="24"/>
                <w:szCs w:val="24"/>
                <w:lang w:eastAsia="zh-CN"/>
              </w:rPr>
              <w:t>；</w:t>
            </w:r>
          </w:p>
          <w:p>
            <w:pPr>
              <w:pStyle w:val="30"/>
              <w:spacing w:after="0" w:line="360" w:lineRule="auto"/>
              <w:ind w:firstLine="480"/>
              <w:rPr>
                <w:rFonts w:hint="eastAsia" w:hAnsi="宋体"/>
                <w:sz w:val="24"/>
                <w:szCs w:val="24"/>
                <w:lang w:eastAsia="zh-CN"/>
              </w:rPr>
            </w:pPr>
            <w:r>
              <w:rPr>
                <w:rFonts w:hint="eastAsia" w:ascii="宋体" w:hAnsi="宋体" w:cs="宋体"/>
                <w:sz w:val="24"/>
                <w:highlight w:val="none"/>
                <w:lang w:val="en-US" w:eastAsia="zh-CN"/>
              </w:rPr>
              <w:t>4.</w:t>
            </w:r>
            <w:r>
              <w:rPr>
                <w:rFonts w:hint="eastAsia" w:ascii="宋体" w:hAnsi="宋体" w:cs="宋体"/>
                <w:sz w:val="24"/>
                <w:highlight w:val="none"/>
              </w:rPr>
              <w:t>商务</w:t>
            </w:r>
            <w:r>
              <w:rPr>
                <w:rFonts w:hint="eastAsia" w:ascii="宋体" w:hAnsi="宋体" w:cs="宋体"/>
                <w:sz w:val="24"/>
                <w:highlight w:val="none"/>
                <w:lang w:val="en-US" w:eastAsia="zh-CN"/>
              </w:rPr>
              <w:t>标</w:t>
            </w:r>
            <w:r>
              <w:rPr>
                <w:rFonts w:hint="eastAsia" w:ascii="宋体" w:hAnsi="宋体" w:cs="宋体"/>
                <w:sz w:val="24"/>
                <w:highlight w:val="none"/>
              </w:rPr>
              <w:t>文件</w:t>
            </w:r>
            <w:r>
              <w:rPr>
                <w:rFonts w:hint="eastAsia" w:ascii="宋体" w:hAnsi="宋体" w:cs="宋体"/>
                <w:sz w:val="24"/>
                <w:highlight w:val="none"/>
                <w:lang w:eastAsia="zh-CN"/>
              </w:rPr>
              <w:t>：</w:t>
            </w:r>
            <w:r>
              <w:rPr>
                <w:rFonts w:hint="eastAsia" w:ascii="宋体" w:hAnsi="宋体" w:cs="宋体"/>
                <w:sz w:val="24"/>
                <w:highlight w:val="none"/>
              </w:rPr>
              <w:t>正本一份和副本</w:t>
            </w:r>
            <w:r>
              <w:rPr>
                <w:rFonts w:hint="eastAsia" w:ascii="宋体" w:hAnsi="宋体" w:cs="宋体"/>
                <w:sz w:val="24"/>
                <w:highlight w:val="none"/>
                <w:lang w:val="en-US" w:eastAsia="zh-CN"/>
              </w:rPr>
              <w:t>六</w:t>
            </w:r>
            <w:r>
              <w:rPr>
                <w:rFonts w:hint="eastAsia" w:ascii="宋体" w:hAnsi="宋体" w:cs="宋体"/>
                <w:sz w:val="24"/>
                <w:highlight w:val="none"/>
              </w:rPr>
              <w:t>份，</w:t>
            </w:r>
            <w:r>
              <w:rPr>
                <w:rFonts w:hint="eastAsia" w:ascii="宋体" w:hAnsi="宋体" w:cs="宋体"/>
                <w:sz w:val="24"/>
                <w:szCs w:val="24"/>
                <w:highlight w:val="none"/>
              </w:rPr>
              <w:t>正、副本密封在一起，正本在最上</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密封，</w:t>
            </w:r>
            <w:r>
              <w:rPr>
                <w:rFonts w:hint="eastAsia" w:hAnsi="宋体"/>
                <w:sz w:val="24"/>
                <w:szCs w:val="24"/>
              </w:rPr>
              <w:t>并在密封袋外注明：</w:t>
            </w:r>
            <w:r>
              <w:rPr>
                <w:rFonts w:hint="eastAsia" w:ascii="宋体" w:hAnsi="宋体" w:cs="宋体"/>
                <w:color w:val="000000"/>
                <w:sz w:val="24"/>
                <w:szCs w:val="24"/>
                <w:highlight w:val="none"/>
                <w:lang w:val="en-US" w:eastAsia="zh-CN"/>
              </w:rPr>
              <w:t>中国重汽集团2025年商用车板车运输</w:t>
            </w:r>
            <w:r>
              <w:rPr>
                <w:rFonts w:hint="eastAsia" w:hAnsi="宋体"/>
                <w:sz w:val="24"/>
                <w:szCs w:val="24"/>
              </w:rPr>
              <w:t>招标项目</w:t>
            </w:r>
            <w:r>
              <w:rPr>
                <w:rFonts w:hint="eastAsia" w:hAnsi="宋体"/>
                <w:sz w:val="24"/>
                <w:szCs w:val="24"/>
                <w:lang w:val="en-US" w:eastAsia="zh-CN"/>
              </w:rPr>
              <w:t>商务</w:t>
            </w:r>
            <w:r>
              <w:rPr>
                <w:rFonts w:hint="eastAsia" w:hAnsi="宋体"/>
                <w:sz w:val="24"/>
                <w:szCs w:val="24"/>
              </w:rPr>
              <w:t>标书、投标人名称（加盖公章）</w:t>
            </w:r>
            <w:r>
              <w:rPr>
                <w:rFonts w:hint="eastAsia" w:hAnsi="宋体"/>
                <w:sz w:val="24"/>
                <w:szCs w:val="24"/>
                <w:lang w:eastAsia="zh-CN"/>
              </w:rPr>
              <w:t>：</w:t>
            </w:r>
          </w:p>
          <w:p>
            <w:pPr>
              <w:spacing w:line="360" w:lineRule="auto"/>
              <w:ind w:firstLine="480" w:firstLineChars="200"/>
              <w:rPr>
                <w:rFonts w:hint="eastAsia"/>
                <w:sz w:val="24"/>
                <w:szCs w:val="24"/>
              </w:rPr>
            </w:pPr>
            <w:r>
              <w:rPr>
                <w:rFonts w:hint="eastAsia"/>
                <w:sz w:val="24"/>
                <w:szCs w:val="24"/>
              </w:rPr>
              <w:t>（1）投标函；</w:t>
            </w:r>
          </w:p>
          <w:p>
            <w:pPr>
              <w:spacing w:line="360" w:lineRule="auto"/>
              <w:ind w:firstLine="480" w:firstLineChars="200"/>
              <w:rPr>
                <w:sz w:val="24"/>
                <w:szCs w:val="24"/>
              </w:rPr>
            </w:pPr>
            <w:r>
              <w:rPr>
                <w:rFonts w:hint="eastAsia"/>
                <w:sz w:val="24"/>
                <w:szCs w:val="24"/>
              </w:rPr>
              <w:t>（2）商务偏离表；</w:t>
            </w:r>
          </w:p>
          <w:p>
            <w:pPr>
              <w:spacing w:line="360" w:lineRule="auto"/>
              <w:ind w:firstLine="480" w:firstLineChars="200"/>
              <w:rPr>
                <w:rFonts w:hint="eastAsia"/>
                <w:sz w:val="24"/>
                <w:szCs w:val="24"/>
              </w:rPr>
            </w:pPr>
            <w:r>
              <w:rPr>
                <w:rFonts w:hint="eastAsia"/>
                <w:sz w:val="24"/>
                <w:szCs w:val="24"/>
              </w:rPr>
              <w:t>（</w:t>
            </w:r>
            <w:r>
              <w:rPr>
                <w:sz w:val="24"/>
                <w:szCs w:val="24"/>
              </w:rPr>
              <w:t>3</w:t>
            </w:r>
            <w:r>
              <w:rPr>
                <w:rFonts w:hint="eastAsia"/>
                <w:sz w:val="24"/>
                <w:szCs w:val="24"/>
              </w:rPr>
              <w:t>）开标一览表；</w:t>
            </w:r>
          </w:p>
          <w:p>
            <w:pPr>
              <w:pStyle w:val="30"/>
              <w:spacing w:after="0" w:line="360" w:lineRule="auto"/>
              <w:ind w:firstLine="480"/>
              <w:rPr>
                <w:rFonts w:hint="eastAsia" w:ascii="宋体" w:hAnsi="宋体" w:eastAsia="宋体" w:cs="宋体"/>
                <w:sz w:val="24"/>
                <w:szCs w:val="24"/>
                <w:highlight w:val="none"/>
                <w:lang w:eastAsia="zh-CN"/>
              </w:rPr>
            </w:pPr>
            <w:r>
              <w:rPr>
                <w:rFonts w:hint="eastAsia"/>
                <w:bCs/>
                <w:sz w:val="24"/>
                <w:szCs w:val="24"/>
              </w:rPr>
              <w:t>（</w:t>
            </w:r>
            <w:r>
              <w:rPr>
                <w:rFonts w:hint="eastAsia"/>
                <w:bCs/>
                <w:sz w:val="24"/>
                <w:szCs w:val="24"/>
                <w:lang w:val="en-US" w:eastAsia="zh-CN"/>
              </w:rPr>
              <w:t>4</w:t>
            </w:r>
            <w:r>
              <w:rPr>
                <w:rFonts w:hint="eastAsia"/>
                <w:bCs/>
                <w:sz w:val="24"/>
                <w:szCs w:val="24"/>
              </w:rPr>
              <w:t>）</w:t>
            </w:r>
            <w:r>
              <w:rPr>
                <w:rFonts w:hint="eastAsia"/>
                <w:sz w:val="24"/>
                <w:szCs w:val="24"/>
              </w:rPr>
              <w:t>投标人</w:t>
            </w:r>
            <w:r>
              <w:rPr>
                <w:rFonts w:hint="eastAsia"/>
                <w:sz w:val="24"/>
                <w:szCs w:val="24"/>
                <w:lang w:val="en-US" w:eastAsia="zh-CN"/>
              </w:rPr>
              <w:t>认为</w:t>
            </w:r>
            <w:r>
              <w:rPr>
                <w:rFonts w:hint="eastAsia"/>
                <w:sz w:val="24"/>
                <w:szCs w:val="24"/>
              </w:rPr>
              <w:t>需提交的其它资料</w:t>
            </w:r>
            <w:r>
              <w:rPr>
                <w:rFonts w:hint="eastAsia"/>
                <w:sz w:val="24"/>
                <w:szCs w:val="24"/>
                <w:lang w:eastAsia="zh-CN"/>
              </w:rPr>
              <w:t>。</w:t>
            </w:r>
          </w:p>
          <w:p>
            <w:pPr>
              <w:pStyle w:val="30"/>
              <w:spacing w:after="0" w:line="360" w:lineRule="auto"/>
              <w:ind w:firstLine="482"/>
              <w:rPr>
                <w:rFonts w:ascii="宋体" w:hAnsi="宋体"/>
                <w:sz w:val="24"/>
              </w:rPr>
            </w:pPr>
            <w:r>
              <w:rPr>
                <w:rFonts w:hint="eastAsia" w:ascii="宋体" w:hAnsi="宋体" w:cs="宋体"/>
                <w:b/>
                <w:bCs/>
                <w:sz w:val="24"/>
              </w:rPr>
              <w:t>（</w:t>
            </w:r>
            <w:r>
              <w:rPr>
                <w:rFonts w:hint="eastAsia" w:ascii="宋体" w:hAnsi="宋体" w:cs="宋体"/>
                <w:b/>
                <w:bCs/>
                <w:color w:val="FF0000"/>
                <w:sz w:val="24"/>
              </w:rPr>
              <w:t>上述1、2、3</w:t>
            </w:r>
            <w:r>
              <w:rPr>
                <w:rFonts w:hint="eastAsia" w:ascii="宋体" w:hAnsi="宋体" w:cs="宋体"/>
                <w:b/>
                <w:bCs/>
                <w:color w:val="FF0000"/>
                <w:sz w:val="24"/>
                <w:lang w:eastAsia="zh-CN"/>
              </w:rPr>
              <w:t>、</w:t>
            </w:r>
            <w:r>
              <w:rPr>
                <w:rFonts w:hint="eastAsia" w:ascii="宋体" w:hAnsi="宋体" w:cs="宋体"/>
                <w:b/>
                <w:bCs/>
                <w:color w:val="FF0000"/>
                <w:sz w:val="24"/>
                <w:lang w:val="en-US" w:eastAsia="zh-CN"/>
              </w:rPr>
              <w:t>4</w:t>
            </w:r>
            <w:r>
              <w:rPr>
                <w:rFonts w:hint="eastAsia" w:ascii="宋体" w:hAnsi="宋体" w:cs="宋体"/>
                <w:b/>
                <w:bCs/>
                <w:color w:val="FF0000"/>
                <w:sz w:val="24"/>
              </w:rPr>
              <w:t>分别密封，不得在同一密封袋内</w:t>
            </w:r>
            <w:r>
              <w:rPr>
                <w:rFonts w:hint="eastAsia" w:ascii="宋体" w:hAnsi="宋体" w:cs="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364"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sz w:val="24"/>
                <w:szCs w:val="24"/>
                <w:highlight w:val="none"/>
                <w:lang w:eastAsia="zh-CN"/>
              </w:rPr>
            </w:pPr>
            <w:r>
              <w:rPr>
                <w:rFonts w:hint="eastAsia" w:ascii="宋体" w:hAnsi="宋体" w:cs="宋体"/>
                <w:sz w:val="24"/>
                <w:highlight w:val="none"/>
                <w:lang w:val="en-US" w:eastAsia="zh-CN"/>
              </w:rPr>
              <w:t>9</w:t>
            </w:r>
          </w:p>
        </w:tc>
        <w:tc>
          <w:tcPr>
            <w:tcW w:w="4635" w:type="pct"/>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ascii="宋体" w:hAnsi="宋体"/>
                <w:sz w:val="24"/>
                <w:szCs w:val="24"/>
                <w:highlight w:val="none"/>
              </w:rPr>
            </w:pPr>
            <w:r>
              <w:rPr>
                <w:rFonts w:hint="eastAsia" w:ascii="宋体" w:hAnsi="宋体" w:cs="宋体"/>
                <w:sz w:val="24"/>
                <w:highlight w:val="none"/>
              </w:rPr>
              <w:t>投标文件密封和标记：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投标人应将上述</w:t>
            </w:r>
            <w:r>
              <w:rPr>
                <w:rFonts w:hint="eastAsia" w:ascii="宋体" w:hAnsi="宋体" w:cs="宋体"/>
                <w:sz w:val="24"/>
                <w:highlight w:val="none"/>
                <w:lang w:val="en-US" w:eastAsia="zh-CN"/>
              </w:rPr>
              <w:t>顺序</w:t>
            </w:r>
            <w:r>
              <w:rPr>
                <w:rFonts w:hint="eastAsia" w:ascii="宋体" w:hAnsi="宋体" w:cs="宋体"/>
                <w:sz w:val="24"/>
                <w:highlight w:val="none"/>
              </w:rPr>
              <w:t>分别密封后再密封在一个包封内，并在封面明显处注明以下内容：</w:t>
            </w:r>
          </w:p>
          <w:p>
            <w:pPr>
              <w:spacing w:line="360" w:lineRule="auto"/>
              <w:ind w:firstLine="480" w:firstLineChars="200"/>
              <w:rPr>
                <w:rFonts w:ascii="宋体" w:hAnsi="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项目编号、项目名称</w:t>
            </w:r>
          </w:p>
          <w:p>
            <w:pPr>
              <w:spacing w:line="360" w:lineRule="auto"/>
              <w:ind w:firstLine="480" w:firstLineChars="200"/>
              <w:rPr>
                <w:rFonts w:ascii="宋体" w:hAnsi="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rPr>
              <w:t>招标文件正本和副本、电子版或开标一览表</w:t>
            </w:r>
          </w:p>
          <w:p>
            <w:pPr>
              <w:spacing w:line="360" w:lineRule="auto"/>
              <w:ind w:firstLine="480" w:firstLineChars="200"/>
              <w:rPr>
                <w:rFonts w:ascii="宋体" w:hAnsi="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rPr>
              <w:t>投标人名称（加盖公章）、地址、邮编、电话、传真</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rPr>
              <w:t>每一密封件在封口处注明“于</w:t>
            </w:r>
            <w:r>
              <w:rPr>
                <w:rFonts w:hint="eastAsia" w:ascii="宋体" w:hAnsi="宋体" w:cs="宋体"/>
                <w:sz w:val="24"/>
                <w:highlight w:val="none"/>
                <w:u w:val="single"/>
              </w:rPr>
              <w:t xml:space="preserve"> </w:t>
            </w:r>
            <w:r>
              <w:rPr>
                <w:rFonts w:hint="eastAsia" w:ascii="宋体" w:hAnsi="宋体" w:cs="宋体"/>
                <w:sz w:val="24"/>
                <w:highlight w:val="none"/>
                <w:u w:val="single"/>
                <w:shd w:val="clear"/>
              </w:rPr>
              <w:t xml:space="preserve"> </w:t>
            </w:r>
            <w:r>
              <w:rPr>
                <w:rFonts w:hint="eastAsia" w:ascii="宋体" w:hAnsi="宋体" w:cs="宋体"/>
                <w:sz w:val="24"/>
                <w:highlight w:val="none"/>
                <w:u w:val="single"/>
                <w:shd w:val="clear"/>
                <w:lang w:eastAsia="zh-CN"/>
              </w:rPr>
              <w:t>2025</w:t>
            </w:r>
            <w:r>
              <w:rPr>
                <w:rFonts w:hint="eastAsia" w:ascii="宋体" w:hAnsi="宋体" w:cs="宋体"/>
                <w:sz w:val="24"/>
                <w:highlight w:val="none"/>
                <w:u w:val="single"/>
                <w:shd w:val="clear"/>
              </w:rPr>
              <w:t xml:space="preserve"> </w:t>
            </w:r>
            <w:r>
              <w:rPr>
                <w:rFonts w:hint="eastAsia" w:ascii="宋体" w:hAnsi="宋体" w:cs="宋体"/>
                <w:sz w:val="24"/>
                <w:highlight w:val="none"/>
                <w:shd w:val="clear"/>
              </w:rPr>
              <w:t>年</w:t>
            </w:r>
            <w:r>
              <w:rPr>
                <w:rFonts w:hint="eastAsia" w:ascii="宋体" w:hAnsi="宋体" w:cs="宋体"/>
                <w:sz w:val="24"/>
                <w:highlight w:val="none"/>
                <w:u w:val="single"/>
                <w:shd w:val="clear"/>
              </w:rPr>
              <w:t xml:space="preserve"> </w:t>
            </w:r>
            <w:r>
              <w:rPr>
                <w:rFonts w:hint="eastAsia" w:ascii="宋体" w:hAnsi="宋体" w:cs="宋体"/>
                <w:sz w:val="24"/>
                <w:highlight w:val="none"/>
                <w:u w:val="single"/>
                <w:shd w:val="clear"/>
                <w:lang w:val="en-US" w:eastAsia="zh-CN"/>
              </w:rPr>
              <w:t xml:space="preserve">3 </w:t>
            </w:r>
            <w:r>
              <w:rPr>
                <w:rFonts w:hint="eastAsia" w:ascii="宋体" w:hAnsi="宋体" w:cs="宋体"/>
                <w:sz w:val="24"/>
                <w:highlight w:val="none"/>
                <w:shd w:val="clear"/>
              </w:rPr>
              <w:t>月</w:t>
            </w:r>
            <w:r>
              <w:rPr>
                <w:rFonts w:hint="eastAsia" w:ascii="宋体" w:hAnsi="宋体" w:cs="宋体"/>
                <w:sz w:val="24"/>
                <w:highlight w:val="none"/>
                <w:u w:val="single"/>
                <w:shd w:val="clear"/>
                <w:lang w:val="en-US" w:eastAsia="zh-CN"/>
              </w:rPr>
              <w:t>6</w:t>
            </w:r>
            <w:r>
              <w:rPr>
                <w:rFonts w:hint="eastAsia" w:ascii="宋体" w:hAnsi="宋体" w:cs="宋体"/>
                <w:sz w:val="24"/>
                <w:highlight w:val="none"/>
                <w:shd w:val="clear"/>
              </w:rPr>
              <w:t>日</w:t>
            </w:r>
            <w:r>
              <w:rPr>
                <w:rFonts w:hint="eastAsia" w:ascii="宋体" w:hAnsi="宋体" w:cs="宋体"/>
                <w:sz w:val="24"/>
                <w:highlight w:val="none"/>
                <w:u w:val="single"/>
                <w:shd w:val="clear"/>
              </w:rPr>
              <w:t xml:space="preserve"> </w:t>
            </w:r>
            <w:r>
              <w:rPr>
                <w:rFonts w:hint="eastAsia" w:ascii="宋体" w:hAnsi="宋体" w:cs="宋体"/>
                <w:sz w:val="24"/>
                <w:highlight w:val="none"/>
                <w:u w:val="single"/>
                <w:shd w:val="clear"/>
                <w:lang w:val="en-US" w:eastAsia="zh-CN"/>
              </w:rPr>
              <w:t>9</w:t>
            </w:r>
            <w:r>
              <w:rPr>
                <w:rFonts w:hint="eastAsia" w:ascii="宋体" w:hAnsi="宋体" w:cs="宋体"/>
                <w:sz w:val="24"/>
                <w:highlight w:val="none"/>
                <w:u w:val="single"/>
                <w:shd w:val="clear"/>
              </w:rPr>
              <w:t xml:space="preserve"> </w:t>
            </w:r>
            <w:r>
              <w:rPr>
                <w:rFonts w:hint="eastAsia" w:ascii="宋体" w:hAnsi="宋体" w:cs="宋体"/>
                <w:sz w:val="24"/>
                <w:highlight w:val="none"/>
                <w:shd w:val="clear"/>
              </w:rPr>
              <w:t>时</w:t>
            </w:r>
            <w:r>
              <w:rPr>
                <w:rFonts w:hint="eastAsia" w:ascii="宋体" w:hAnsi="宋体" w:cs="宋体"/>
                <w:sz w:val="24"/>
                <w:highlight w:val="none"/>
                <w:u w:val="single"/>
                <w:shd w:val="clear"/>
              </w:rPr>
              <w:t xml:space="preserve"> </w:t>
            </w:r>
            <w:r>
              <w:rPr>
                <w:rFonts w:hint="eastAsia" w:ascii="宋体" w:hAnsi="宋体" w:cs="宋体"/>
                <w:sz w:val="24"/>
                <w:highlight w:val="none"/>
                <w:u w:val="single"/>
                <w:shd w:val="clear"/>
                <w:lang w:val="en-US" w:eastAsia="zh-CN"/>
              </w:rPr>
              <w:t>0</w:t>
            </w:r>
            <w:r>
              <w:rPr>
                <w:rFonts w:hint="eastAsia" w:ascii="宋体" w:hAnsi="宋体" w:cs="宋体"/>
                <w:sz w:val="24"/>
                <w:highlight w:val="none"/>
                <w:u w:val="single"/>
                <w:shd w:val="clear"/>
              </w:rPr>
              <w:t xml:space="preserve">0 </w:t>
            </w:r>
            <w:r>
              <w:rPr>
                <w:rFonts w:hint="eastAsia" w:ascii="宋体" w:hAnsi="宋体" w:cs="宋体"/>
                <w:sz w:val="24"/>
                <w:highlight w:val="none"/>
              </w:rPr>
              <w:t>分之前不准启封”字样。</w:t>
            </w:r>
          </w:p>
          <w:p>
            <w:pPr>
              <w:spacing w:line="360" w:lineRule="auto"/>
              <w:ind w:firstLine="480" w:firstLineChars="200"/>
              <w:rPr>
                <w:rFonts w:ascii="宋体" w:hAnsi="宋体"/>
                <w:sz w:val="24"/>
                <w:highlight w:val="none"/>
              </w:rPr>
            </w:pPr>
            <w:r>
              <w:rPr>
                <w:rFonts w:hint="eastAsia" w:ascii="宋体" w:hAnsi="宋体" w:cs="宋体"/>
                <w:sz w:val="24"/>
                <w:highlight w:val="none"/>
              </w:rPr>
              <w:t>注：未按以上要求密封和标记的按无效投标处理。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48" w:hRule="atLeast"/>
          <w:jc w:val="center"/>
        </w:trPr>
        <w:tc>
          <w:tcPr>
            <w:tcW w:w="364"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0</w:t>
            </w:r>
          </w:p>
        </w:tc>
        <w:tc>
          <w:tcPr>
            <w:tcW w:w="4635" w:type="pct"/>
            <w:tcBorders>
              <w:top w:val="single" w:color="auto" w:sz="2" w:space="0"/>
              <w:left w:val="single" w:color="auto" w:sz="2" w:space="0"/>
              <w:bottom w:val="single" w:color="auto" w:sz="2" w:space="0"/>
              <w:right w:val="single" w:color="auto" w:sz="2" w:space="0"/>
            </w:tcBorders>
            <w:vAlign w:val="center"/>
          </w:tcPr>
          <w:p>
            <w:pPr>
              <w:pStyle w:val="30"/>
              <w:spacing w:after="0" w:line="360" w:lineRule="auto"/>
              <w:ind w:firstLine="480" w:firstLineChars="200"/>
              <w:rPr>
                <w:rFonts w:ascii="宋体" w:hAnsi="宋体" w:cs="宋体"/>
                <w:sz w:val="24"/>
              </w:rPr>
            </w:pPr>
            <w:r>
              <w:rPr>
                <w:rFonts w:hint="eastAsia" w:ascii="宋体" w:hAnsi="宋体" w:cs="宋体"/>
                <w:sz w:val="24"/>
              </w:rPr>
              <w:t>投标文件的装订：</w:t>
            </w:r>
          </w:p>
          <w:p>
            <w:pPr>
              <w:pStyle w:val="30"/>
              <w:spacing w:after="0" w:line="360" w:lineRule="auto"/>
              <w:ind w:firstLine="480" w:firstLineChars="200"/>
              <w:rPr>
                <w:rFonts w:ascii="宋体" w:hAnsi="宋体"/>
                <w:kern w:val="2"/>
                <w:sz w:val="24"/>
              </w:rPr>
            </w:pPr>
            <w:r>
              <w:rPr>
                <w:rFonts w:hint="eastAsia" w:ascii="宋体" w:hAnsi="宋体" w:cs="宋体"/>
                <w:sz w:val="24"/>
              </w:rPr>
              <w:t>投标人必须将投标文件按照投标文件组成的顺序分别装订成册，并在首页编制“投标文件目录”。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bCs/>
                <w:sz w:val="24"/>
                <w:szCs w:val="24"/>
              </w:rPr>
            </w:pPr>
            <w:r>
              <w:rPr>
                <w:rFonts w:hint="eastAsia" w:ascii="宋体" w:hAnsi="宋体" w:cs="宋体"/>
                <w:b/>
                <w:bCs/>
                <w:sz w:val="24"/>
              </w:rPr>
              <w:t>投标保证金及投标有效期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364"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1</w:t>
            </w:r>
          </w:p>
        </w:tc>
        <w:tc>
          <w:tcPr>
            <w:tcW w:w="4635" w:type="pct"/>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sz w:val="24"/>
                <w:highlight w:val="none"/>
              </w:rPr>
            </w:pPr>
            <w:r>
              <w:rPr>
                <w:sz w:val="24"/>
                <w:highlight w:val="none"/>
              </w:rPr>
              <w:t>1</w:t>
            </w:r>
            <w:r>
              <w:rPr>
                <w:rFonts w:hint="eastAsia"/>
                <w:sz w:val="24"/>
                <w:highlight w:val="none"/>
                <w:lang w:val="en-US" w:eastAsia="zh-CN"/>
              </w:rPr>
              <w:t>.</w:t>
            </w:r>
            <w:r>
              <w:rPr>
                <w:rFonts w:hint="eastAsia"/>
                <w:sz w:val="24"/>
                <w:highlight w:val="none"/>
              </w:rPr>
              <w:t>投标保证金的</w:t>
            </w:r>
            <w:r>
              <w:rPr>
                <w:rFonts w:hint="eastAsia"/>
                <w:sz w:val="24"/>
                <w:highlight w:val="none"/>
                <w:lang w:val="en-US" w:eastAsia="zh-CN"/>
              </w:rPr>
              <w:t>缴纳</w:t>
            </w:r>
            <w:r>
              <w:rPr>
                <w:rFonts w:hint="eastAsia"/>
                <w:sz w:val="24"/>
                <w:highlight w:val="none"/>
              </w:rPr>
              <w:t>形式：</w:t>
            </w:r>
            <w:r>
              <w:rPr>
                <w:rFonts w:hint="eastAsia" w:ascii="宋体" w:hAnsi="宋体" w:cs="宋体"/>
                <w:sz w:val="24"/>
                <w:highlight w:val="none"/>
              </w:rPr>
              <w:t>电汇或网银</w:t>
            </w:r>
          </w:p>
          <w:p>
            <w:pPr>
              <w:spacing w:line="360" w:lineRule="auto"/>
              <w:ind w:firstLine="480" w:firstLineChars="200"/>
              <w:rPr>
                <w:i/>
                <w:iCs/>
                <w:sz w:val="24"/>
                <w:highlight w:val="none"/>
              </w:rPr>
            </w:pPr>
            <w:r>
              <w:rPr>
                <w:sz w:val="24"/>
                <w:highlight w:val="none"/>
              </w:rPr>
              <w:t>2</w:t>
            </w:r>
            <w:r>
              <w:rPr>
                <w:rFonts w:hint="eastAsia"/>
                <w:sz w:val="24"/>
                <w:highlight w:val="none"/>
                <w:lang w:val="en-US" w:eastAsia="zh-CN"/>
              </w:rPr>
              <w:t>.</w:t>
            </w:r>
            <w:r>
              <w:rPr>
                <w:rFonts w:hint="eastAsia"/>
                <w:sz w:val="24"/>
                <w:highlight w:val="none"/>
              </w:rPr>
              <w:t>投标保证金的金额：</w:t>
            </w:r>
            <w:r>
              <w:rPr>
                <w:rFonts w:hint="eastAsia"/>
                <w:b/>
                <w:sz w:val="24"/>
                <w:highlight w:val="none"/>
              </w:rPr>
              <w:t>人民币</w:t>
            </w:r>
            <w:r>
              <w:rPr>
                <w:b/>
                <w:sz w:val="24"/>
                <w:highlight w:val="none"/>
                <w:u w:val="single"/>
              </w:rPr>
              <w:t xml:space="preserve"> </w:t>
            </w:r>
            <w:r>
              <w:rPr>
                <w:rFonts w:hint="eastAsia"/>
                <w:b/>
                <w:sz w:val="24"/>
                <w:highlight w:val="none"/>
                <w:u w:val="single"/>
              </w:rPr>
              <w:t>1</w:t>
            </w:r>
            <w:r>
              <w:rPr>
                <w:rFonts w:hint="eastAsia"/>
                <w:b/>
                <w:sz w:val="24"/>
                <w:highlight w:val="none"/>
                <w:u w:val="single"/>
                <w:lang w:val="en-US" w:eastAsia="zh-CN"/>
              </w:rPr>
              <w:t>00</w:t>
            </w:r>
            <w:r>
              <w:rPr>
                <w:rFonts w:hint="eastAsia"/>
                <w:b/>
                <w:sz w:val="24"/>
                <w:highlight w:val="none"/>
                <w:u w:val="single"/>
              </w:rPr>
              <w:t xml:space="preserve"> </w:t>
            </w:r>
            <w:r>
              <w:rPr>
                <w:rFonts w:hint="eastAsia"/>
                <w:b/>
                <w:sz w:val="24"/>
                <w:highlight w:val="none"/>
              </w:rPr>
              <w:t>万元（</w:t>
            </w:r>
            <w:r>
              <w:rPr>
                <w:rFonts w:hint="eastAsia"/>
                <w:b/>
                <w:sz w:val="24"/>
                <w:highlight w:val="none"/>
                <w:lang w:val="en-US" w:eastAsia="zh-CN"/>
              </w:rPr>
              <w:t>壹佰</w:t>
            </w:r>
            <w:r>
              <w:rPr>
                <w:rFonts w:hint="eastAsia"/>
                <w:b/>
                <w:sz w:val="24"/>
                <w:highlight w:val="none"/>
              </w:rPr>
              <w:t>万元整）</w:t>
            </w:r>
          </w:p>
          <w:p>
            <w:pPr>
              <w:spacing w:line="360" w:lineRule="auto"/>
              <w:ind w:firstLine="960" w:firstLineChars="400"/>
              <w:rPr>
                <w:sz w:val="24"/>
                <w:highlight w:val="none"/>
              </w:rPr>
            </w:pPr>
            <w:r>
              <w:rPr>
                <w:rFonts w:hint="eastAsia"/>
                <w:sz w:val="24"/>
                <w:highlight w:val="none"/>
              </w:rPr>
              <w:t>账户名称：</w:t>
            </w:r>
            <w:r>
              <w:rPr>
                <w:rFonts w:hint="eastAsia" w:ascii="宋体" w:hAnsi="宋体" w:cs="宋体"/>
                <w:color w:val="000000"/>
                <w:sz w:val="24"/>
                <w:szCs w:val="24"/>
                <w:highlight w:val="none"/>
              </w:rPr>
              <w:t>中国重型汽车集团有限公司</w:t>
            </w:r>
          </w:p>
          <w:p>
            <w:pPr>
              <w:spacing w:line="360" w:lineRule="auto"/>
              <w:ind w:firstLine="960" w:firstLineChars="400"/>
              <w:rPr>
                <w:sz w:val="24"/>
                <w:highlight w:val="none"/>
              </w:rPr>
            </w:pPr>
            <w:r>
              <w:rPr>
                <w:rFonts w:hint="eastAsia"/>
                <w:sz w:val="24"/>
                <w:highlight w:val="none"/>
              </w:rPr>
              <w:t>开户银行：</w:t>
            </w:r>
            <w:r>
              <w:rPr>
                <w:rFonts w:hint="eastAsia" w:ascii="宋体" w:hAnsi="宋体" w:cs="宋体"/>
                <w:color w:val="000000"/>
                <w:sz w:val="24"/>
                <w:szCs w:val="24"/>
                <w:highlight w:val="none"/>
              </w:rPr>
              <w:t>中国工商银行济南天桥支行</w:t>
            </w:r>
          </w:p>
          <w:p>
            <w:pPr>
              <w:spacing w:line="360" w:lineRule="auto"/>
              <w:ind w:firstLine="960" w:firstLineChars="400"/>
              <w:rPr>
                <w:sz w:val="24"/>
                <w:highlight w:val="none"/>
              </w:rPr>
            </w:pPr>
            <w:r>
              <w:rPr>
                <w:rFonts w:hint="eastAsia"/>
                <w:sz w:val="24"/>
                <w:highlight w:val="none"/>
              </w:rPr>
              <w:t>账    号：</w:t>
            </w:r>
            <w:r>
              <w:rPr>
                <w:rFonts w:hint="eastAsia" w:ascii="宋体" w:hAnsi="宋体" w:cs="宋体"/>
                <w:color w:val="000000"/>
                <w:sz w:val="24"/>
                <w:szCs w:val="24"/>
                <w:highlight w:val="none"/>
              </w:rPr>
              <w:t xml:space="preserve">1602 0050 1920 0063 284 </w:t>
            </w:r>
          </w:p>
          <w:p>
            <w:pPr>
              <w:spacing w:line="360" w:lineRule="auto"/>
              <w:ind w:firstLine="960" w:firstLineChars="400"/>
              <w:rPr>
                <w:rFonts w:hint="eastAsia"/>
                <w:sz w:val="24"/>
                <w:highlight w:val="none"/>
                <w:lang w:eastAsia="zh-CN"/>
              </w:rPr>
            </w:pPr>
            <w:r>
              <w:rPr>
                <w:rFonts w:hint="eastAsia"/>
                <w:sz w:val="24"/>
                <w:highlight w:val="none"/>
              </w:rPr>
              <w:t>汇款备注：</w:t>
            </w:r>
            <w:r>
              <w:rPr>
                <w:rFonts w:hint="eastAsia"/>
                <w:sz w:val="24"/>
                <w:highlight w:val="none"/>
                <w:lang w:val="en-US" w:eastAsia="zh-CN"/>
              </w:rPr>
              <w:t>2025年商用车板车</w:t>
            </w:r>
            <w:r>
              <w:rPr>
                <w:rFonts w:hint="eastAsia"/>
                <w:sz w:val="24"/>
                <w:highlight w:val="none"/>
                <w:lang w:eastAsia="zh-CN"/>
              </w:rPr>
              <w:t>运输项目投标保证金</w:t>
            </w:r>
          </w:p>
          <w:p>
            <w:pPr>
              <w:spacing w:line="360" w:lineRule="auto"/>
              <w:ind w:firstLine="480" w:firstLineChars="200"/>
              <w:rPr>
                <w:sz w:val="24"/>
                <w:highlight w:val="none"/>
              </w:rPr>
            </w:pPr>
            <w:r>
              <w:rPr>
                <w:sz w:val="24"/>
                <w:highlight w:val="none"/>
              </w:rPr>
              <w:t>3</w:t>
            </w:r>
            <w:r>
              <w:rPr>
                <w:rFonts w:hint="eastAsia"/>
                <w:sz w:val="24"/>
                <w:highlight w:val="none"/>
                <w:lang w:val="en-US" w:eastAsia="zh-CN"/>
              </w:rPr>
              <w:t>.</w:t>
            </w:r>
            <w:r>
              <w:rPr>
                <w:rFonts w:hint="eastAsia"/>
                <w:sz w:val="24"/>
                <w:highlight w:val="none"/>
              </w:rPr>
              <w:t>保证金截止时间：</w:t>
            </w:r>
            <w:r>
              <w:rPr>
                <w:rFonts w:hint="eastAsia"/>
                <w:b/>
                <w:sz w:val="24"/>
                <w:highlight w:val="none"/>
                <w:u w:val="single"/>
                <w:lang w:eastAsia="zh-CN"/>
              </w:rPr>
              <w:t>2025</w:t>
            </w:r>
            <w:r>
              <w:rPr>
                <w:rFonts w:hint="eastAsia"/>
                <w:b/>
                <w:sz w:val="24"/>
                <w:highlight w:val="none"/>
                <w:u w:val="single"/>
              </w:rPr>
              <w:t>年</w:t>
            </w:r>
            <w:r>
              <w:rPr>
                <w:rFonts w:hint="eastAsia"/>
                <w:b/>
                <w:sz w:val="24"/>
                <w:highlight w:val="none"/>
                <w:u w:val="single"/>
                <w:lang w:val="en-US" w:eastAsia="zh-CN"/>
              </w:rPr>
              <w:t>3</w:t>
            </w:r>
            <w:r>
              <w:rPr>
                <w:rFonts w:hint="eastAsia"/>
                <w:b/>
                <w:sz w:val="24"/>
                <w:highlight w:val="none"/>
                <w:u w:val="single"/>
              </w:rPr>
              <w:t>月</w:t>
            </w:r>
            <w:r>
              <w:rPr>
                <w:rFonts w:hint="eastAsia"/>
                <w:b/>
                <w:sz w:val="24"/>
                <w:highlight w:val="none"/>
                <w:u w:val="single"/>
                <w:lang w:val="en-US" w:eastAsia="zh-CN"/>
              </w:rPr>
              <w:t>5</w:t>
            </w:r>
            <w:r>
              <w:rPr>
                <w:rFonts w:hint="eastAsia"/>
                <w:b/>
                <w:sz w:val="24"/>
                <w:highlight w:val="none"/>
                <w:u w:val="single"/>
              </w:rPr>
              <w:t>日</w:t>
            </w:r>
            <w:r>
              <w:rPr>
                <w:rFonts w:hint="eastAsia"/>
                <w:b/>
                <w:sz w:val="24"/>
                <w:highlight w:val="none"/>
                <w:u w:val="single"/>
                <w:lang w:val="en-US" w:eastAsia="zh-CN"/>
              </w:rPr>
              <w:t>12</w:t>
            </w:r>
            <w:r>
              <w:rPr>
                <w:rFonts w:hint="eastAsia"/>
                <w:b/>
                <w:sz w:val="24"/>
                <w:highlight w:val="none"/>
                <w:u w:val="single"/>
              </w:rPr>
              <w:t>时</w:t>
            </w:r>
            <w:r>
              <w:rPr>
                <w:b/>
                <w:sz w:val="24"/>
                <w:highlight w:val="none"/>
                <w:u w:val="single"/>
              </w:rPr>
              <w:t>00</w:t>
            </w:r>
            <w:r>
              <w:rPr>
                <w:rFonts w:hint="eastAsia"/>
                <w:b/>
                <w:sz w:val="24"/>
                <w:highlight w:val="none"/>
                <w:u w:val="single"/>
              </w:rPr>
              <w:t>分前</w:t>
            </w:r>
          </w:p>
          <w:p>
            <w:pPr>
              <w:spacing w:line="360" w:lineRule="auto"/>
              <w:ind w:firstLine="480" w:firstLineChars="200"/>
              <w:rPr>
                <w:sz w:val="24"/>
                <w:highlight w:val="none"/>
              </w:rPr>
            </w:pPr>
            <w:r>
              <w:rPr>
                <w:sz w:val="24"/>
                <w:highlight w:val="none"/>
              </w:rPr>
              <w:t>4</w:t>
            </w:r>
            <w:r>
              <w:rPr>
                <w:rFonts w:hint="eastAsia"/>
                <w:sz w:val="24"/>
                <w:highlight w:val="none"/>
                <w:lang w:val="en-US" w:eastAsia="zh-CN"/>
              </w:rPr>
              <w:t>.</w:t>
            </w:r>
            <w:r>
              <w:rPr>
                <w:rFonts w:hint="eastAsia"/>
                <w:sz w:val="24"/>
                <w:highlight w:val="none"/>
              </w:rPr>
              <w:t>投标保证金应从投标人的基本账户转出至上述账户并到账，否则视为无效投标。</w:t>
            </w:r>
          </w:p>
          <w:p>
            <w:pPr>
              <w:spacing w:line="360" w:lineRule="auto"/>
              <w:ind w:firstLine="480" w:firstLineChars="200"/>
              <w:rPr>
                <w:rFonts w:hint="eastAsia"/>
                <w:bCs/>
                <w:sz w:val="24"/>
                <w:highlight w:val="none"/>
              </w:rPr>
            </w:pPr>
            <w:r>
              <w:rPr>
                <w:rFonts w:hint="eastAsia"/>
                <w:bCs/>
                <w:sz w:val="24"/>
                <w:highlight w:val="none"/>
              </w:rPr>
              <w:t>5</w:t>
            </w:r>
            <w:r>
              <w:rPr>
                <w:rFonts w:hint="eastAsia"/>
                <w:bCs/>
                <w:sz w:val="24"/>
                <w:highlight w:val="none"/>
                <w:lang w:val="en-US" w:eastAsia="zh-CN"/>
              </w:rPr>
              <w:t>.</w:t>
            </w:r>
            <w:r>
              <w:rPr>
                <w:rFonts w:hint="eastAsia"/>
                <w:bCs/>
                <w:sz w:val="24"/>
                <w:highlight w:val="none"/>
              </w:rPr>
              <w:t>投标人应充分考虑银行信息交换时间，由此带来的保证金不能按时到帐的责任由投标人自行承担。</w:t>
            </w:r>
          </w:p>
          <w:p>
            <w:pPr>
              <w:spacing w:line="360" w:lineRule="auto"/>
              <w:ind w:firstLine="480" w:firstLineChars="200"/>
              <w:rPr>
                <w:rFonts w:hint="eastAsia"/>
                <w:bCs/>
                <w:sz w:val="24"/>
                <w:highlight w:val="none"/>
              </w:rPr>
            </w:pPr>
            <w:r>
              <w:rPr>
                <w:rFonts w:hint="eastAsia"/>
                <w:bCs/>
                <w:sz w:val="24"/>
                <w:highlight w:val="none"/>
                <w:lang w:val="en-US" w:eastAsia="zh-CN"/>
              </w:rPr>
              <w:t>6.</w:t>
            </w:r>
            <w:r>
              <w:rPr>
                <w:rFonts w:hint="eastAsia"/>
                <w:bCs/>
                <w:sz w:val="24"/>
                <w:highlight w:val="none"/>
              </w:rPr>
              <w:t>从事集团内整车运输业务的可免交保证金</w:t>
            </w:r>
          </w:p>
          <w:p>
            <w:pPr>
              <w:spacing w:line="360" w:lineRule="auto"/>
              <w:ind w:firstLine="482" w:firstLineChars="200"/>
              <w:rPr>
                <w:rFonts w:ascii="宋体" w:hAnsi="宋体"/>
                <w:b/>
                <w:bCs/>
                <w:sz w:val="24"/>
                <w:szCs w:val="24"/>
                <w:highlight w:val="none"/>
              </w:rPr>
            </w:pPr>
            <w:r>
              <w:rPr>
                <w:rFonts w:hint="eastAsia" w:hAnsi="宋体"/>
                <w:b/>
                <w:sz w:val="24"/>
                <w:szCs w:val="24"/>
                <w:highlight w:val="none"/>
              </w:rPr>
              <w:t>注：无正当理由随意放弃投标、</w:t>
            </w:r>
            <w:r>
              <w:rPr>
                <w:rFonts w:hAnsi="宋体"/>
                <w:b/>
                <w:sz w:val="24"/>
                <w:szCs w:val="24"/>
                <w:highlight w:val="none"/>
              </w:rPr>
              <w:t>撤销投标文件</w:t>
            </w:r>
            <w:r>
              <w:rPr>
                <w:rFonts w:hint="eastAsia" w:hAnsi="宋体"/>
                <w:b/>
                <w:sz w:val="24"/>
                <w:szCs w:val="24"/>
                <w:highlight w:val="none"/>
              </w:rPr>
              <w:t>、</w:t>
            </w:r>
            <w:r>
              <w:rPr>
                <w:rFonts w:hAnsi="宋体"/>
                <w:b/>
                <w:sz w:val="24"/>
                <w:szCs w:val="24"/>
                <w:highlight w:val="none"/>
              </w:rPr>
              <w:t>中标后</w:t>
            </w:r>
            <w:r>
              <w:rPr>
                <w:rFonts w:hint="eastAsia" w:hAnsi="宋体"/>
                <w:b/>
                <w:sz w:val="24"/>
                <w:szCs w:val="24"/>
                <w:highlight w:val="none"/>
              </w:rPr>
              <w:t>无</w:t>
            </w:r>
            <w:r>
              <w:rPr>
                <w:rFonts w:hAnsi="宋体"/>
                <w:b/>
                <w:sz w:val="24"/>
                <w:szCs w:val="24"/>
                <w:highlight w:val="none"/>
              </w:rPr>
              <w:t>正当理由</w:t>
            </w:r>
            <w:r>
              <w:rPr>
                <w:rFonts w:hint="eastAsia" w:hAnsi="宋体"/>
                <w:b/>
                <w:sz w:val="24"/>
                <w:szCs w:val="24"/>
                <w:highlight w:val="none"/>
              </w:rPr>
              <w:t>拒签</w:t>
            </w:r>
            <w:r>
              <w:rPr>
                <w:rFonts w:hAnsi="宋体"/>
                <w:b/>
                <w:sz w:val="24"/>
                <w:szCs w:val="24"/>
                <w:highlight w:val="none"/>
              </w:rPr>
              <w:t>合同</w:t>
            </w:r>
            <w:r>
              <w:rPr>
                <w:rFonts w:hint="eastAsia" w:hAnsi="宋体"/>
                <w:b/>
                <w:sz w:val="24"/>
                <w:szCs w:val="24"/>
                <w:highlight w:val="none"/>
              </w:rPr>
              <w:t>、</w:t>
            </w:r>
            <w:r>
              <w:rPr>
                <w:rFonts w:hAnsi="宋体"/>
                <w:b/>
                <w:sz w:val="24"/>
                <w:szCs w:val="24"/>
                <w:highlight w:val="none"/>
              </w:rPr>
              <w:t>在签订合同时向招标</w:t>
            </w:r>
            <w:r>
              <w:rPr>
                <w:rFonts w:hint="eastAsia" w:hAnsi="宋体"/>
                <w:b/>
                <w:sz w:val="24"/>
                <w:szCs w:val="24"/>
                <w:highlight w:val="none"/>
              </w:rPr>
              <w:t>方</w:t>
            </w:r>
            <w:r>
              <w:rPr>
                <w:rFonts w:hAnsi="宋体"/>
                <w:b/>
                <w:sz w:val="24"/>
                <w:szCs w:val="24"/>
                <w:highlight w:val="none"/>
              </w:rPr>
              <w:t>提出</w:t>
            </w:r>
            <w:r>
              <w:rPr>
                <w:rFonts w:hint="eastAsia" w:hAnsi="宋体"/>
                <w:b/>
                <w:sz w:val="24"/>
                <w:szCs w:val="24"/>
                <w:highlight w:val="none"/>
              </w:rPr>
              <w:t>无理</w:t>
            </w:r>
            <w:r>
              <w:rPr>
                <w:rFonts w:hAnsi="宋体"/>
                <w:b/>
                <w:sz w:val="24"/>
                <w:szCs w:val="24"/>
                <w:highlight w:val="none"/>
              </w:rPr>
              <w:t>附加条件</w:t>
            </w:r>
            <w:r>
              <w:rPr>
                <w:rFonts w:hint="eastAsia" w:hAnsi="宋体"/>
                <w:b/>
                <w:sz w:val="24"/>
                <w:szCs w:val="24"/>
                <w:highlight w:val="none"/>
              </w:rPr>
              <w:t>的，</w:t>
            </w:r>
            <w:r>
              <w:rPr>
                <w:rFonts w:hAnsi="宋体"/>
                <w:b/>
                <w:sz w:val="24"/>
                <w:szCs w:val="24"/>
                <w:highlight w:val="none"/>
              </w:rPr>
              <w:t>投标保证金不予返还</w:t>
            </w:r>
            <w:r>
              <w:rPr>
                <w:rFonts w:hint="eastAsia" w:hAnsi="宋体"/>
                <w:b/>
                <w:sz w:val="24"/>
                <w:szCs w:val="24"/>
                <w:highlight w:val="none"/>
              </w:rPr>
              <w:t>，并取消该投标人的中标资格</w:t>
            </w:r>
            <w:r>
              <w:rPr>
                <w:rFonts w:hAnsi="宋体"/>
                <w:b/>
                <w:sz w:val="24"/>
                <w:szCs w:val="24"/>
                <w:highlight w:val="none"/>
              </w:rPr>
              <w:t>，</w:t>
            </w:r>
            <w:r>
              <w:rPr>
                <w:rFonts w:hint="eastAsia" w:hAnsi="宋体"/>
                <w:b/>
                <w:sz w:val="24"/>
                <w:szCs w:val="24"/>
                <w:highlight w:val="none"/>
              </w:rPr>
              <w:t>该投标人2</w:t>
            </w:r>
            <w:r>
              <w:rPr>
                <w:rFonts w:hAnsi="宋体"/>
                <w:b/>
                <w:sz w:val="24"/>
                <w:szCs w:val="24"/>
                <w:highlight w:val="none"/>
              </w:rPr>
              <w:t>年</w:t>
            </w:r>
            <w:r>
              <w:rPr>
                <w:rFonts w:hint="eastAsia" w:hAnsi="宋体"/>
                <w:b/>
                <w:sz w:val="24"/>
                <w:szCs w:val="24"/>
                <w:highlight w:val="none"/>
              </w:rPr>
              <w:t>内不得参与招标方类似服务的招投标项目。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364"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2</w:t>
            </w:r>
          </w:p>
        </w:tc>
        <w:tc>
          <w:tcPr>
            <w:tcW w:w="4635" w:type="pct"/>
            <w:tcBorders>
              <w:top w:val="single" w:color="auto" w:sz="2" w:space="0"/>
              <w:left w:val="single" w:color="auto" w:sz="2" w:space="0"/>
              <w:bottom w:val="single" w:color="auto" w:sz="2" w:space="0"/>
              <w:right w:val="single" w:color="auto" w:sz="2" w:space="0"/>
            </w:tcBorders>
            <w:vAlign w:val="center"/>
          </w:tcPr>
          <w:p>
            <w:pPr>
              <w:spacing w:line="360" w:lineRule="auto"/>
              <w:ind w:firstLine="523" w:firstLineChars="218"/>
              <w:rPr>
                <w:rFonts w:hint="default" w:ascii="宋体" w:hAnsi="宋体" w:eastAsia="宋体"/>
                <w:sz w:val="24"/>
                <w:szCs w:val="24"/>
                <w:lang w:val="en-US" w:eastAsia="zh-CN"/>
              </w:rPr>
            </w:pPr>
            <w:r>
              <w:rPr>
                <w:rFonts w:hint="eastAsia" w:ascii="宋体" w:hAnsi="宋体" w:cs="宋体"/>
                <w:sz w:val="24"/>
              </w:rPr>
              <w:t>投标有效期：自开标之日起</w:t>
            </w:r>
            <w:r>
              <w:rPr>
                <w:rFonts w:hint="eastAsia" w:ascii="宋体" w:hAnsi="宋体" w:cs="宋体"/>
                <w:sz w:val="24"/>
                <w:u w:val="single"/>
              </w:rPr>
              <w:t>90</w:t>
            </w:r>
            <w:r>
              <w:rPr>
                <w:rFonts w:hint="eastAsia" w:ascii="宋体" w:hAnsi="宋体" w:cs="宋体"/>
                <w:sz w:val="24"/>
                <w:highlight w:val="none"/>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bCs/>
                <w:sz w:val="24"/>
                <w:szCs w:val="24"/>
              </w:rPr>
            </w:pPr>
            <w:r>
              <w:rPr>
                <w:rFonts w:hint="eastAsia" w:ascii="宋体" w:hAnsi="宋体" w:cs="宋体"/>
                <w:b/>
                <w:bCs/>
                <w:sz w:val="24"/>
              </w:rPr>
              <w:t>投标文件的递交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4" w:hRule="atLeast"/>
          <w:jc w:val="center"/>
        </w:trPr>
        <w:tc>
          <w:tcPr>
            <w:tcW w:w="364" w:type="pct"/>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3</w:t>
            </w:r>
          </w:p>
        </w:tc>
        <w:tc>
          <w:tcPr>
            <w:tcW w:w="4635" w:type="pct"/>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ascii="宋体" w:hAnsi="宋体"/>
                <w:sz w:val="24"/>
                <w:szCs w:val="24"/>
                <w:highlight w:val="none"/>
              </w:rPr>
            </w:pPr>
            <w:r>
              <w:rPr>
                <w:rFonts w:hint="eastAsia" w:ascii="宋体" w:hAnsi="宋体" w:cs="宋体"/>
                <w:sz w:val="24"/>
                <w:highlight w:val="none"/>
              </w:rPr>
              <w:t>投标文件递交截止时间：</w:t>
            </w:r>
            <w:r>
              <w:rPr>
                <w:rFonts w:hint="eastAsia" w:ascii="宋体" w:hAnsi="宋体" w:cs="宋体"/>
                <w:sz w:val="24"/>
                <w:highlight w:val="none"/>
                <w:u w:val="single"/>
                <w:lang w:eastAsia="zh-CN"/>
              </w:rPr>
              <w:t>2025</w:t>
            </w:r>
            <w:r>
              <w:rPr>
                <w:rFonts w:hint="eastAsia" w:ascii="宋体" w:hAnsi="宋体" w:cs="宋体"/>
                <w:sz w:val="24"/>
                <w:highlight w:val="none"/>
              </w:rPr>
              <w:t>年</w:t>
            </w:r>
            <w:r>
              <w:rPr>
                <w:rFonts w:hint="eastAsia" w:ascii="宋体" w:hAnsi="宋体"/>
                <w:bCs/>
                <w:sz w:val="24"/>
                <w:highlight w:val="none"/>
                <w:u w:val="single"/>
                <w:lang w:val="en-US" w:eastAsia="zh-CN"/>
              </w:rPr>
              <w:t>3</w:t>
            </w:r>
            <w:r>
              <w:rPr>
                <w:rFonts w:hint="eastAsia" w:ascii="宋体" w:hAnsi="宋体" w:cs="宋体"/>
                <w:sz w:val="24"/>
                <w:highlight w:val="none"/>
              </w:rPr>
              <w:t>月</w:t>
            </w:r>
            <w:r>
              <w:rPr>
                <w:rFonts w:hint="eastAsia" w:ascii="宋体" w:hAnsi="宋体" w:cs="宋体"/>
                <w:sz w:val="24"/>
                <w:highlight w:val="none"/>
                <w:u w:val="single"/>
                <w:lang w:val="en-US" w:eastAsia="zh-CN"/>
              </w:rPr>
              <w:t>5</w:t>
            </w:r>
            <w:r>
              <w:rPr>
                <w:rFonts w:hint="eastAsia" w:ascii="宋体" w:hAnsi="宋体" w:cs="宋体"/>
                <w:sz w:val="24"/>
                <w:highlight w:val="none"/>
              </w:rPr>
              <w:t>日</w:t>
            </w:r>
            <w:r>
              <w:rPr>
                <w:rFonts w:hint="eastAsia" w:ascii="宋体" w:hAnsi="宋体" w:cs="宋体"/>
                <w:sz w:val="24"/>
                <w:highlight w:val="none"/>
                <w:lang w:val="en-US" w:eastAsia="zh-CN"/>
              </w:rPr>
              <w:t>17</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02" w:hRule="atLeast"/>
          <w:jc w:val="center"/>
        </w:trPr>
        <w:tc>
          <w:tcPr>
            <w:tcW w:w="364" w:type="pct"/>
            <w:vMerge w:val="continue"/>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rFonts w:ascii="宋体" w:hAnsi="宋体"/>
                <w:sz w:val="24"/>
                <w:szCs w:val="24"/>
              </w:rPr>
            </w:pPr>
          </w:p>
        </w:tc>
        <w:tc>
          <w:tcPr>
            <w:tcW w:w="4635" w:type="pct"/>
            <w:tcBorders>
              <w:top w:val="single" w:color="auto" w:sz="2" w:space="0"/>
              <w:left w:val="single" w:color="auto" w:sz="2" w:space="0"/>
              <w:bottom w:val="single" w:color="auto" w:sz="2" w:space="0"/>
              <w:right w:val="single" w:color="auto" w:sz="2" w:space="0"/>
            </w:tcBorders>
            <w:vAlign w:val="center"/>
          </w:tcPr>
          <w:p>
            <w:pPr>
              <w:spacing w:line="360" w:lineRule="auto"/>
              <w:ind w:firstLine="523" w:firstLineChars="218"/>
              <w:rPr>
                <w:rFonts w:hint="eastAsia" w:ascii="宋体" w:hAnsi="宋体" w:cs="宋体"/>
                <w:sz w:val="24"/>
                <w:highlight w:val="none"/>
              </w:rPr>
            </w:pPr>
            <w:r>
              <w:rPr>
                <w:rFonts w:hint="eastAsia" w:ascii="宋体" w:hAnsi="宋体" w:cs="宋体"/>
                <w:sz w:val="24"/>
                <w:highlight w:val="none"/>
              </w:rPr>
              <w:t>投标文件递交地点：</w:t>
            </w:r>
          </w:p>
          <w:p>
            <w:pPr>
              <w:spacing w:line="360" w:lineRule="auto"/>
              <w:ind w:firstLine="523" w:firstLineChars="218"/>
              <w:rPr>
                <w:rFonts w:ascii="宋体" w:hAnsi="宋体" w:cs="宋体"/>
                <w:sz w:val="24"/>
                <w:highlight w:val="none"/>
              </w:rPr>
            </w:pPr>
            <w:r>
              <w:rPr>
                <w:rFonts w:hint="eastAsia" w:ascii="宋体" w:hAnsi="宋体" w:cs="宋体"/>
                <w:sz w:val="24"/>
                <w:highlight w:val="none"/>
              </w:rPr>
              <w:t>线上：“中国重汽e采通（http</w:t>
            </w:r>
            <w:r>
              <w:rPr>
                <w:rFonts w:hint="eastAsia" w:ascii="宋体" w:hAnsi="宋体" w:cs="宋体"/>
                <w:sz w:val="24"/>
                <w:highlight w:val="none"/>
                <w:lang w:val="en-US" w:eastAsia="zh-CN"/>
              </w:rPr>
              <w:t>s</w:t>
            </w:r>
            <w:r>
              <w:rPr>
                <w:rFonts w:hint="eastAsia" w:ascii="宋体" w:hAnsi="宋体" w:cs="宋体"/>
                <w:sz w:val="24"/>
                <w:highlight w:val="none"/>
              </w:rPr>
              <w:t>://ecaitong.sinotruk.com:8012）；</w:t>
            </w:r>
          </w:p>
          <w:p>
            <w:pPr>
              <w:spacing w:line="360" w:lineRule="auto"/>
              <w:ind w:firstLine="523" w:firstLineChars="218"/>
              <w:rPr>
                <w:rFonts w:ascii="宋体" w:hAnsi="宋体" w:cs="宋体"/>
                <w:sz w:val="24"/>
                <w:highlight w:val="none"/>
              </w:rPr>
            </w:pPr>
            <w:r>
              <w:rPr>
                <w:rFonts w:hint="eastAsia" w:ascii="宋体" w:hAnsi="宋体" w:cs="宋体"/>
                <w:sz w:val="24"/>
                <w:highlight w:val="none"/>
              </w:rPr>
              <w:t>线下：山东省济南市华奥路777号重汽科技大厦</w:t>
            </w:r>
            <w:r>
              <w:rPr>
                <w:rFonts w:hint="eastAsia" w:ascii="宋体" w:hAnsi="宋体" w:cs="宋体"/>
                <w:sz w:val="24"/>
                <w:highlight w:val="none"/>
                <w:lang w:val="en-US" w:eastAsia="zh-CN"/>
              </w:rPr>
              <w:t>309会议室</w:t>
            </w:r>
            <w:r>
              <w:rPr>
                <w:rFonts w:hint="eastAsia" w:ascii="宋体" w:hAnsi="宋体" w:cs="宋体"/>
                <w:sz w:val="24"/>
                <w:highlight w:val="none"/>
              </w:rPr>
              <w:t>。</w:t>
            </w:r>
          </w:p>
          <w:p>
            <w:pPr>
              <w:pStyle w:val="2"/>
              <w:ind w:left="0" w:leftChars="0" w:firstLine="480" w:firstLineChars="200"/>
              <w:rPr>
                <w:highlight w:val="none"/>
              </w:rPr>
            </w:pPr>
            <w:r>
              <w:rPr>
                <w:rFonts w:hint="eastAsia" w:ascii="宋体" w:hAnsi="宋体" w:cs="宋体"/>
                <w:kern w:val="2"/>
                <w:sz w:val="24"/>
                <w:highlight w:val="none"/>
              </w:rPr>
              <w:t>注：投标人须自备电脑和U盘。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6"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bCs/>
                <w:sz w:val="24"/>
                <w:szCs w:val="24"/>
              </w:rPr>
            </w:pPr>
            <w:r>
              <w:rPr>
                <w:rFonts w:hint="eastAsia" w:ascii="宋体" w:hAnsi="宋体" w:cs="宋体"/>
                <w:b/>
                <w:bCs/>
                <w:sz w:val="24"/>
              </w:rPr>
              <w:t>开标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27" w:hRule="atLeast"/>
          <w:jc w:val="center"/>
        </w:trPr>
        <w:tc>
          <w:tcPr>
            <w:tcW w:w="364"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4</w:t>
            </w:r>
          </w:p>
        </w:tc>
        <w:tc>
          <w:tcPr>
            <w:tcW w:w="4635" w:type="pct"/>
            <w:tcBorders>
              <w:top w:val="single" w:color="auto" w:sz="2" w:space="0"/>
              <w:left w:val="single" w:color="auto" w:sz="2" w:space="0"/>
              <w:bottom w:val="single" w:color="auto" w:sz="2" w:space="0"/>
              <w:right w:val="single" w:color="auto" w:sz="2" w:space="0"/>
            </w:tcBorders>
            <w:vAlign w:val="center"/>
          </w:tcPr>
          <w:p>
            <w:pPr>
              <w:spacing w:line="360" w:lineRule="auto"/>
              <w:ind w:firstLine="523" w:firstLineChars="218"/>
              <w:rPr>
                <w:rFonts w:ascii="宋体" w:hAnsi="宋体" w:cs="宋体"/>
                <w:sz w:val="24"/>
                <w:highlight w:val="yellow"/>
              </w:rPr>
            </w:pPr>
            <w:r>
              <w:rPr>
                <w:rFonts w:hint="eastAsia" w:ascii="宋体" w:hAnsi="宋体" w:cs="宋体"/>
                <w:sz w:val="24"/>
                <w:highlight w:val="none"/>
              </w:rPr>
              <w:t>开标时间：</w:t>
            </w:r>
            <w:r>
              <w:rPr>
                <w:rFonts w:hint="eastAsia" w:ascii="宋体" w:hAnsi="宋体" w:cs="宋体"/>
                <w:sz w:val="24"/>
                <w:highlight w:val="none"/>
                <w:lang w:eastAsia="zh-CN"/>
              </w:rPr>
              <w:t>2025</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6</w:t>
            </w:r>
            <w:r>
              <w:rPr>
                <w:rFonts w:hint="eastAsia" w:ascii="宋体" w:hAnsi="宋体" w:cs="宋体"/>
                <w:sz w:val="24"/>
                <w:highlight w:val="none"/>
              </w:rPr>
              <w:t>日</w:t>
            </w:r>
            <w:r>
              <w:rPr>
                <w:rFonts w:hint="eastAsia" w:ascii="宋体" w:hAnsi="宋体" w:cs="宋体"/>
                <w:sz w:val="24"/>
                <w:highlight w:val="none"/>
                <w:lang w:val="en-US" w:eastAsia="zh-CN"/>
              </w:rPr>
              <w:t>9</w:t>
            </w:r>
            <w:r>
              <w:rPr>
                <w:rFonts w:hint="eastAsia" w:ascii="宋体" w:hAnsi="宋体" w:cs="宋体"/>
                <w:sz w:val="24"/>
                <w:highlight w:val="none"/>
              </w:rPr>
              <w:t>点</w:t>
            </w:r>
            <w:r>
              <w:rPr>
                <w:rFonts w:hint="eastAsia" w:ascii="宋体" w:hAnsi="宋体" w:cs="宋体"/>
                <w:sz w:val="24"/>
                <w:highlight w:val="none"/>
                <w:lang w:val="en-US" w:eastAsia="zh-CN"/>
              </w:rPr>
              <w:t>0</w:t>
            </w:r>
            <w:r>
              <w:rPr>
                <w:rFonts w:hint="eastAsia" w:ascii="宋体" w:hAnsi="宋体" w:cs="宋体"/>
                <w:sz w:val="24"/>
                <w:highlight w:val="none"/>
              </w:rPr>
              <w:t>0分（北京时间）</w:t>
            </w:r>
          </w:p>
          <w:p>
            <w:pPr>
              <w:spacing w:line="360" w:lineRule="auto"/>
              <w:ind w:firstLine="523" w:firstLineChars="218"/>
              <w:rPr>
                <w:rFonts w:ascii="宋体" w:hAnsi="宋体" w:cs="宋体"/>
                <w:sz w:val="24"/>
                <w:highlight w:val="none"/>
              </w:rPr>
            </w:pPr>
            <w:r>
              <w:rPr>
                <w:rFonts w:hint="eastAsia" w:ascii="宋体" w:hAnsi="宋体" w:cs="宋体"/>
                <w:sz w:val="24"/>
                <w:highlight w:val="none"/>
              </w:rPr>
              <w:t>开标地点：同投标文件递交地点。</w:t>
            </w:r>
          </w:p>
          <w:p>
            <w:pPr>
              <w:pStyle w:val="2"/>
              <w:rPr>
                <w:highlight w:val="none"/>
              </w:rPr>
            </w:pPr>
            <w:r>
              <w:rPr>
                <w:rFonts w:hint="eastAsia"/>
                <w:highlight w:val="none"/>
              </w:rPr>
              <w:t xml:space="preserve"> </w:t>
            </w:r>
            <w:r>
              <w:rPr>
                <w:rFonts w:hint="eastAsia" w:ascii="宋体" w:hAnsi="宋体" w:cs="宋体"/>
                <w:kern w:val="2"/>
                <w:sz w:val="24"/>
                <w:highlight w:val="none"/>
              </w:rPr>
              <w:t>开标方式：中国重汽e采通线上开标+线下商谈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364"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5</w:t>
            </w:r>
          </w:p>
        </w:tc>
        <w:tc>
          <w:tcPr>
            <w:tcW w:w="4635" w:type="pct"/>
            <w:tcBorders>
              <w:top w:val="single" w:color="auto" w:sz="2" w:space="0"/>
              <w:left w:val="single" w:color="auto" w:sz="2" w:space="0"/>
              <w:bottom w:val="single" w:color="auto" w:sz="2" w:space="0"/>
              <w:right w:val="single" w:color="auto" w:sz="2" w:space="0"/>
            </w:tcBorders>
            <w:vAlign w:val="center"/>
          </w:tcPr>
          <w:p>
            <w:pPr>
              <w:tabs>
                <w:tab w:val="left" w:pos="0"/>
              </w:tabs>
              <w:spacing w:line="360" w:lineRule="auto"/>
              <w:ind w:left="506" w:leftChars="241" w:firstLine="0" w:firstLineChars="0"/>
              <w:rPr>
                <w:rFonts w:ascii="宋体" w:hAnsi="宋体" w:cs="宋体"/>
                <w:b w:val="0"/>
                <w:bCs/>
                <w:sz w:val="24"/>
                <w:szCs w:val="24"/>
              </w:rPr>
            </w:pPr>
            <w:r>
              <w:rPr>
                <w:rFonts w:hint="eastAsia" w:ascii="宋体" w:hAnsi="宋体" w:cs="宋体"/>
                <w:b w:val="0"/>
                <w:bCs/>
                <w:sz w:val="24"/>
              </w:rPr>
              <w:t>开标资格审查资料：</w:t>
            </w:r>
          </w:p>
          <w:p>
            <w:pPr>
              <w:tabs>
                <w:tab w:val="left" w:pos="0"/>
              </w:tabs>
              <w:spacing w:line="360" w:lineRule="auto"/>
              <w:ind w:left="506" w:leftChars="241" w:firstLine="0" w:firstLineChars="0"/>
              <w:rPr>
                <w:rFonts w:hint="default" w:ascii="宋体" w:hAnsi="宋体" w:eastAsia="宋体" w:cs="宋体"/>
                <w:b/>
                <w:bCs/>
                <w:sz w:val="24"/>
                <w:szCs w:val="24"/>
                <w:lang w:val="en-US" w:eastAsia="zh-CN"/>
              </w:rPr>
            </w:pPr>
            <w:r>
              <w:rPr>
                <w:rFonts w:hint="eastAsia" w:ascii="宋体" w:hAnsi="宋体" w:cs="宋体"/>
                <w:b w:val="0"/>
                <w:bCs/>
                <w:sz w:val="24"/>
                <w:szCs w:val="24"/>
                <w:lang w:val="en-US" w:eastAsia="zh-CN"/>
              </w:rPr>
              <w:t>见“投标人须知”第8条。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pPr>
              <w:tabs>
                <w:tab w:val="left" w:pos="0"/>
              </w:tabs>
              <w:spacing w:line="360" w:lineRule="auto"/>
              <w:jc w:val="center"/>
              <w:rPr>
                <w:rFonts w:hint="eastAsia" w:ascii="宋体" w:hAnsi="宋体" w:cs="宋体"/>
                <w:b/>
                <w:bCs/>
                <w:sz w:val="24"/>
                <w:szCs w:val="24"/>
                <w:lang w:val="en-US" w:eastAsia="zh-CN"/>
              </w:rPr>
            </w:pPr>
            <w:r>
              <w:rPr>
                <w:rFonts w:hint="eastAsia" w:ascii="宋体" w:hAnsi="宋体" w:cs="宋体"/>
                <w:b/>
                <w:bCs/>
                <w:sz w:val="24"/>
              </w:rPr>
              <w:t>评标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364"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cs="宋体"/>
                <w:sz w:val="24"/>
              </w:rPr>
              <w:t>1</w:t>
            </w:r>
            <w:r>
              <w:rPr>
                <w:rFonts w:hint="eastAsia" w:ascii="宋体" w:hAnsi="宋体" w:cs="宋体"/>
                <w:sz w:val="24"/>
                <w:lang w:val="en-US" w:eastAsia="zh-CN"/>
              </w:rPr>
              <w:t>6</w:t>
            </w:r>
          </w:p>
        </w:tc>
        <w:tc>
          <w:tcPr>
            <w:tcW w:w="4635" w:type="pct"/>
            <w:tcBorders>
              <w:top w:val="single" w:color="auto" w:sz="2" w:space="0"/>
              <w:left w:val="single" w:color="auto" w:sz="2" w:space="0"/>
              <w:bottom w:val="single" w:color="auto" w:sz="2" w:space="0"/>
              <w:right w:val="single" w:color="auto" w:sz="2" w:space="0"/>
            </w:tcBorders>
            <w:vAlign w:val="center"/>
          </w:tcPr>
          <w:p>
            <w:pPr>
              <w:spacing w:line="360" w:lineRule="auto"/>
              <w:ind w:firstLine="523" w:firstLineChars="218"/>
              <w:rPr>
                <w:rFonts w:hint="eastAsia" w:ascii="宋体" w:hAnsi="宋体" w:eastAsia="宋体" w:cs="宋体"/>
                <w:kern w:val="2"/>
                <w:sz w:val="24"/>
                <w:szCs w:val="24"/>
                <w:lang w:val="en-US" w:eastAsia="zh-CN" w:bidi="ar-SA"/>
              </w:rPr>
            </w:pPr>
            <w:r>
              <w:rPr>
                <w:rFonts w:hint="eastAsia" w:ascii="宋体" w:hAnsi="宋体" w:cs="宋体"/>
                <w:sz w:val="24"/>
              </w:rPr>
              <w:t>评标委员会组成：招标人将根据本项目的特点组建评标委员会，分技术专家组和商务专家组，其成员相互独立，分别由有关技术、经济等方面专家和招标人代表等五人或以上单数组成。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364"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cs="宋体"/>
                <w:sz w:val="24"/>
              </w:rPr>
              <w:t>1</w:t>
            </w:r>
            <w:r>
              <w:rPr>
                <w:rFonts w:hint="eastAsia" w:ascii="宋体" w:hAnsi="宋体" w:cs="宋体"/>
                <w:sz w:val="24"/>
                <w:lang w:val="en-US" w:eastAsia="zh-CN"/>
              </w:rPr>
              <w:t>7</w:t>
            </w:r>
          </w:p>
        </w:tc>
        <w:tc>
          <w:tcPr>
            <w:tcW w:w="4635" w:type="pct"/>
            <w:tcBorders>
              <w:top w:val="single" w:color="auto" w:sz="2" w:space="0"/>
              <w:left w:val="single" w:color="auto" w:sz="2" w:space="0"/>
              <w:bottom w:val="single" w:color="auto" w:sz="2" w:space="0"/>
              <w:right w:val="single" w:color="auto" w:sz="2" w:space="0"/>
            </w:tcBorders>
            <w:vAlign w:val="center"/>
          </w:tcPr>
          <w:p>
            <w:pPr>
              <w:pStyle w:val="25"/>
              <w:spacing w:after="0" w:line="360" w:lineRule="auto"/>
              <w:ind w:firstLine="480" w:firstLineChars="200"/>
              <w:rPr>
                <w:rFonts w:hint="eastAsia" w:ascii="宋体" w:hAnsi="宋体" w:eastAsia="宋体" w:cs="宋体"/>
                <w:kern w:val="2"/>
                <w:sz w:val="24"/>
                <w:szCs w:val="21"/>
                <w:lang w:val="en-US" w:eastAsia="zh-CN" w:bidi="ar-SA"/>
              </w:rPr>
            </w:pPr>
            <w:r>
              <w:rPr>
                <w:rFonts w:hint="eastAsia" w:ascii="宋体" w:hAnsi="宋体" w:cs="宋体"/>
                <w:kern w:val="2"/>
                <w:sz w:val="24"/>
              </w:rPr>
              <w:t>本次评标采用资质审查、商务唱标、技术评标、商务议标四个阶段开标模式。首先进行资质审查，符合资质的投标方进入商务唱标，技术标评审由技术评标专家组对所有投标方的技术标部分综合评定和打分，</w:t>
            </w:r>
            <w:r>
              <w:rPr>
                <w:rFonts w:hint="eastAsia" w:ascii="宋体" w:hAnsi="宋体" w:cs="宋体"/>
                <w:kern w:val="2"/>
                <w:sz w:val="24"/>
                <w:highlight w:val="none"/>
              </w:rPr>
              <w:t>≥</w:t>
            </w:r>
            <w:r>
              <w:rPr>
                <w:rFonts w:hint="eastAsia" w:ascii="宋体" w:hAnsi="宋体" w:cs="宋体"/>
                <w:kern w:val="2"/>
                <w:sz w:val="24"/>
                <w:highlight w:val="none"/>
                <w:lang w:val="en-US" w:eastAsia="zh-CN"/>
              </w:rPr>
              <w:t>7</w:t>
            </w:r>
            <w:r>
              <w:rPr>
                <w:rFonts w:hint="eastAsia" w:ascii="宋体" w:hAnsi="宋体" w:cs="宋体"/>
                <w:kern w:val="2"/>
                <w:sz w:val="24"/>
                <w:highlight w:val="none"/>
              </w:rPr>
              <w:t>0分入围商务议标，招标人有权根据项目情况，采取多轮评标模式</w:t>
            </w:r>
            <w:r>
              <w:rPr>
                <w:rFonts w:hint="eastAsia" w:ascii="宋体" w:hAnsi="宋体" w:cs="宋体"/>
                <w:kern w:val="2"/>
                <w:sz w:val="24"/>
                <w:highlight w:val="none"/>
                <w:lang w:eastAsia="zh-CN"/>
              </w:rPr>
              <w:t>；</w:t>
            </w:r>
            <w:r>
              <w:rPr>
                <w:rFonts w:hint="eastAsia" w:ascii="宋体" w:hAnsi="宋体" w:cs="宋体"/>
                <w:kern w:val="2"/>
                <w:sz w:val="24"/>
                <w:highlight w:val="none"/>
              </w:rPr>
              <w:t>技术分+竞价分最高分中标法</w:t>
            </w:r>
            <w:r>
              <w:rPr>
                <w:rFonts w:hint="eastAsia" w:ascii="宋体" w:hAnsi="宋体" w:cs="宋体"/>
                <w:kern w:val="2"/>
                <w:sz w:val="24"/>
                <w:highlight w:val="none"/>
                <w:lang w:eastAsia="zh-CN"/>
              </w:rPr>
              <w:t>；</w:t>
            </w:r>
            <w:r>
              <w:rPr>
                <w:rFonts w:hint="eastAsia" w:ascii="宋体" w:hAnsi="宋体" w:cs="宋体"/>
                <w:kern w:val="2"/>
                <w:sz w:val="24"/>
                <w:highlight w:val="none"/>
              </w:rPr>
              <w:t>技术分</w:t>
            </w:r>
            <w:r>
              <w:rPr>
                <w:rFonts w:hint="eastAsia" w:ascii="宋体" w:hAnsi="宋体" w:cs="宋体"/>
                <w:kern w:val="2"/>
                <w:sz w:val="24"/>
                <w:highlight w:val="none"/>
                <w:lang w:val="en-US" w:eastAsia="zh-CN"/>
              </w:rPr>
              <w:t>*2</w:t>
            </w:r>
            <w:r>
              <w:rPr>
                <w:rFonts w:hint="eastAsia" w:ascii="宋体" w:hAnsi="宋体" w:cs="宋体"/>
                <w:kern w:val="2"/>
                <w:sz w:val="24"/>
                <w:highlight w:val="none"/>
              </w:rPr>
              <w:t>0%+当前轮次最低价/当前轮次供方投标价</w:t>
            </w:r>
            <w:r>
              <w:rPr>
                <w:rFonts w:hint="eastAsia" w:ascii="宋体" w:hAnsi="宋体" w:cs="宋体"/>
                <w:kern w:val="2"/>
                <w:sz w:val="24"/>
                <w:highlight w:val="none"/>
                <w:lang w:val="en-US" w:eastAsia="zh-CN"/>
              </w:rPr>
              <w:t>*80</w:t>
            </w:r>
            <w:r>
              <w:rPr>
                <w:rFonts w:hint="eastAsia" w:ascii="宋体" w:hAnsi="宋体" w:cs="宋体"/>
                <w:kern w:val="2"/>
                <w:sz w:val="24"/>
                <w:highlight w:val="none"/>
              </w:rPr>
              <w:t>=最终得分</w:t>
            </w:r>
            <w:r>
              <w:rPr>
                <w:rFonts w:hint="eastAsia" w:ascii="宋体" w:hAnsi="宋体" w:cs="宋体"/>
                <w:kern w:val="2"/>
                <w:sz w:val="24"/>
              </w:rPr>
              <w:t>。三包综合得分前三名为中标人（50%、30%、20%）</w:t>
            </w:r>
            <w:r>
              <w:rPr>
                <w:rFonts w:hint="eastAsia" w:ascii="宋体" w:hAnsi="宋体" w:cs="宋体"/>
                <w:kern w:val="2"/>
                <w:sz w:val="24"/>
                <w:highlight w:val="none"/>
              </w:rPr>
              <w:t>价格执行三家各包次投标最低价</w:t>
            </w:r>
            <w:r>
              <w:rPr>
                <w:rFonts w:hint="eastAsia" w:ascii="宋体" w:hAnsi="宋体" w:cs="宋体"/>
                <w:kern w:val="2"/>
                <w:sz w:val="24"/>
                <w:highlight w:val="none"/>
                <w:lang w:eastAsia="zh-CN"/>
              </w:rPr>
              <w:t>，</w:t>
            </w:r>
            <w:r>
              <w:rPr>
                <w:rFonts w:hint="eastAsia" w:ascii="宋体" w:hAnsi="宋体" w:cs="宋体"/>
                <w:kern w:val="2"/>
                <w:sz w:val="24"/>
              </w:rPr>
              <w:t>对未中标人不做任何解释。</w:t>
            </w:r>
          </w:p>
        </w:tc>
      </w:tr>
    </w:tbl>
    <w:p>
      <w:pPr>
        <w:pStyle w:val="12"/>
        <w:tabs>
          <w:tab w:val="left" w:pos="1146"/>
        </w:tabs>
        <w:spacing w:line="360" w:lineRule="auto"/>
        <w:ind w:left="0" w:leftChars="0" w:firstLine="0" w:firstLineChars="0"/>
        <w:rPr>
          <w:rFonts w:ascii="宋体" w:hAnsi="宋体" w:cs="宋体"/>
          <w:b/>
          <w:bCs/>
          <w:szCs w:val="32"/>
        </w:rPr>
      </w:pPr>
    </w:p>
    <w:bookmarkEnd w:id="150"/>
    <w:p>
      <w:pPr>
        <w:pStyle w:val="292"/>
        <w:numPr>
          <w:ilvl w:val="0"/>
          <w:numId w:val="9"/>
        </w:numPr>
        <w:tabs>
          <w:tab w:val="right" w:leader="dot" w:pos="9061"/>
        </w:tabs>
        <w:spacing w:line="360" w:lineRule="auto"/>
        <w:ind w:firstLineChars="0"/>
        <w:jc w:val="center"/>
        <w:outlineLvl w:val="0"/>
        <w:rPr>
          <w:b/>
          <w:iCs/>
          <w:vanish/>
          <w:szCs w:val="21"/>
        </w:rPr>
      </w:pPr>
      <w:bookmarkStart w:id="151" w:name="_Toc142573023"/>
      <w:bookmarkEnd w:id="151"/>
      <w:bookmarkStart w:id="152" w:name="_Toc142573484"/>
      <w:bookmarkEnd w:id="152"/>
      <w:bookmarkStart w:id="153" w:name="_Toc142572977"/>
      <w:bookmarkEnd w:id="153"/>
      <w:bookmarkStart w:id="154" w:name="_Toc129693890"/>
      <w:bookmarkEnd w:id="154"/>
      <w:bookmarkStart w:id="155" w:name="_Toc129697446"/>
      <w:bookmarkEnd w:id="155"/>
      <w:bookmarkStart w:id="156" w:name="_Toc142573115"/>
      <w:bookmarkEnd w:id="156"/>
      <w:bookmarkStart w:id="157" w:name="_Toc142573648"/>
      <w:bookmarkEnd w:id="157"/>
      <w:bookmarkStart w:id="158" w:name="_Toc142572942"/>
      <w:bookmarkEnd w:id="158"/>
    </w:p>
    <w:p>
      <w:pPr>
        <w:pStyle w:val="292"/>
        <w:keepNext/>
        <w:keepLines/>
        <w:numPr>
          <w:ilvl w:val="1"/>
          <w:numId w:val="9"/>
        </w:numPr>
        <w:spacing w:line="360" w:lineRule="auto"/>
        <w:ind w:left="0" w:firstLine="562"/>
        <w:jc w:val="left"/>
        <w:outlineLvl w:val="1"/>
        <w:rPr>
          <w:b/>
          <w:vanish/>
          <w:kern w:val="0"/>
          <w:szCs w:val="36"/>
        </w:rPr>
      </w:pPr>
      <w:bookmarkStart w:id="159" w:name="_Toc129693375"/>
      <w:bookmarkEnd w:id="159"/>
      <w:bookmarkStart w:id="160" w:name="_Toc142572978"/>
      <w:bookmarkEnd w:id="160"/>
      <w:bookmarkStart w:id="161" w:name="_Toc129693891"/>
      <w:bookmarkEnd w:id="161"/>
      <w:bookmarkStart w:id="162" w:name="_Toc129692644"/>
      <w:bookmarkEnd w:id="162"/>
      <w:bookmarkStart w:id="163" w:name="_Toc129697447"/>
      <w:bookmarkEnd w:id="163"/>
      <w:bookmarkStart w:id="164" w:name="_Toc142573485"/>
      <w:bookmarkEnd w:id="164"/>
      <w:bookmarkStart w:id="165" w:name="_Toc129692727"/>
      <w:bookmarkEnd w:id="165"/>
      <w:bookmarkStart w:id="166" w:name="_Toc129695607"/>
      <w:bookmarkEnd w:id="166"/>
      <w:bookmarkStart w:id="167" w:name="_Toc142573649"/>
      <w:bookmarkEnd w:id="167"/>
      <w:bookmarkStart w:id="168" w:name="_Toc142572943"/>
      <w:bookmarkEnd w:id="168"/>
      <w:bookmarkStart w:id="169" w:name="_Toc142573024"/>
      <w:bookmarkEnd w:id="169"/>
      <w:bookmarkStart w:id="170" w:name="_Toc129692790"/>
      <w:bookmarkEnd w:id="170"/>
      <w:bookmarkStart w:id="171" w:name="_Toc142573116"/>
      <w:bookmarkEnd w:id="171"/>
    </w:p>
    <w:p>
      <w:pPr>
        <w:pStyle w:val="5"/>
        <w:numPr>
          <w:ilvl w:val="2"/>
          <w:numId w:val="0"/>
        </w:numPr>
        <w:bidi w:val="0"/>
        <w:ind w:leftChars="0"/>
        <w:rPr>
          <w:rFonts w:hint="eastAsia" w:ascii="黑体" w:hAnsi="黑体" w:eastAsia="黑体" w:cs="黑体"/>
          <w:b/>
          <w:bCs w:val="0"/>
          <w:sz w:val="28"/>
          <w:szCs w:val="36"/>
        </w:rPr>
      </w:pPr>
      <w:bookmarkStart w:id="172" w:name="_Toc212369519"/>
      <w:r>
        <w:rPr>
          <w:rFonts w:hint="eastAsia" w:ascii="黑体" w:hAnsi="黑体" w:eastAsia="黑体" w:cs="黑体"/>
          <w:b/>
          <w:bCs w:val="0"/>
          <w:sz w:val="28"/>
          <w:szCs w:val="36"/>
          <w:lang w:val="en-US" w:eastAsia="zh-CN"/>
        </w:rPr>
        <w:t xml:space="preserve">2.2 </w:t>
      </w:r>
      <w:r>
        <w:rPr>
          <w:rFonts w:hint="eastAsia" w:ascii="黑体" w:hAnsi="黑体" w:eastAsia="黑体" w:cs="黑体"/>
          <w:b/>
          <w:bCs w:val="0"/>
          <w:sz w:val="28"/>
          <w:szCs w:val="36"/>
        </w:rPr>
        <w:t>投标报价</w:t>
      </w:r>
      <w:bookmarkEnd w:id="172"/>
    </w:p>
    <w:p>
      <w:pPr>
        <w:tabs>
          <w:tab w:val="left" w:pos="0"/>
        </w:tabs>
        <w:spacing w:line="360" w:lineRule="auto"/>
        <w:ind w:firstLine="480" w:firstLineChars="200"/>
        <w:rPr>
          <w:rFonts w:hint="eastAsia" w:ascii="宋体" w:hAnsi="宋体" w:cs="宋体"/>
          <w:color w:val="000000"/>
          <w:sz w:val="24"/>
          <w:szCs w:val="24"/>
          <w:highlight w:val="none"/>
          <w:lang w:val="en-US" w:eastAsia="zh-CN"/>
        </w:rPr>
      </w:pPr>
      <w:bookmarkStart w:id="173" w:name="_Toc346306744"/>
      <w:bookmarkStart w:id="174" w:name="_Toc352332865"/>
      <w:bookmarkStart w:id="175" w:name="_Toc346372891"/>
      <w:r>
        <w:rPr>
          <w:rFonts w:hint="eastAsia" w:ascii="宋体" w:hAnsi="宋体" w:cs="宋体"/>
          <w:color w:val="000000"/>
          <w:sz w:val="24"/>
          <w:szCs w:val="24"/>
          <w:highlight w:val="none"/>
          <w:lang w:val="en-US" w:eastAsia="zh-CN"/>
        </w:rPr>
        <w:t>1.分为轻卡、重卡、超限三个包次，投标人针对三个包次分别报价。</w:t>
      </w:r>
    </w:p>
    <w:p>
      <w:pPr>
        <w:tabs>
          <w:tab w:val="left" w:pos="0"/>
        </w:tabs>
        <w:spacing w:line="360" w:lineRule="auto"/>
        <w:ind w:firstLine="480" w:firstLineChars="200"/>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每位投标人必须对三个包进行报价，不得漏报</w:t>
      </w:r>
      <w:r>
        <w:rPr>
          <w:rFonts w:hint="eastAsia" w:ascii="宋体" w:hAnsi="宋体" w:cs="宋体"/>
          <w:color w:val="000000"/>
          <w:kern w:val="2"/>
          <w:sz w:val="24"/>
          <w:szCs w:val="24"/>
          <w:highlight w:val="none"/>
          <w:lang w:val="en-US" w:eastAsia="zh-CN" w:bidi="ar-SA"/>
        </w:rPr>
        <w:t>。</w:t>
      </w:r>
    </w:p>
    <w:p>
      <w:pPr>
        <w:tabs>
          <w:tab w:val="left" w:pos="0"/>
        </w:tabs>
        <w:spacing w:line="360" w:lineRule="auto"/>
        <w:ind w:firstLine="480" w:firstLineChars="200"/>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3.报价：投标单位在运输费用标准基价上执行折扣（%）进行报价（百分比保留小数点后1位）</w:t>
      </w:r>
      <w:r>
        <w:rPr>
          <w:rFonts w:hint="eastAsia" w:ascii="宋体" w:hAnsi="宋体" w:cs="宋体"/>
          <w:b w:val="0"/>
          <w:bCs w:val="0"/>
          <w:color w:val="auto"/>
          <w:sz w:val="24"/>
          <w:szCs w:val="24"/>
          <w:highlight w:val="none"/>
          <w:lang w:val="en-US" w:eastAsia="zh-CN"/>
        </w:rPr>
        <w:t>。</w:t>
      </w:r>
    </w:p>
    <w:p>
      <w:pPr>
        <w:pStyle w:val="5"/>
        <w:numPr>
          <w:ilvl w:val="2"/>
          <w:numId w:val="0"/>
        </w:numPr>
        <w:bidi w:val="0"/>
        <w:ind w:leftChars="0"/>
        <w:rPr>
          <w:rFonts w:hint="eastAsia" w:ascii="黑体" w:hAnsi="黑体" w:eastAsia="黑体" w:cs="黑体"/>
          <w:b/>
          <w:bCs w:val="0"/>
          <w:sz w:val="28"/>
          <w:szCs w:val="36"/>
          <w:lang w:val="en-US" w:eastAsia="zh-CN"/>
        </w:rPr>
      </w:pPr>
      <w:r>
        <w:rPr>
          <w:rFonts w:hint="eastAsia" w:ascii="黑体" w:hAnsi="黑体" w:eastAsia="黑体" w:cs="黑体"/>
          <w:b/>
          <w:bCs w:val="0"/>
          <w:sz w:val="28"/>
          <w:szCs w:val="36"/>
          <w:lang w:val="en-US" w:eastAsia="zh-CN"/>
        </w:rPr>
        <w:t>2.3投标文件签署</w:t>
      </w:r>
      <w:bookmarkEnd w:id="173"/>
      <w:bookmarkEnd w:id="174"/>
      <w:bookmarkEnd w:id="175"/>
    </w:p>
    <w:p>
      <w:pPr>
        <w:numPr>
          <w:ilvl w:val="0"/>
          <w:numId w:val="0"/>
        </w:numPr>
        <w:tabs>
          <w:tab w:val="left" w:pos="0"/>
        </w:tabs>
        <w:spacing w:line="360" w:lineRule="auto"/>
        <w:ind w:firstLine="480" w:firstLineChars="200"/>
        <w:rPr>
          <w:rFonts w:ascii="宋体" w:hAnsi="宋体" w:cs="宋体"/>
          <w:sz w:val="24"/>
          <w:szCs w:val="24"/>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投标文件应加盖投标人单位公章（不得使用</w:t>
      </w:r>
      <w:r>
        <w:rPr>
          <w:rFonts w:hint="eastAsia" w:ascii="宋体" w:hAnsi="宋体" w:cs="宋体"/>
          <w:sz w:val="24"/>
          <w:szCs w:val="24"/>
        </w:rPr>
        <w:t>其他形式如带有“专用章”等字样的印章）并经法定代表人或其委托代理人签字，签字须使用黑色或蓝色不可褪色签字笔，由投标单位法人或委托代理人亲自签署，由委托代理人签字的投标文件中须附授权委托书。投标人代表必须按招标文件的规定签署投标文件（正本、副本及各附件）。</w:t>
      </w:r>
      <w:r>
        <w:rPr>
          <w:rFonts w:hint="eastAsia" w:ascii="宋体" w:hAnsi="宋体" w:cs="宋体"/>
          <w:bCs/>
          <w:sz w:val="24"/>
          <w:szCs w:val="24"/>
        </w:rPr>
        <w:t>否则，其投标文件按无效投标处理</w:t>
      </w:r>
      <w:r>
        <w:rPr>
          <w:rFonts w:hint="eastAsia" w:ascii="宋体" w:hAnsi="宋体" w:cs="宋体"/>
          <w:sz w:val="24"/>
          <w:szCs w:val="24"/>
        </w:rPr>
        <w:t>。</w:t>
      </w:r>
    </w:p>
    <w:p>
      <w:pPr>
        <w:numPr>
          <w:ilvl w:val="0"/>
          <w:numId w:val="0"/>
        </w:numPr>
        <w:tabs>
          <w:tab w:val="left" w:pos="0"/>
        </w:tabs>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本招标文件提供的投标文件格式中，标注有盖公章、签字之处，应有投标人的盖章、委托代理人的签字或法定代表人的签字或盖章。</w:t>
      </w:r>
    </w:p>
    <w:p>
      <w:pPr>
        <w:pStyle w:val="5"/>
        <w:numPr>
          <w:ilvl w:val="2"/>
          <w:numId w:val="0"/>
        </w:numPr>
        <w:bidi w:val="0"/>
        <w:ind w:leftChars="0"/>
        <w:rPr>
          <w:rFonts w:hint="eastAsia" w:ascii="黑体" w:hAnsi="黑体" w:eastAsia="黑体" w:cs="黑体"/>
          <w:b/>
          <w:bCs w:val="0"/>
          <w:sz w:val="28"/>
          <w:szCs w:val="36"/>
          <w:lang w:val="en-US" w:eastAsia="zh-CN"/>
        </w:rPr>
      </w:pPr>
      <w:bookmarkStart w:id="176" w:name="_Toc346372892"/>
      <w:bookmarkStart w:id="177" w:name="_Toc352332866"/>
      <w:bookmarkStart w:id="178" w:name="_Toc346306745"/>
      <w:r>
        <w:rPr>
          <w:rFonts w:hint="eastAsia" w:ascii="黑体" w:hAnsi="黑体" w:eastAsia="黑体" w:cs="黑体"/>
          <w:b/>
          <w:bCs w:val="0"/>
          <w:sz w:val="28"/>
          <w:szCs w:val="36"/>
          <w:lang w:val="en-US" w:eastAsia="zh-CN"/>
        </w:rPr>
        <w:t>2.4投标文件密封和标记</w:t>
      </w:r>
      <w:bookmarkEnd w:id="176"/>
      <w:bookmarkEnd w:id="177"/>
      <w:bookmarkEnd w:id="178"/>
    </w:p>
    <w:p>
      <w:pPr>
        <w:numPr>
          <w:ilvl w:val="0"/>
          <w:numId w:val="0"/>
        </w:numPr>
        <w:tabs>
          <w:tab w:val="left" w:pos="0"/>
        </w:tabs>
        <w:spacing w:line="360" w:lineRule="auto"/>
        <w:ind w:firstLine="480" w:firstLineChars="200"/>
        <w:rPr>
          <w:rFonts w:ascii="宋体" w:hAnsi="宋体"/>
          <w:sz w:val="24"/>
          <w:szCs w:val="24"/>
        </w:rPr>
      </w:pPr>
      <w:r>
        <w:rPr>
          <w:rFonts w:hint="eastAsia" w:ascii="宋体" w:hAnsi="宋体" w:cs="宋体"/>
          <w:sz w:val="24"/>
          <w:szCs w:val="24"/>
          <w:lang w:val="en-US" w:eastAsia="zh-CN"/>
        </w:rPr>
        <w:t>1.</w:t>
      </w:r>
      <w:r>
        <w:rPr>
          <w:rFonts w:hint="eastAsia" w:ascii="宋体" w:hAnsi="宋体" w:cs="宋体"/>
          <w:sz w:val="24"/>
          <w:szCs w:val="24"/>
        </w:rPr>
        <w:t>投标人应准备的投标文件份数见投标人须知前附表第9项，投标人应在每一份投标文件上注明“正本”或“副本”字样。</w:t>
      </w:r>
    </w:p>
    <w:p>
      <w:pPr>
        <w:numPr>
          <w:ilvl w:val="0"/>
          <w:numId w:val="0"/>
        </w:numPr>
        <w:tabs>
          <w:tab w:val="left" w:pos="0"/>
        </w:tabs>
        <w:spacing w:line="360" w:lineRule="auto"/>
        <w:ind w:firstLine="480" w:firstLineChars="200"/>
        <w:rPr>
          <w:rFonts w:ascii="宋体" w:hAnsi="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投标文件的密封和标记详见投标人须知前附表第10项。</w:t>
      </w:r>
    </w:p>
    <w:p>
      <w:pPr>
        <w:pStyle w:val="5"/>
        <w:numPr>
          <w:ilvl w:val="2"/>
          <w:numId w:val="0"/>
        </w:numPr>
        <w:bidi w:val="0"/>
        <w:ind w:leftChars="0"/>
        <w:rPr>
          <w:rFonts w:hint="eastAsia" w:ascii="黑体" w:hAnsi="黑体" w:eastAsia="黑体" w:cs="黑体"/>
          <w:b/>
          <w:bCs w:val="0"/>
          <w:sz w:val="28"/>
          <w:szCs w:val="36"/>
          <w:lang w:val="en-US" w:eastAsia="zh-CN"/>
        </w:rPr>
      </w:pPr>
      <w:bookmarkStart w:id="179" w:name="_Toc346306741"/>
      <w:bookmarkStart w:id="180" w:name="_Toc346372888"/>
      <w:bookmarkStart w:id="181" w:name="_Toc352332862"/>
      <w:bookmarkStart w:id="182" w:name="_Toc352332867"/>
      <w:bookmarkStart w:id="183" w:name="_Toc346306746"/>
      <w:bookmarkStart w:id="184" w:name="_Toc346372893"/>
      <w:r>
        <w:rPr>
          <w:rFonts w:hint="eastAsia" w:ascii="黑体" w:hAnsi="黑体" w:eastAsia="黑体" w:cs="黑体"/>
          <w:b/>
          <w:bCs w:val="0"/>
          <w:sz w:val="28"/>
          <w:szCs w:val="36"/>
          <w:lang w:val="en-US" w:eastAsia="zh-CN"/>
        </w:rPr>
        <w:t>2.5投标文件装订</w:t>
      </w:r>
      <w:bookmarkEnd w:id="179"/>
      <w:bookmarkEnd w:id="180"/>
      <w:bookmarkEnd w:id="181"/>
    </w:p>
    <w:p>
      <w:pPr>
        <w:pStyle w:val="30"/>
        <w:spacing w:after="0" w:line="360" w:lineRule="auto"/>
        <w:ind w:firstLine="600" w:firstLineChars="250"/>
        <w:rPr>
          <w:rFonts w:ascii="宋体" w:hAnsi="宋体"/>
          <w:sz w:val="24"/>
          <w:szCs w:val="24"/>
        </w:rPr>
      </w:pPr>
      <w:r>
        <w:rPr>
          <w:rFonts w:hint="eastAsia" w:ascii="宋体" w:hAnsi="宋体" w:cs="宋体"/>
          <w:sz w:val="24"/>
          <w:szCs w:val="24"/>
        </w:rPr>
        <w:t>详见投标人须知前附表第11项。</w:t>
      </w:r>
    </w:p>
    <w:p>
      <w:pPr>
        <w:pStyle w:val="5"/>
        <w:numPr>
          <w:ilvl w:val="2"/>
          <w:numId w:val="0"/>
        </w:numPr>
        <w:bidi w:val="0"/>
        <w:ind w:leftChars="0"/>
        <w:rPr>
          <w:rFonts w:hint="eastAsia" w:ascii="黑体" w:hAnsi="黑体" w:eastAsia="黑体" w:cs="黑体"/>
          <w:b/>
          <w:bCs w:val="0"/>
          <w:sz w:val="28"/>
          <w:szCs w:val="36"/>
          <w:lang w:val="en-US" w:eastAsia="zh-CN"/>
        </w:rPr>
      </w:pPr>
      <w:r>
        <w:rPr>
          <w:rFonts w:hint="eastAsia" w:ascii="黑体" w:hAnsi="黑体" w:eastAsia="黑体" w:cs="黑体"/>
          <w:b/>
          <w:bCs w:val="0"/>
          <w:sz w:val="28"/>
          <w:szCs w:val="36"/>
          <w:lang w:val="en-US" w:eastAsia="zh-CN"/>
        </w:rPr>
        <w:t>2.6投标保证金</w:t>
      </w:r>
      <w:bookmarkEnd w:id="182"/>
      <w:bookmarkEnd w:id="183"/>
      <w:bookmarkEnd w:id="184"/>
    </w:p>
    <w:p>
      <w:pPr>
        <w:numPr>
          <w:ilvl w:val="0"/>
          <w:numId w:val="0"/>
        </w:numPr>
        <w:tabs>
          <w:tab w:val="left" w:pos="0"/>
        </w:tabs>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投标人应按前附表第12项的规定提交投标保证金，作为其投标文件的一部分。未按本招标文件规定提交投标保证金的，按无效投标处理。</w:t>
      </w:r>
    </w:p>
    <w:p>
      <w:pPr>
        <w:numPr>
          <w:ilvl w:val="0"/>
          <w:numId w:val="0"/>
        </w:numPr>
        <w:tabs>
          <w:tab w:val="left" w:pos="0"/>
        </w:tabs>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如投标人有下列情况，投标保证金不予退还，招标人有权依法向其提出索赔，投标人应当赔偿因此给招标人造成的全部损失：</w:t>
      </w:r>
    </w:p>
    <w:p>
      <w:pPr>
        <w:pStyle w:val="30"/>
        <w:numPr>
          <w:ilvl w:val="0"/>
          <w:numId w:val="10"/>
        </w:numPr>
        <w:spacing w:after="0" w:line="360" w:lineRule="auto"/>
        <w:rPr>
          <w:rFonts w:ascii="宋体" w:hAnsi="宋体"/>
          <w:sz w:val="24"/>
          <w:szCs w:val="24"/>
        </w:rPr>
      </w:pPr>
      <w:r>
        <w:rPr>
          <w:rFonts w:hint="eastAsia" w:ascii="宋体" w:hAnsi="宋体" w:cs="宋体"/>
          <w:sz w:val="24"/>
          <w:szCs w:val="24"/>
        </w:rPr>
        <w:t>开标后，投标人在投标有效期内撤回谈判的；</w:t>
      </w:r>
    </w:p>
    <w:p>
      <w:pPr>
        <w:pStyle w:val="30"/>
        <w:numPr>
          <w:ilvl w:val="0"/>
          <w:numId w:val="10"/>
        </w:numPr>
        <w:spacing w:after="0" w:line="360" w:lineRule="auto"/>
        <w:rPr>
          <w:rFonts w:ascii="宋体" w:hAnsi="宋体"/>
          <w:sz w:val="24"/>
          <w:szCs w:val="24"/>
        </w:rPr>
      </w:pPr>
      <w:r>
        <w:rPr>
          <w:rFonts w:hint="eastAsia" w:ascii="宋体" w:hAnsi="宋体" w:cs="宋体"/>
          <w:sz w:val="24"/>
          <w:szCs w:val="24"/>
        </w:rPr>
        <w:t>采取不正当手段诋毁、排挤其他投标人的；</w:t>
      </w:r>
    </w:p>
    <w:p>
      <w:pPr>
        <w:pStyle w:val="30"/>
        <w:numPr>
          <w:ilvl w:val="0"/>
          <w:numId w:val="10"/>
        </w:numPr>
        <w:spacing w:after="0" w:line="360" w:lineRule="auto"/>
        <w:rPr>
          <w:rFonts w:ascii="宋体" w:hAnsi="宋体"/>
          <w:sz w:val="24"/>
          <w:szCs w:val="24"/>
        </w:rPr>
      </w:pPr>
      <w:r>
        <w:rPr>
          <w:rFonts w:hint="eastAsia" w:ascii="宋体" w:hAnsi="宋体" w:cs="宋体"/>
          <w:sz w:val="24"/>
          <w:szCs w:val="24"/>
        </w:rPr>
        <w:t>与其他投标人或者招标人恶意串通的；</w:t>
      </w:r>
    </w:p>
    <w:p>
      <w:pPr>
        <w:pStyle w:val="30"/>
        <w:numPr>
          <w:ilvl w:val="0"/>
          <w:numId w:val="10"/>
        </w:numPr>
        <w:spacing w:after="0" w:line="360" w:lineRule="auto"/>
        <w:rPr>
          <w:rFonts w:ascii="宋体" w:hAnsi="宋体"/>
          <w:sz w:val="24"/>
          <w:szCs w:val="24"/>
        </w:rPr>
      </w:pPr>
      <w:r>
        <w:rPr>
          <w:rFonts w:hint="eastAsia" w:ascii="宋体" w:hAnsi="宋体" w:cs="宋体"/>
          <w:sz w:val="24"/>
          <w:szCs w:val="24"/>
        </w:rPr>
        <w:t>向招标人行贿或者提供其他不正当利益的；</w:t>
      </w:r>
    </w:p>
    <w:p>
      <w:pPr>
        <w:pStyle w:val="30"/>
        <w:numPr>
          <w:ilvl w:val="0"/>
          <w:numId w:val="10"/>
        </w:numPr>
        <w:spacing w:after="0" w:line="360" w:lineRule="auto"/>
        <w:rPr>
          <w:rFonts w:ascii="宋体" w:hAnsi="宋体"/>
          <w:sz w:val="24"/>
          <w:szCs w:val="24"/>
        </w:rPr>
      </w:pPr>
      <w:r>
        <w:rPr>
          <w:rFonts w:hint="eastAsia" w:ascii="宋体" w:hAnsi="宋体" w:cs="宋体"/>
          <w:sz w:val="24"/>
          <w:szCs w:val="24"/>
        </w:rPr>
        <w:t>投标人在投标文件中提供虚假材料的；</w:t>
      </w:r>
    </w:p>
    <w:p>
      <w:pPr>
        <w:pStyle w:val="30"/>
        <w:numPr>
          <w:ilvl w:val="0"/>
          <w:numId w:val="10"/>
        </w:numPr>
        <w:spacing w:after="0" w:line="360" w:lineRule="auto"/>
        <w:rPr>
          <w:rFonts w:ascii="宋体" w:hAnsi="宋体"/>
          <w:sz w:val="24"/>
          <w:szCs w:val="24"/>
        </w:rPr>
      </w:pPr>
      <w:r>
        <w:rPr>
          <w:rFonts w:hint="eastAsia" w:ascii="宋体" w:hAnsi="宋体" w:cs="宋体"/>
          <w:sz w:val="24"/>
          <w:szCs w:val="24"/>
        </w:rPr>
        <w:t>中标人无正当理由未能按规定与招标人签订合同的；</w:t>
      </w:r>
    </w:p>
    <w:p>
      <w:pPr>
        <w:pStyle w:val="30"/>
        <w:numPr>
          <w:ilvl w:val="0"/>
          <w:numId w:val="10"/>
        </w:numPr>
        <w:spacing w:after="0" w:line="360" w:lineRule="auto"/>
        <w:rPr>
          <w:rFonts w:ascii="宋体" w:hAnsi="宋体"/>
          <w:sz w:val="24"/>
          <w:szCs w:val="24"/>
        </w:rPr>
      </w:pPr>
      <w:r>
        <w:rPr>
          <w:rFonts w:hint="eastAsia" w:ascii="宋体" w:hAnsi="宋体" w:cs="宋体"/>
          <w:sz w:val="24"/>
          <w:szCs w:val="24"/>
        </w:rPr>
        <w:t>法律法规和招标文件规定的其他情形。</w:t>
      </w:r>
    </w:p>
    <w:p>
      <w:pPr>
        <w:numPr>
          <w:ilvl w:val="0"/>
          <w:numId w:val="0"/>
        </w:numPr>
        <w:tabs>
          <w:tab w:val="left" w:pos="0"/>
        </w:tabs>
        <w:spacing w:line="360" w:lineRule="auto"/>
        <w:ind w:firstLine="480" w:firstLineChars="200"/>
        <w:rPr>
          <w:rFonts w:ascii="宋体" w:hAnsi="宋体"/>
          <w:sz w:val="24"/>
          <w:szCs w:val="24"/>
        </w:rPr>
      </w:pPr>
      <w:r>
        <w:rPr>
          <w:rFonts w:hint="eastAsia" w:ascii="宋体" w:hAnsi="宋体" w:cs="宋体"/>
          <w:sz w:val="24"/>
          <w:szCs w:val="24"/>
          <w:lang w:val="en-US" w:eastAsia="zh-CN"/>
        </w:rPr>
        <w:t>3.</w:t>
      </w:r>
      <w:r>
        <w:rPr>
          <w:rFonts w:hint="eastAsia" w:ascii="宋体" w:hAnsi="宋体" w:cs="宋体"/>
          <w:sz w:val="24"/>
          <w:szCs w:val="24"/>
        </w:rPr>
        <w:t>保证金的退还：</w:t>
      </w:r>
    </w:p>
    <w:p>
      <w:pPr>
        <w:pStyle w:val="30"/>
        <w:numPr>
          <w:ilvl w:val="0"/>
          <w:numId w:val="0"/>
        </w:numPr>
        <w:spacing w:after="0" w:line="360" w:lineRule="auto"/>
        <w:ind w:firstLine="480" w:firstLineChars="200"/>
        <w:rPr>
          <w:rFonts w:ascii="宋体" w:hAnsi="宋体"/>
          <w:sz w:val="24"/>
          <w:szCs w:val="24"/>
        </w:rPr>
      </w:pPr>
      <w:r>
        <w:rPr>
          <w:rFonts w:hint="eastAsia" w:ascii="宋体" w:hAnsi="宋体" w:cs="宋体"/>
          <w:sz w:val="24"/>
          <w:szCs w:val="24"/>
          <w:lang w:val="en-US" w:eastAsia="zh-CN"/>
        </w:rPr>
        <w:t>a.</w:t>
      </w:r>
      <w:r>
        <w:rPr>
          <w:rFonts w:hint="eastAsia" w:ascii="宋体" w:hAnsi="宋体" w:cs="宋体"/>
          <w:sz w:val="24"/>
          <w:szCs w:val="24"/>
        </w:rPr>
        <w:t>未中标人的保证金，在中标通知书发出后</w:t>
      </w:r>
      <w:r>
        <w:rPr>
          <w:rFonts w:hint="eastAsia" w:ascii="宋体" w:hAnsi="宋体" w:cs="宋体"/>
          <w:color w:val="000000"/>
          <w:sz w:val="24"/>
          <w:szCs w:val="24"/>
          <w:lang w:val="en-US" w:eastAsia="zh-CN"/>
        </w:rPr>
        <w:t>次月底前</w:t>
      </w:r>
      <w:r>
        <w:rPr>
          <w:rFonts w:hint="eastAsia" w:ascii="宋体" w:hAnsi="宋体" w:cs="宋体"/>
          <w:sz w:val="24"/>
          <w:szCs w:val="24"/>
        </w:rPr>
        <w:t>无息退还；</w:t>
      </w:r>
    </w:p>
    <w:p>
      <w:pPr>
        <w:pStyle w:val="30"/>
        <w:numPr>
          <w:ilvl w:val="0"/>
          <w:numId w:val="0"/>
        </w:numPr>
        <w:spacing w:after="0" w:line="360" w:lineRule="auto"/>
        <w:ind w:firstLine="480" w:firstLineChars="200"/>
        <w:rPr>
          <w:rFonts w:ascii="宋体" w:hAnsi="宋体"/>
          <w:sz w:val="24"/>
          <w:szCs w:val="24"/>
        </w:rPr>
      </w:pPr>
      <w:r>
        <w:rPr>
          <w:rFonts w:hint="eastAsia" w:ascii="宋体" w:hAnsi="宋体" w:cs="宋体"/>
          <w:sz w:val="24"/>
          <w:szCs w:val="24"/>
          <w:lang w:val="en-US" w:eastAsia="zh-CN"/>
        </w:rPr>
        <w:t>b.</w:t>
      </w:r>
      <w:r>
        <w:rPr>
          <w:rFonts w:hint="eastAsia" w:ascii="宋体" w:hAnsi="宋体" w:cs="宋体"/>
          <w:sz w:val="24"/>
          <w:szCs w:val="24"/>
        </w:rPr>
        <w:t>中标人的保证金</w:t>
      </w:r>
      <w:r>
        <w:rPr>
          <w:rFonts w:hint="eastAsia" w:ascii="宋体" w:hAnsi="宋体" w:cs="宋体"/>
          <w:color w:val="000000"/>
          <w:sz w:val="24"/>
          <w:szCs w:val="24"/>
        </w:rPr>
        <w:t>在采购合同签订后</w:t>
      </w:r>
      <w:r>
        <w:rPr>
          <w:rFonts w:hint="eastAsia" w:ascii="宋体" w:hAnsi="宋体" w:cs="宋体"/>
          <w:color w:val="000000"/>
          <w:sz w:val="24"/>
          <w:szCs w:val="24"/>
          <w:lang w:val="en-US" w:eastAsia="zh-CN"/>
        </w:rPr>
        <w:t>次月底前</w:t>
      </w:r>
      <w:r>
        <w:rPr>
          <w:rFonts w:hint="eastAsia" w:ascii="宋体" w:hAnsi="宋体" w:cs="宋体"/>
          <w:color w:val="000000"/>
          <w:sz w:val="24"/>
          <w:szCs w:val="24"/>
        </w:rPr>
        <w:t>退还投标保证金</w:t>
      </w:r>
      <w:r>
        <w:rPr>
          <w:rFonts w:hint="eastAsia" w:ascii="宋体" w:hAnsi="宋体" w:cs="宋体"/>
          <w:color w:val="000000"/>
          <w:sz w:val="24"/>
          <w:szCs w:val="24"/>
          <w:lang w:eastAsia="zh-CN"/>
        </w:rPr>
        <w:t>，</w:t>
      </w:r>
      <w:r>
        <w:rPr>
          <w:rFonts w:hint="eastAsia" w:ascii="宋体" w:hAnsi="宋体" w:cs="宋体"/>
          <w:color w:val="000000"/>
          <w:sz w:val="24"/>
          <w:szCs w:val="24"/>
        </w:rPr>
        <w:t>履约保证金在签订合同前必须缴纳，中标通知后</w:t>
      </w:r>
      <w:r>
        <w:rPr>
          <w:rFonts w:hint="eastAsia" w:ascii="宋体" w:hAnsi="宋体" w:cs="宋体"/>
          <w:color w:val="000000"/>
          <w:sz w:val="24"/>
          <w:szCs w:val="24"/>
          <w:lang w:val="en-US" w:eastAsia="zh-CN"/>
        </w:rPr>
        <w:t>20</w:t>
      </w:r>
      <w:r>
        <w:rPr>
          <w:rFonts w:hint="eastAsia" w:ascii="宋体" w:hAnsi="宋体" w:cs="宋体"/>
          <w:color w:val="000000"/>
          <w:sz w:val="24"/>
          <w:szCs w:val="24"/>
        </w:rPr>
        <w:t>个工作日内未与招标方签订合同的视为违约，保证金不予退回</w:t>
      </w:r>
      <w:r>
        <w:rPr>
          <w:rFonts w:hint="eastAsia" w:ascii="宋体" w:hAnsi="宋体" w:cs="宋体"/>
          <w:sz w:val="24"/>
          <w:szCs w:val="24"/>
        </w:rPr>
        <w:t>。</w:t>
      </w:r>
    </w:p>
    <w:p>
      <w:pPr>
        <w:pStyle w:val="5"/>
        <w:numPr>
          <w:ilvl w:val="2"/>
          <w:numId w:val="0"/>
        </w:numPr>
        <w:bidi w:val="0"/>
        <w:ind w:leftChars="0"/>
        <w:rPr>
          <w:rFonts w:hint="eastAsia" w:ascii="黑体" w:hAnsi="黑体" w:eastAsia="黑体" w:cs="黑体"/>
          <w:b/>
          <w:bCs w:val="0"/>
          <w:sz w:val="28"/>
          <w:szCs w:val="36"/>
          <w:lang w:val="en-US" w:eastAsia="zh-CN"/>
        </w:rPr>
      </w:pPr>
      <w:bookmarkStart w:id="185" w:name="_Toc504"/>
      <w:bookmarkStart w:id="186" w:name="_Toc7188"/>
      <w:bookmarkStart w:id="187" w:name="_Toc17263"/>
      <w:bookmarkStart w:id="188" w:name="_Toc31358"/>
      <w:bookmarkStart w:id="189" w:name="_Toc26188"/>
      <w:bookmarkStart w:id="190" w:name="_Toc8997"/>
      <w:bookmarkStart w:id="191" w:name="_Toc29121"/>
      <w:bookmarkStart w:id="192" w:name="_Toc31423"/>
      <w:r>
        <w:rPr>
          <w:rFonts w:hint="eastAsia" w:ascii="黑体" w:hAnsi="黑体" w:eastAsia="黑体" w:cs="黑体"/>
          <w:b/>
          <w:bCs w:val="0"/>
          <w:sz w:val="28"/>
          <w:szCs w:val="36"/>
          <w:lang w:val="en-US" w:eastAsia="zh-CN"/>
        </w:rPr>
        <w:t>2.7开标与评标</w:t>
      </w:r>
      <w:bookmarkEnd w:id="185"/>
      <w:bookmarkEnd w:id="186"/>
      <w:bookmarkEnd w:id="187"/>
      <w:bookmarkEnd w:id="188"/>
      <w:bookmarkEnd w:id="189"/>
      <w:bookmarkEnd w:id="190"/>
      <w:bookmarkEnd w:id="191"/>
      <w:bookmarkEnd w:id="192"/>
    </w:p>
    <w:p>
      <w:pPr>
        <w:pStyle w:val="180"/>
        <w:spacing w:beforeLines="0" w:afterLines="0"/>
      </w:pPr>
      <w:bookmarkStart w:id="193" w:name="_Toc129697466"/>
      <w:bookmarkStart w:id="194" w:name="_Toc212369527"/>
      <w:r>
        <w:rPr>
          <w:rFonts w:hint="eastAsia"/>
          <w:lang w:val="en-US" w:eastAsia="zh-CN"/>
        </w:rPr>
        <w:t>1.</w:t>
      </w:r>
      <w:r>
        <w:rPr>
          <w:rFonts w:hint="eastAsia"/>
        </w:rPr>
        <w:t>开标</w:t>
      </w:r>
      <w:bookmarkEnd w:id="193"/>
      <w:bookmarkEnd w:id="194"/>
    </w:p>
    <w:p>
      <w:pPr>
        <w:pStyle w:val="180"/>
        <w:spacing w:beforeLines="0" w:afterLines="0"/>
      </w:pPr>
      <w:bookmarkStart w:id="195" w:name="_Toc129697467"/>
      <w:r>
        <w:rPr>
          <w:rFonts w:hint="eastAsia"/>
        </w:rPr>
        <w:t>本次招标的开标、评标由招标人依法组织实施。</w:t>
      </w:r>
      <w:bookmarkEnd w:id="195"/>
    </w:p>
    <w:p>
      <w:pPr>
        <w:pStyle w:val="180"/>
        <w:spacing w:beforeLines="0" w:afterLines="0"/>
      </w:pPr>
      <w:bookmarkStart w:id="196" w:name="_Toc129697468"/>
      <w:bookmarkStart w:id="197" w:name="_Toc3413"/>
      <w:bookmarkStart w:id="198" w:name="_Toc24637"/>
      <w:r>
        <w:rPr>
          <w:rFonts w:hint="eastAsia"/>
          <w:lang w:val="en-US" w:eastAsia="zh-CN"/>
        </w:rPr>
        <w:t>2.</w:t>
      </w:r>
      <w:r>
        <w:rPr>
          <w:rFonts w:hint="eastAsia"/>
        </w:rPr>
        <w:t>本项目开标时间和地点见投标人须知前附表。开标会议由招标人组织并主持。招标人邀请各投标人派员参加开标会议。投标人未参加开标的，视同认可开标结果。</w:t>
      </w:r>
      <w:bookmarkEnd w:id="196"/>
      <w:bookmarkEnd w:id="197"/>
      <w:bookmarkEnd w:id="198"/>
    </w:p>
    <w:p>
      <w:pPr>
        <w:pStyle w:val="180"/>
        <w:spacing w:beforeLines="0" w:afterLines="0"/>
      </w:pPr>
      <w:bookmarkStart w:id="199" w:name="_Toc15121"/>
      <w:bookmarkStart w:id="200" w:name="_Toc129697469"/>
      <w:bookmarkStart w:id="201" w:name="_Toc4395"/>
      <w:r>
        <w:rPr>
          <w:rFonts w:hint="eastAsia"/>
          <w:lang w:val="en-US" w:eastAsia="zh-CN"/>
        </w:rPr>
        <w:t>3.</w:t>
      </w:r>
      <w:r>
        <w:rPr>
          <w:rFonts w:hint="eastAsia"/>
        </w:rPr>
        <w:t>开标程序</w:t>
      </w:r>
      <w:bookmarkEnd w:id="199"/>
      <w:bookmarkEnd w:id="200"/>
      <w:bookmarkEnd w:id="201"/>
    </w:p>
    <w:p>
      <w:pPr>
        <w:pStyle w:val="180"/>
        <w:spacing w:beforeLines="0" w:afterLines="0"/>
      </w:pPr>
      <w:bookmarkStart w:id="202" w:name="_Toc129697470"/>
      <w:bookmarkStart w:id="203" w:name="_Toc14869"/>
      <w:bookmarkStart w:id="204" w:name="_Toc92678127"/>
      <w:bookmarkStart w:id="205" w:name="_Toc14477"/>
      <w:r>
        <w:rPr>
          <w:rFonts w:hint="eastAsia"/>
        </w:rPr>
        <w:t>（1）宣布开标会议开始并宣读开标纪律。</w:t>
      </w:r>
    </w:p>
    <w:p>
      <w:pPr>
        <w:pStyle w:val="180"/>
        <w:spacing w:beforeLines="0" w:afterLines="0"/>
      </w:pPr>
      <w:r>
        <w:rPr>
          <w:rFonts w:hint="eastAsia"/>
        </w:rPr>
        <w:t>（2）介绍与会人员。</w:t>
      </w:r>
    </w:p>
    <w:p>
      <w:pPr>
        <w:pStyle w:val="180"/>
        <w:spacing w:beforeLines="0" w:afterLines="0"/>
        <w:rPr>
          <w:rFonts w:ascii="宋体" w:hAnsi="宋体"/>
          <w:color w:val="000000"/>
          <w:szCs w:val="24"/>
        </w:rPr>
      </w:pPr>
      <w:r>
        <w:rPr>
          <w:rFonts w:hint="eastAsia"/>
        </w:rPr>
        <w:t>（3）</w:t>
      </w:r>
      <w:r>
        <w:rPr>
          <w:rFonts w:hint="eastAsia" w:ascii="宋体" w:hAnsi="宋体"/>
          <w:color w:val="000000"/>
          <w:szCs w:val="24"/>
        </w:rPr>
        <w:t>核验投标人资格证件，内容详见投标人须知前附表。</w:t>
      </w:r>
    </w:p>
    <w:p>
      <w:pPr>
        <w:pStyle w:val="180"/>
        <w:spacing w:beforeLines="0" w:afterLines="0"/>
        <w:rPr>
          <w:rFonts w:ascii="宋体" w:hAnsi="宋体"/>
          <w:color w:val="000000"/>
          <w:szCs w:val="24"/>
        </w:rPr>
      </w:pPr>
      <w:r>
        <w:rPr>
          <w:rFonts w:hint="eastAsia" w:ascii="宋体" w:hAnsi="宋体"/>
          <w:color w:val="000000"/>
          <w:szCs w:val="24"/>
        </w:rPr>
        <w:t>（4）投标人或投标人推选的代表对投标文件密封情况进行检查（投标人未参加开标会议的，视同认可投标文件密封完好）。</w:t>
      </w:r>
    </w:p>
    <w:p>
      <w:pPr>
        <w:pStyle w:val="180"/>
        <w:spacing w:beforeLines="0" w:afterLines="0"/>
      </w:pPr>
      <w:r>
        <w:rPr>
          <w:rFonts w:hint="eastAsia" w:ascii="宋体" w:hAnsi="宋体"/>
          <w:color w:val="000000"/>
          <w:szCs w:val="24"/>
          <w:highlight w:val="none"/>
        </w:rPr>
        <w:t>（5）唱标结束后，由工作人员当众拆封技术标书，由评标专家组对所有投标方的技术标部分综合评定和打分，</w:t>
      </w:r>
      <w:r>
        <w:rPr>
          <w:rFonts w:hint="eastAsia" w:ascii="宋体" w:hAnsi="宋体"/>
          <w:color w:val="000000"/>
          <w:szCs w:val="24"/>
        </w:rPr>
        <w:t>确定进入</w:t>
      </w:r>
      <w:r>
        <w:rPr>
          <w:rFonts w:hint="eastAsia"/>
        </w:rPr>
        <w:t>商务标评比资格的投标方。</w:t>
      </w:r>
    </w:p>
    <w:p>
      <w:pPr>
        <w:pStyle w:val="180"/>
        <w:spacing w:beforeLines="0" w:afterLines="0"/>
      </w:pPr>
      <w:r>
        <w:rPr>
          <w:rFonts w:hint="eastAsia"/>
        </w:rPr>
        <w:t>（6）进行商务标的评标，招标人有权根据项目情况，采取多轮评标模式，确定中标人。</w:t>
      </w:r>
    </w:p>
    <w:p>
      <w:pPr>
        <w:pStyle w:val="180"/>
        <w:spacing w:beforeLines="0" w:afterLines="0"/>
      </w:pPr>
      <w:r>
        <w:rPr>
          <w:rFonts w:hint="eastAsia"/>
          <w:lang w:val="en-US" w:eastAsia="zh-CN"/>
        </w:rPr>
        <w:t>4.</w:t>
      </w:r>
      <w:r>
        <w:rPr>
          <w:rFonts w:hint="eastAsia"/>
        </w:rPr>
        <w:t>评标委员会</w:t>
      </w:r>
      <w:bookmarkEnd w:id="202"/>
      <w:bookmarkEnd w:id="203"/>
      <w:bookmarkEnd w:id="204"/>
      <w:bookmarkEnd w:id="205"/>
    </w:p>
    <w:p>
      <w:pPr>
        <w:pStyle w:val="180"/>
        <w:spacing w:beforeLines="0" w:afterLines="0"/>
      </w:pPr>
      <w:r>
        <w:rPr>
          <w:rFonts w:hint="eastAsia"/>
        </w:rPr>
        <w:t>评标委员会的组成见投标人须知前附表，评标委员会负责对投标文件进行审查、质疑、评标，提出书面评标报告，并向招标人推荐中标候选人排序名单。</w:t>
      </w:r>
    </w:p>
    <w:p>
      <w:pPr>
        <w:pStyle w:val="180"/>
        <w:spacing w:beforeLines="0" w:afterLines="0"/>
      </w:pPr>
      <w:bookmarkStart w:id="206" w:name="_Toc129697471"/>
      <w:bookmarkStart w:id="207" w:name="_Toc12777"/>
      <w:bookmarkStart w:id="208" w:name="_Toc212369528"/>
      <w:bookmarkStart w:id="209" w:name="_Toc32715"/>
      <w:bookmarkStart w:id="210" w:name="_Toc92678128"/>
      <w:r>
        <w:rPr>
          <w:rFonts w:hint="eastAsia"/>
          <w:lang w:val="en-US" w:eastAsia="zh-CN"/>
        </w:rPr>
        <w:t>5.</w:t>
      </w:r>
      <w:r>
        <w:rPr>
          <w:rFonts w:hint="eastAsia"/>
        </w:rPr>
        <w:t>评标原则</w:t>
      </w:r>
      <w:bookmarkEnd w:id="206"/>
      <w:bookmarkEnd w:id="207"/>
      <w:bookmarkEnd w:id="208"/>
      <w:bookmarkEnd w:id="209"/>
      <w:bookmarkEnd w:id="210"/>
    </w:p>
    <w:p>
      <w:pPr>
        <w:spacing w:line="360" w:lineRule="auto"/>
        <w:ind w:firstLine="480" w:firstLineChars="200"/>
        <w:rPr>
          <w:rFonts w:ascii="宋体" w:hAnsi="宋体"/>
          <w:sz w:val="24"/>
        </w:rPr>
      </w:pPr>
      <w:bookmarkStart w:id="211" w:name="_Toc212369529"/>
      <w:r>
        <w:rPr>
          <w:rFonts w:hint="eastAsia" w:ascii="宋体" w:hAnsi="宋体"/>
          <w:sz w:val="24"/>
        </w:rPr>
        <w:t>“公平、公正、科学、择优”为本次评标的基本原则，评标委员会按照这一原则的要求，公正、平等地对待各投标人。同时，在评标过程中恪守以下原则：</w:t>
      </w:r>
      <w:bookmarkEnd w:id="211"/>
    </w:p>
    <w:p>
      <w:pPr>
        <w:pStyle w:val="337"/>
        <w:numPr>
          <w:ilvl w:val="0"/>
          <w:numId w:val="0"/>
        </w:numPr>
        <w:ind w:firstLine="480" w:firstLineChars="200"/>
      </w:pPr>
      <w:r>
        <w:rPr>
          <w:rFonts w:hint="eastAsia"/>
          <w:lang w:eastAsia="zh-CN"/>
        </w:rPr>
        <w:t>（</w:t>
      </w:r>
      <w:r>
        <w:rPr>
          <w:rFonts w:hint="eastAsia"/>
          <w:lang w:val="en-US" w:eastAsia="zh-CN"/>
        </w:rPr>
        <w:t>1）</w:t>
      </w:r>
      <w:r>
        <w:rPr>
          <w:rFonts w:hint="eastAsia"/>
        </w:rPr>
        <w:t>客观性原则：评标委员会将严格按照招标文件要求的内容，对投标人的投标文件进行认真评审；评标委员会对投标文件的评审仅依据投标文件本身，而不依靠投标文件以外的任何因素；</w:t>
      </w:r>
    </w:p>
    <w:p>
      <w:pPr>
        <w:pStyle w:val="337"/>
        <w:numPr>
          <w:ilvl w:val="0"/>
          <w:numId w:val="0"/>
        </w:numPr>
        <w:ind w:firstLine="480" w:firstLineChars="200"/>
      </w:pPr>
      <w:r>
        <w:rPr>
          <w:rFonts w:hint="eastAsia"/>
          <w:lang w:eastAsia="zh-CN"/>
        </w:rPr>
        <w:t>（</w:t>
      </w:r>
      <w:r>
        <w:rPr>
          <w:rFonts w:hint="eastAsia"/>
          <w:lang w:val="en-US" w:eastAsia="zh-CN"/>
        </w:rPr>
        <w:t>2）</w:t>
      </w:r>
      <w:r>
        <w:rPr>
          <w:rFonts w:hint="eastAsia"/>
        </w:rPr>
        <w:t>统一性原则：评标委员会将按照统一的评标原则和评标办法，用同一标准进行评审。</w:t>
      </w:r>
    </w:p>
    <w:p>
      <w:pPr>
        <w:pStyle w:val="337"/>
        <w:numPr>
          <w:ilvl w:val="0"/>
          <w:numId w:val="0"/>
        </w:numPr>
        <w:ind w:firstLine="480" w:firstLineChars="200"/>
      </w:pPr>
      <w:r>
        <w:rPr>
          <w:rFonts w:hint="eastAsia"/>
          <w:lang w:eastAsia="zh-CN"/>
        </w:rPr>
        <w:t>（</w:t>
      </w:r>
      <w:r>
        <w:rPr>
          <w:rFonts w:hint="eastAsia"/>
          <w:lang w:val="en-US" w:eastAsia="zh-CN"/>
        </w:rPr>
        <w:t>3）</w:t>
      </w:r>
      <w:r>
        <w:rPr>
          <w:rFonts w:hint="eastAsia"/>
        </w:rPr>
        <w:t>独立性原则：评标工作在评标委员会内部独立进行，不受外界任何因素的干扰和影响。评标委员会成员对出具的评审意见承担个人责任。</w:t>
      </w:r>
    </w:p>
    <w:p>
      <w:pPr>
        <w:pStyle w:val="337"/>
        <w:numPr>
          <w:ilvl w:val="0"/>
          <w:numId w:val="0"/>
        </w:numPr>
        <w:ind w:firstLine="480" w:firstLineChars="200"/>
      </w:pPr>
      <w:r>
        <w:rPr>
          <w:rFonts w:hint="eastAsia"/>
          <w:lang w:eastAsia="zh-CN"/>
        </w:rPr>
        <w:t>（</w:t>
      </w:r>
      <w:r>
        <w:rPr>
          <w:rFonts w:hint="eastAsia"/>
          <w:lang w:val="en-US" w:eastAsia="zh-CN"/>
        </w:rPr>
        <w:t>4）</w:t>
      </w:r>
      <w:r>
        <w:rPr>
          <w:rFonts w:hint="eastAsia"/>
        </w:rPr>
        <w:t>保密性原则：招标人应当采取必要的措施，保证评标在严格保密的情况下进行。</w:t>
      </w:r>
    </w:p>
    <w:p>
      <w:pPr>
        <w:pStyle w:val="180"/>
        <w:spacing w:beforeLines="0" w:afterLines="0"/>
        <w:rPr>
          <w:rFonts w:hint="eastAsia"/>
          <w:lang w:eastAsia="zh-CN"/>
        </w:rPr>
      </w:pPr>
      <w:bookmarkStart w:id="212" w:name="_Toc7868"/>
      <w:bookmarkStart w:id="213" w:name="_Toc129697472"/>
      <w:bookmarkStart w:id="214" w:name="_Toc26360"/>
      <w:r>
        <w:rPr>
          <w:rFonts w:hint="eastAsia"/>
          <w:lang w:val="en-US" w:eastAsia="zh-CN"/>
        </w:rPr>
        <w:t>6.</w:t>
      </w:r>
      <w:r>
        <w:rPr>
          <w:rFonts w:hint="eastAsia"/>
        </w:rPr>
        <w:t>出现下列情形之一，招标人有权否决所有投标人的投标，并终止招标</w:t>
      </w:r>
      <w:bookmarkEnd w:id="212"/>
      <w:bookmarkEnd w:id="213"/>
      <w:bookmarkEnd w:id="214"/>
      <w:r>
        <w:rPr>
          <w:rFonts w:hint="eastAsia"/>
          <w:lang w:eastAsia="zh-CN"/>
        </w:rPr>
        <w:t>：</w:t>
      </w:r>
    </w:p>
    <w:p>
      <w:pPr>
        <w:pStyle w:val="180"/>
        <w:spacing w:beforeLines="0" w:afterLines="0"/>
      </w:pPr>
      <w:r>
        <w:rPr>
          <w:rFonts w:hint="eastAsia"/>
        </w:rPr>
        <w:t>（1）符合条件的投标人或者对招标文件做实质响应的投标人不足三家的。</w:t>
      </w:r>
    </w:p>
    <w:p>
      <w:pPr>
        <w:pStyle w:val="180"/>
        <w:spacing w:beforeLines="0" w:afterLines="0"/>
      </w:pPr>
      <w:r>
        <w:rPr>
          <w:rFonts w:hint="eastAsia"/>
        </w:rPr>
        <w:t>（2）出现影响采购公正的违法、违规行为的；</w:t>
      </w:r>
    </w:p>
    <w:p>
      <w:pPr>
        <w:pStyle w:val="180"/>
        <w:spacing w:beforeLines="0" w:afterLines="0"/>
      </w:pPr>
      <w:r>
        <w:rPr>
          <w:rFonts w:hint="eastAsia"/>
        </w:rPr>
        <w:t>（3）因重大变故，采购任务取消的；</w:t>
      </w:r>
    </w:p>
    <w:p>
      <w:pPr>
        <w:pStyle w:val="180"/>
        <w:spacing w:beforeLines="0" w:afterLines="0"/>
      </w:pPr>
      <w:r>
        <w:rPr>
          <w:rFonts w:hint="eastAsia"/>
        </w:rPr>
        <w:t>（4）评标委员会经评审，认为所有投标都不符合招标文件要求的。</w:t>
      </w:r>
    </w:p>
    <w:p>
      <w:pPr>
        <w:pStyle w:val="180"/>
        <w:spacing w:beforeLines="0" w:afterLines="0"/>
      </w:pPr>
      <w:r>
        <w:rPr>
          <w:rFonts w:hint="eastAsia"/>
        </w:rPr>
        <w:t>（5）招标人认为其他应终止招标的情形。</w:t>
      </w:r>
    </w:p>
    <w:p>
      <w:pPr>
        <w:pStyle w:val="180"/>
        <w:spacing w:beforeLines="0" w:afterLines="0"/>
      </w:pPr>
      <w:bookmarkStart w:id="215" w:name="_Toc27893"/>
      <w:bookmarkStart w:id="216" w:name="_Toc129697473"/>
      <w:bookmarkStart w:id="217" w:name="_Toc5950"/>
      <w:r>
        <w:rPr>
          <w:rFonts w:hint="eastAsia"/>
          <w:lang w:val="en-US" w:eastAsia="zh-CN"/>
        </w:rPr>
        <w:t>7.</w:t>
      </w:r>
      <w:r>
        <w:rPr>
          <w:rFonts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bookmarkEnd w:id="215"/>
      <w:bookmarkEnd w:id="216"/>
      <w:bookmarkEnd w:id="217"/>
    </w:p>
    <w:p>
      <w:pPr>
        <w:spacing w:line="360" w:lineRule="auto"/>
        <w:ind w:firstLine="480" w:firstLineChars="200"/>
        <w:rPr>
          <w:kern w:val="0"/>
          <w:sz w:val="24"/>
          <w:szCs w:val="20"/>
        </w:rPr>
      </w:pPr>
      <w:r>
        <w:rPr>
          <w:rFonts w:hint="eastAsia"/>
          <w:kern w:val="0"/>
          <w:sz w:val="24"/>
          <w:szCs w:val="20"/>
        </w:rPr>
        <w:t>（1）投标人提供的有关资格、资质证明文件不合格、不真实或提供虚假投标材料；</w:t>
      </w:r>
    </w:p>
    <w:p>
      <w:pPr>
        <w:spacing w:line="360" w:lineRule="auto"/>
        <w:ind w:firstLine="480" w:firstLineChars="200"/>
        <w:rPr>
          <w:kern w:val="0"/>
          <w:sz w:val="24"/>
          <w:szCs w:val="20"/>
        </w:rPr>
      </w:pPr>
      <w:r>
        <w:rPr>
          <w:rFonts w:hint="eastAsia"/>
          <w:kern w:val="0"/>
          <w:sz w:val="24"/>
          <w:szCs w:val="20"/>
        </w:rPr>
        <w:t>（2）投标人在报价有效期内撤回投标；</w:t>
      </w:r>
    </w:p>
    <w:p>
      <w:pPr>
        <w:spacing w:line="360" w:lineRule="auto"/>
        <w:ind w:firstLine="480" w:firstLineChars="200"/>
        <w:rPr>
          <w:kern w:val="0"/>
          <w:sz w:val="24"/>
          <w:szCs w:val="20"/>
        </w:rPr>
      </w:pPr>
      <w:r>
        <w:rPr>
          <w:rFonts w:hint="eastAsia"/>
          <w:kern w:val="0"/>
          <w:sz w:val="24"/>
          <w:szCs w:val="20"/>
        </w:rPr>
        <w:t>（3）在整个评标过程中，投标人有企图影响评标结果公正性的任何活动；</w:t>
      </w:r>
    </w:p>
    <w:p>
      <w:pPr>
        <w:spacing w:line="360" w:lineRule="auto"/>
        <w:ind w:firstLine="480" w:firstLineChars="200"/>
        <w:rPr>
          <w:kern w:val="0"/>
          <w:sz w:val="24"/>
          <w:szCs w:val="20"/>
        </w:rPr>
      </w:pPr>
      <w:r>
        <w:rPr>
          <w:rFonts w:hint="eastAsia"/>
          <w:kern w:val="0"/>
          <w:sz w:val="24"/>
          <w:szCs w:val="20"/>
        </w:rPr>
        <w:t>（4）投标人以任何方式诋毁其他投标人；</w:t>
      </w:r>
    </w:p>
    <w:p>
      <w:pPr>
        <w:spacing w:line="360" w:lineRule="auto"/>
        <w:ind w:firstLine="480" w:firstLineChars="200"/>
        <w:rPr>
          <w:kern w:val="0"/>
          <w:sz w:val="24"/>
          <w:szCs w:val="20"/>
        </w:rPr>
      </w:pPr>
      <w:r>
        <w:rPr>
          <w:rFonts w:hint="eastAsia"/>
          <w:kern w:val="0"/>
          <w:sz w:val="24"/>
          <w:szCs w:val="20"/>
        </w:rPr>
        <w:t>（5）投标人串通投标；</w:t>
      </w:r>
    </w:p>
    <w:p>
      <w:pPr>
        <w:spacing w:line="360" w:lineRule="auto"/>
        <w:ind w:firstLine="480" w:firstLineChars="200"/>
        <w:rPr>
          <w:kern w:val="0"/>
          <w:sz w:val="24"/>
          <w:szCs w:val="20"/>
        </w:rPr>
      </w:pPr>
      <w:r>
        <w:rPr>
          <w:rFonts w:hint="eastAsia"/>
          <w:kern w:val="0"/>
          <w:sz w:val="24"/>
          <w:szCs w:val="20"/>
        </w:rPr>
        <w:t>（6）以他人名义投标或者以其他方式弄虚作假，骗取中标的；</w:t>
      </w:r>
    </w:p>
    <w:p>
      <w:pPr>
        <w:spacing w:line="360" w:lineRule="auto"/>
        <w:ind w:firstLine="480" w:firstLineChars="200"/>
        <w:rPr>
          <w:kern w:val="0"/>
          <w:sz w:val="24"/>
          <w:szCs w:val="20"/>
        </w:rPr>
      </w:pPr>
      <w:r>
        <w:rPr>
          <w:rFonts w:hint="eastAsia"/>
          <w:kern w:val="0"/>
          <w:sz w:val="24"/>
          <w:szCs w:val="20"/>
        </w:rPr>
        <w:t>（7）中标人不按规定签订合同；</w:t>
      </w:r>
    </w:p>
    <w:p>
      <w:pPr>
        <w:spacing w:line="360" w:lineRule="auto"/>
        <w:ind w:firstLine="480" w:firstLineChars="200"/>
        <w:rPr>
          <w:kern w:val="0"/>
          <w:sz w:val="24"/>
          <w:szCs w:val="20"/>
        </w:rPr>
      </w:pPr>
      <w:r>
        <w:rPr>
          <w:rFonts w:hint="eastAsia"/>
          <w:kern w:val="0"/>
          <w:sz w:val="24"/>
          <w:szCs w:val="20"/>
        </w:rPr>
        <w:t>（8）不同投标单位负责人为同一人或存在管理关系的；</w:t>
      </w:r>
    </w:p>
    <w:p>
      <w:pPr>
        <w:spacing w:line="360" w:lineRule="auto"/>
        <w:ind w:firstLine="480" w:firstLineChars="200"/>
        <w:rPr>
          <w:kern w:val="0"/>
          <w:sz w:val="24"/>
          <w:szCs w:val="20"/>
        </w:rPr>
      </w:pPr>
      <w:r>
        <w:rPr>
          <w:rFonts w:hint="eastAsia"/>
          <w:kern w:val="0"/>
          <w:sz w:val="24"/>
          <w:szCs w:val="20"/>
        </w:rPr>
        <w:t>（9）投标人被举报、检举，并经招标方查实无误的；</w:t>
      </w:r>
    </w:p>
    <w:p>
      <w:pPr>
        <w:pStyle w:val="2"/>
        <w:spacing w:line="360" w:lineRule="auto"/>
        <w:ind w:firstLine="480"/>
      </w:pPr>
      <w:r>
        <w:rPr>
          <w:rFonts w:hint="eastAsia"/>
          <w:sz w:val="24"/>
          <w:szCs w:val="20"/>
        </w:rPr>
        <w:t>（10）技术标出现报价的；</w:t>
      </w:r>
    </w:p>
    <w:p>
      <w:pPr>
        <w:pStyle w:val="2"/>
        <w:spacing w:line="360" w:lineRule="auto"/>
        <w:ind w:firstLine="480"/>
        <w:rPr>
          <w:color w:val="FF0000"/>
        </w:rPr>
      </w:pPr>
      <w:r>
        <w:rPr>
          <w:rFonts w:hint="eastAsia"/>
          <w:sz w:val="24"/>
          <w:szCs w:val="20"/>
        </w:rPr>
        <w:t>（11）不同投标人投标文件异常一致或报价程差异性变化；</w:t>
      </w:r>
    </w:p>
    <w:p>
      <w:pPr>
        <w:spacing w:line="360" w:lineRule="auto"/>
        <w:ind w:firstLine="480" w:firstLineChars="200"/>
        <w:rPr>
          <w:kern w:val="0"/>
          <w:sz w:val="24"/>
          <w:szCs w:val="20"/>
        </w:rPr>
      </w:pPr>
      <w:r>
        <w:rPr>
          <w:rFonts w:hint="eastAsia"/>
          <w:kern w:val="0"/>
          <w:sz w:val="24"/>
          <w:szCs w:val="20"/>
        </w:rPr>
        <w:t>（12）法律、法规规定的其他情况。</w:t>
      </w:r>
    </w:p>
    <w:p>
      <w:pPr>
        <w:pStyle w:val="4"/>
        <w:numPr>
          <w:ilvl w:val="1"/>
          <w:numId w:val="0"/>
        </w:numPr>
        <w:bidi w:val="0"/>
        <w:spacing w:line="360" w:lineRule="auto"/>
        <w:ind w:leftChars="0"/>
        <w:rPr>
          <w:rFonts w:hint="eastAsia" w:ascii="黑体" w:hAnsi="黑体" w:eastAsia="黑体" w:cs="黑体"/>
          <w:sz w:val="28"/>
          <w:szCs w:val="28"/>
        </w:rPr>
      </w:pPr>
      <w:bookmarkStart w:id="218" w:name="_Toc21427"/>
      <w:bookmarkStart w:id="219" w:name="_Toc30700"/>
      <w:bookmarkStart w:id="220" w:name="_Toc28343"/>
      <w:bookmarkStart w:id="221" w:name="_Toc20716"/>
      <w:bookmarkStart w:id="222" w:name="_Toc10685"/>
      <w:bookmarkStart w:id="223" w:name="_Toc15136"/>
      <w:bookmarkStart w:id="224" w:name="_Toc19712"/>
      <w:bookmarkStart w:id="225" w:name="_Toc30906"/>
      <w:bookmarkStart w:id="226" w:name="_Toc7628"/>
      <w:r>
        <w:rPr>
          <w:rFonts w:hint="eastAsia" w:ascii="黑体" w:hAnsi="黑体" w:eastAsia="黑体" w:cs="黑体"/>
          <w:sz w:val="28"/>
          <w:szCs w:val="28"/>
          <w:lang w:val="en-US" w:eastAsia="zh-CN"/>
        </w:rPr>
        <w:t>2.8</w:t>
      </w:r>
      <w:r>
        <w:rPr>
          <w:rFonts w:hint="eastAsia" w:ascii="黑体" w:hAnsi="黑体" w:eastAsia="黑体" w:cs="黑体"/>
          <w:sz w:val="28"/>
          <w:szCs w:val="28"/>
        </w:rPr>
        <w:t>中标人瑕疵滞后发现的处理原则</w:t>
      </w:r>
      <w:bookmarkEnd w:id="218"/>
      <w:bookmarkEnd w:id="219"/>
      <w:bookmarkEnd w:id="220"/>
      <w:bookmarkEnd w:id="221"/>
      <w:bookmarkEnd w:id="222"/>
      <w:bookmarkEnd w:id="223"/>
      <w:bookmarkEnd w:id="224"/>
      <w:bookmarkEnd w:id="225"/>
      <w:bookmarkEnd w:id="226"/>
    </w:p>
    <w:p>
      <w:pPr>
        <w:pStyle w:val="2"/>
        <w:spacing w:line="360" w:lineRule="auto"/>
        <w:rPr>
          <w:rFonts w:hint="eastAsia" w:ascii="宋体" w:hAnsi="宋体" w:cs="宋体"/>
          <w:color w:val="000000"/>
          <w:sz w:val="24"/>
          <w:szCs w:val="24"/>
        </w:rPr>
      </w:pPr>
      <w:r>
        <w:rPr>
          <w:rFonts w:hint="eastAsia" w:ascii="宋体" w:hAnsi="宋体" w:cs="宋体"/>
          <w:color w:val="000000"/>
          <w:sz w:val="24"/>
          <w:szCs w:val="24"/>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pPr>
        <w:pStyle w:val="40"/>
        <w:spacing w:line="360" w:lineRule="auto"/>
        <w:rPr>
          <w:rFonts w:ascii="黑体" w:eastAsia="黑体"/>
          <w:b/>
          <w:bCs/>
          <w:sz w:val="28"/>
        </w:rPr>
      </w:pPr>
      <w:r>
        <w:rPr>
          <w:rFonts w:hint="eastAsia" w:ascii="黑体" w:eastAsia="黑体"/>
          <w:b/>
          <w:bCs/>
          <w:sz w:val="28"/>
          <w:lang w:val="en-US" w:eastAsia="zh-CN"/>
        </w:rPr>
        <w:t>2.9</w:t>
      </w:r>
      <w:r>
        <w:rPr>
          <w:rFonts w:hint="eastAsia" w:ascii="黑体" w:eastAsia="黑体"/>
          <w:b/>
          <w:bCs/>
          <w:sz w:val="28"/>
        </w:rPr>
        <w:t>本次招标最终解释权归中国重型汽车集团有限公司。</w:t>
      </w:r>
    </w:p>
    <w:p/>
    <w:p>
      <w:pPr>
        <w:pStyle w:val="72"/>
        <w:ind w:left="420"/>
        <w:rPr>
          <w:rFonts w:hint="eastAsia" w:ascii="黑体" w:hAnsi="黑体" w:eastAsia="黑体" w:cs="黑体"/>
          <w:sz w:val="40"/>
          <w:szCs w:val="40"/>
        </w:rPr>
      </w:pPr>
      <w:bookmarkStart w:id="227" w:name="_Toc1982"/>
      <w:bookmarkStart w:id="228" w:name="_Toc6990"/>
      <w:bookmarkStart w:id="229" w:name="_Toc27186"/>
      <w:bookmarkStart w:id="230" w:name="_Toc719"/>
      <w:bookmarkStart w:id="231" w:name="_Toc11599"/>
      <w:bookmarkStart w:id="232" w:name="_Toc4307"/>
      <w:bookmarkStart w:id="233" w:name="_Toc17296"/>
      <w:bookmarkStart w:id="234" w:name="_Toc9606"/>
      <w:bookmarkStart w:id="235" w:name="_Toc23791"/>
      <w:bookmarkStart w:id="236" w:name="_Toc14379"/>
      <w:bookmarkStart w:id="237" w:name="_Toc500420375"/>
      <w:bookmarkStart w:id="238" w:name="_Toc500420293"/>
      <w:r>
        <w:rPr>
          <w:rFonts w:hint="eastAsia" w:ascii="黑体" w:hAnsi="黑体" w:eastAsia="黑体" w:cs="黑体"/>
          <w:sz w:val="40"/>
          <w:szCs w:val="40"/>
        </w:rPr>
        <w:t>招标项目内容及运输费用标准</w:t>
      </w:r>
      <w:bookmarkEnd w:id="227"/>
      <w:bookmarkEnd w:id="228"/>
      <w:bookmarkEnd w:id="229"/>
      <w:bookmarkEnd w:id="230"/>
      <w:bookmarkEnd w:id="231"/>
      <w:bookmarkEnd w:id="232"/>
      <w:bookmarkEnd w:id="233"/>
      <w:bookmarkEnd w:id="234"/>
      <w:bookmarkEnd w:id="235"/>
      <w:bookmarkEnd w:id="236"/>
    </w:p>
    <w:p>
      <w:pPr>
        <w:pStyle w:val="4"/>
        <w:numPr>
          <w:ilvl w:val="0"/>
          <w:numId w:val="0"/>
        </w:numPr>
        <w:spacing w:before="0" w:beforeLines="0"/>
        <w:ind w:left="576" w:hanging="576"/>
        <w:rPr>
          <w:rFonts w:hint="eastAsia" w:ascii="黑体" w:hAnsi="黑体" w:eastAsia="黑体" w:cs="黑体"/>
          <w:sz w:val="28"/>
          <w:szCs w:val="28"/>
        </w:rPr>
      </w:pPr>
      <w:bookmarkStart w:id="239" w:name="_Toc3139"/>
      <w:bookmarkStart w:id="240" w:name="_Toc29584"/>
      <w:bookmarkStart w:id="241" w:name="_Toc21490"/>
      <w:bookmarkStart w:id="242" w:name="_Toc11209"/>
      <w:bookmarkStart w:id="243" w:name="_Toc12948"/>
      <w:bookmarkStart w:id="244" w:name="_Toc32438"/>
      <w:bookmarkStart w:id="245" w:name="_Toc2060"/>
      <w:bookmarkStart w:id="246" w:name="_Toc16289"/>
      <w:bookmarkStart w:id="247" w:name="_Toc20368"/>
      <w:bookmarkStart w:id="248" w:name="_Toc25824"/>
      <w:r>
        <w:rPr>
          <w:rFonts w:hint="eastAsia" w:ascii="黑体" w:hAnsi="黑体" w:eastAsia="黑体" w:cs="黑体"/>
          <w:sz w:val="28"/>
          <w:szCs w:val="28"/>
        </w:rPr>
        <w:t>3.1项目内容</w:t>
      </w:r>
      <w:bookmarkEnd w:id="239"/>
      <w:bookmarkEnd w:id="240"/>
      <w:bookmarkEnd w:id="241"/>
      <w:bookmarkEnd w:id="242"/>
      <w:bookmarkEnd w:id="243"/>
      <w:bookmarkEnd w:id="244"/>
      <w:bookmarkEnd w:id="245"/>
      <w:bookmarkEnd w:id="246"/>
      <w:bookmarkEnd w:id="247"/>
      <w:bookmarkEnd w:id="248"/>
    </w:p>
    <w:p>
      <w:pPr>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中国重汽集团2025年各单位商用车板车运输业务</w:t>
      </w:r>
    </w:p>
    <w:p>
      <w:pPr>
        <w:spacing w:line="360" w:lineRule="auto"/>
        <w:ind w:firstLine="482" w:firstLineChars="200"/>
        <w:rPr>
          <w:rFonts w:hint="eastAsia" w:ascii="黑体" w:hAnsi="黑体" w:eastAsia="黑体" w:cs="黑体"/>
          <w:b/>
          <w:bCs/>
          <w:sz w:val="24"/>
          <w:szCs w:val="24"/>
          <w:lang w:val="en-US" w:eastAsia="zh-CN"/>
        </w:rPr>
      </w:pPr>
      <w:r>
        <w:rPr>
          <w:rFonts w:hint="eastAsia" w:ascii="宋体" w:hAnsi="宋体" w:cs="宋体"/>
          <w:b/>
          <w:bCs/>
          <w:color w:val="000000"/>
          <w:sz w:val="24"/>
          <w:szCs w:val="24"/>
          <w:highlight w:val="none"/>
          <w:lang w:val="en-US" w:eastAsia="zh-CN"/>
        </w:rPr>
        <w:t>1.业务运输类型</w:t>
      </w:r>
    </w:p>
    <w:tbl>
      <w:tblPr>
        <w:tblStyle w:val="76"/>
        <w:tblpPr w:leftFromText="180" w:rightFromText="180" w:vertAnchor="text" w:horzAnchor="page" w:tblpXSpec="center" w:tblpY="6"/>
        <w:tblOverlap w:val="never"/>
        <w:tblW w:w="9424"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4"/>
        <w:gridCol w:w="3482"/>
        <w:gridCol w:w="5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tblCellSpacing w:w="0" w:type="dxa"/>
          <w:jc w:val="center"/>
        </w:trPr>
        <w:tc>
          <w:tcPr>
            <w:tcW w:w="624" w:type="dxa"/>
            <w:tcBorders>
              <w:top w:val="single" w:color="0C0C0C" w:sz="4" w:space="0"/>
              <w:left w:val="single" w:color="0C0C0C" w:sz="4" w:space="0"/>
              <w:bottom w:val="single" w:color="0C0C0C" w:sz="4" w:space="0"/>
              <w:right w:val="single" w:color="0C0C0C" w:sz="4" w:space="0"/>
            </w:tcBorders>
            <w:shd w:val="clear" w:color="auto" w:fill="C00000"/>
            <w:tcMar>
              <w:top w:w="15" w:type="dxa"/>
              <w:left w:w="15" w:type="dxa"/>
              <w:right w:w="15" w:type="dxa"/>
            </w:tcMar>
            <w:vAlign w:val="center"/>
          </w:tcPr>
          <w:p>
            <w:pPr>
              <w:pStyle w:val="69"/>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b/>
                <w:bCs/>
                <w:color w:val="FFFFFF"/>
                <w:sz w:val="24"/>
                <w:szCs w:val="24"/>
              </w:rPr>
              <w:t>序号</w:t>
            </w:r>
          </w:p>
        </w:tc>
        <w:tc>
          <w:tcPr>
            <w:tcW w:w="3482" w:type="dxa"/>
            <w:tcBorders>
              <w:top w:val="single" w:color="0C0C0C" w:sz="4" w:space="0"/>
              <w:left w:val="single" w:color="0C0C0C" w:sz="4" w:space="0"/>
              <w:bottom w:val="single" w:color="0C0C0C" w:sz="4" w:space="0"/>
              <w:right w:val="single" w:color="0C0C0C" w:sz="4" w:space="0"/>
            </w:tcBorders>
            <w:shd w:val="clear" w:color="auto" w:fill="C00000"/>
            <w:tcMar>
              <w:top w:w="15" w:type="dxa"/>
              <w:left w:w="15" w:type="dxa"/>
              <w:right w:w="15" w:type="dxa"/>
            </w:tcMar>
            <w:vAlign w:val="center"/>
          </w:tcPr>
          <w:p>
            <w:pPr>
              <w:pStyle w:val="69"/>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b/>
                <w:bCs/>
                <w:color w:val="FFFFFF"/>
                <w:sz w:val="24"/>
                <w:szCs w:val="24"/>
              </w:rPr>
              <w:t>类别</w:t>
            </w:r>
          </w:p>
        </w:tc>
        <w:tc>
          <w:tcPr>
            <w:tcW w:w="5318" w:type="dxa"/>
            <w:tcBorders>
              <w:top w:val="single" w:color="0C0C0C" w:sz="4" w:space="0"/>
              <w:left w:val="single" w:color="0C0C0C" w:sz="4" w:space="0"/>
              <w:bottom w:val="single" w:color="0C0C0C" w:sz="4" w:space="0"/>
              <w:right w:val="single" w:color="0C0C0C" w:sz="4" w:space="0"/>
            </w:tcBorders>
            <w:shd w:val="clear" w:color="auto" w:fill="C00000"/>
            <w:tcMar>
              <w:top w:w="15" w:type="dxa"/>
              <w:left w:w="15" w:type="dxa"/>
              <w:right w:w="15" w:type="dxa"/>
            </w:tcMar>
            <w:vAlign w:val="center"/>
          </w:tcPr>
          <w:p>
            <w:pPr>
              <w:pStyle w:val="69"/>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b/>
                <w:bCs/>
                <w:color w:val="FFFFFF"/>
                <w:sz w:val="24"/>
                <w:szCs w:val="24"/>
              </w:rPr>
              <w:t>运输车型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2" w:hRule="atLeast"/>
          <w:tblCellSpacing w:w="0" w:type="dxa"/>
          <w:jc w:val="center"/>
        </w:trPr>
        <w:tc>
          <w:tcPr>
            <w:tcW w:w="624" w:type="dxa"/>
            <w:tcBorders>
              <w:top w:val="single" w:color="0C0C0C" w:sz="4" w:space="0"/>
              <w:left w:val="single" w:color="0C0C0C" w:sz="4" w:space="0"/>
              <w:bottom w:val="single" w:color="0C0C0C" w:sz="4" w:space="0"/>
              <w:right w:val="single" w:color="0C0C0C" w:sz="4" w:space="0"/>
            </w:tcBorders>
            <w:shd w:val="clear" w:color="auto" w:fill="auto"/>
            <w:tcMar>
              <w:top w:w="15" w:type="dxa"/>
              <w:left w:w="15" w:type="dxa"/>
              <w:right w:w="15" w:type="dxa"/>
            </w:tcMar>
            <w:vAlign w:val="center"/>
          </w:tcPr>
          <w:p>
            <w:pPr>
              <w:pStyle w:val="69"/>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sz w:val="24"/>
                <w:szCs w:val="24"/>
              </w:rPr>
              <w:t>1</w:t>
            </w:r>
          </w:p>
        </w:tc>
        <w:tc>
          <w:tcPr>
            <w:tcW w:w="3482" w:type="dxa"/>
            <w:tcBorders>
              <w:top w:val="single" w:color="0C0C0C" w:sz="4" w:space="0"/>
              <w:left w:val="single" w:color="0C0C0C" w:sz="4" w:space="0"/>
              <w:bottom w:val="single" w:color="0C0C0C" w:sz="4" w:space="0"/>
              <w:right w:val="single" w:color="0C0C0C" w:sz="4" w:space="0"/>
            </w:tcBorders>
            <w:shd w:val="clear" w:color="auto" w:fill="auto"/>
            <w:tcMar>
              <w:top w:w="15" w:type="dxa"/>
              <w:left w:w="15" w:type="dxa"/>
              <w:right w:w="15" w:type="dxa"/>
            </w:tcMar>
            <w:vAlign w:val="center"/>
          </w:tcPr>
          <w:p>
            <w:pPr>
              <w:pStyle w:val="69"/>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sz w:val="24"/>
                <w:szCs w:val="24"/>
              </w:rPr>
              <w:t>轻卡（</w:t>
            </w:r>
            <w:r>
              <w:rPr>
                <w:rFonts w:hint="eastAsia" w:ascii="宋体" w:hAnsi="宋体" w:eastAsia="宋体" w:cs="宋体"/>
                <w:color w:val="000000"/>
                <w:sz w:val="24"/>
                <w:szCs w:val="24"/>
                <w:lang w:val="en-US" w:eastAsia="zh-CN"/>
              </w:rPr>
              <w:t>总长≤6M</w:t>
            </w:r>
            <w:r>
              <w:rPr>
                <w:rFonts w:hint="eastAsia" w:ascii="宋体" w:hAnsi="宋体" w:eastAsia="宋体" w:cs="宋体"/>
                <w:color w:val="000000"/>
                <w:sz w:val="24"/>
                <w:szCs w:val="24"/>
              </w:rPr>
              <w:t>含新能源）</w:t>
            </w:r>
          </w:p>
        </w:tc>
        <w:tc>
          <w:tcPr>
            <w:tcW w:w="5318" w:type="dxa"/>
            <w:tcBorders>
              <w:top w:val="single" w:color="0C0C0C" w:sz="4" w:space="0"/>
              <w:left w:val="single" w:color="0C0C0C" w:sz="4" w:space="0"/>
              <w:bottom w:val="single" w:color="0C0C0C" w:sz="4" w:space="0"/>
              <w:right w:val="single" w:color="0C0C0C" w:sz="4" w:space="0"/>
            </w:tcBorders>
            <w:shd w:val="clear" w:color="auto" w:fill="auto"/>
            <w:tcMar>
              <w:top w:w="15" w:type="dxa"/>
              <w:left w:w="15" w:type="dxa"/>
              <w:right w:w="15" w:type="dxa"/>
            </w:tcMar>
            <w:vAlign w:val="center"/>
          </w:tcPr>
          <w:p>
            <w:pPr>
              <w:pStyle w:val="69"/>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sz w:val="24"/>
                <w:szCs w:val="24"/>
              </w:rPr>
              <w:t>燃油</w:t>
            </w:r>
            <w:r>
              <w:rPr>
                <w:rFonts w:hint="eastAsia" w:ascii="宋体" w:hAnsi="宋体" w:eastAsia="宋体" w:cs="宋体"/>
                <w:color w:val="000000"/>
                <w:sz w:val="24"/>
                <w:szCs w:val="24"/>
                <w:highlight w:val="none"/>
                <w:shd w:val="clear"/>
                <w:lang w:val="en-US" w:eastAsia="zh-CN"/>
              </w:rPr>
              <w:t>/燃气</w:t>
            </w:r>
            <w:r>
              <w:rPr>
                <w:rFonts w:hint="eastAsia" w:ascii="宋体" w:hAnsi="宋体" w:eastAsia="宋体" w:cs="宋体"/>
                <w:color w:val="000000"/>
                <w:sz w:val="24"/>
                <w:szCs w:val="24"/>
              </w:rPr>
              <w:t>/新能源轻卡底盘及成车等车型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9" w:hRule="atLeast"/>
          <w:tblCellSpacing w:w="0" w:type="dxa"/>
          <w:jc w:val="center"/>
        </w:trPr>
        <w:tc>
          <w:tcPr>
            <w:tcW w:w="624" w:type="dxa"/>
            <w:tcBorders>
              <w:top w:val="single" w:color="0C0C0C" w:sz="4" w:space="0"/>
              <w:left w:val="single" w:color="0C0C0C" w:sz="4" w:space="0"/>
              <w:bottom w:val="single" w:color="0C0C0C" w:sz="4" w:space="0"/>
              <w:right w:val="single" w:color="0C0C0C" w:sz="4" w:space="0"/>
            </w:tcBorders>
            <w:shd w:val="clear" w:color="auto" w:fill="auto"/>
            <w:tcMar>
              <w:top w:w="15" w:type="dxa"/>
              <w:left w:w="15" w:type="dxa"/>
              <w:right w:w="15" w:type="dxa"/>
            </w:tcMar>
            <w:vAlign w:val="center"/>
          </w:tcPr>
          <w:p>
            <w:pPr>
              <w:pStyle w:val="69"/>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sz w:val="24"/>
                <w:szCs w:val="24"/>
              </w:rPr>
              <w:t>2</w:t>
            </w:r>
          </w:p>
        </w:tc>
        <w:tc>
          <w:tcPr>
            <w:tcW w:w="3482" w:type="dxa"/>
            <w:tcBorders>
              <w:top w:val="single" w:color="0C0C0C" w:sz="4" w:space="0"/>
              <w:left w:val="single" w:color="0C0C0C" w:sz="4" w:space="0"/>
              <w:bottom w:val="single" w:color="0C0C0C" w:sz="4" w:space="0"/>
              <w:right w:val="single" w:color="0C0C0C" w:sz="4" w:space="0"/>
            </w:tcBorders>
            <w:shd w:val="clear" w:color="auto" w:fill="auto"/>
            <w:tcMar>
              <w:top w:w="15" w:type="dxa"/>
              <w:left w:w="15" w:type="dxa"/>
              <w:right w:w="15" w:type="dxa"/>
            </w:tcMar>
            <w:vAlign w:val="center"/>
          </w:tcPr>
          <w:p>
            <w:pPr>
              <w:pStyle w:val="69"/>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sz w:val="24"/>
                <w:szCs w:val="24"/>
              </w:rPr>
              <w:t>重卡（含新能源及上板超限车辆）</w:t>
            </w:r>
          </w:p>
        </w:tc>
        <w:tc>
          <w:tcPr>
            <w:tcW w:w="5318" w:type="dxa"/>
            <w:tcBorders>
              <w:top w:val="single" w:color="0C0C0C" w:sz="4" w:space="0"/>
              <w:left w:val="single" w:color="0C0C0C" w:sz="4" w:space="0"/>
              <w:bottom w:val="single" w:color="0C0C0C" w:sz="4" w:space="0"/>
              <w:right w:val="single" w:color="0C0C0C" w:sz="4" w:space="0"/>
            </w:tcBorders>
            <w:shd w:val="clear" w:color="auto" w:fill="auto"/>
            <w:tcMar>
              <w:top w:w="15" w:type="dxa"/>
              <w:left w:w="15" w:type="dxa"/>
              <w:right w:w="15" w:type="dxa"/>
            </w:tcMar>
            <w:vAlign w:val="center"/>
          </w:tcPr>
          <w:p>
            <w:pPr>
              <w:pStyle w:val="69"/>
              <w:keepNext w:val="0"/>
              <w:keepLines w:val="0"/>
              <w:widowControl/>
              <w:suppressLineNumbers w:val="0"/>
              <w:jc w:val="both"/>
              <w:rPr>
                <w:rFonts w:hint="eastAsia" w:ascii="宋体" w:hAnsi="宋体" w:eastAsia="宋体" w:cs="宋体"/>
                <w:sz w:val="18"/>
                <w:szCs w:val="18"/>
              </w:rPr>
            </w:pPr>
            <w:r>
              <w:rPr>
                <w:rFonts w:hint="eastAsia" w:ascii="宋体" w:hAnsi="宋体" w:eastAsia="宋体" w:cs="宋体"/>
                <w:color w:val="000000"/>
                <w:sz w:val="24"/>
                <w:szCs w:val="24"/>
              </w:rPr>
              <w:t>燃油</w:t>
            </w:r>
            <w:r>
              <w:rPr>
                <w:rFonts w:hint="eastAsia" w:ascii="宋体" w:hAnsi="宋体" w:eastAsia="宋体" w:cs="宋体"/>
                <w:color w:val="000000"/>
                <w:sz w:val="24"/>
                <w:szCs w:val="24"/>
                <w:highlight w:val="none"/>
                <w:lang w:val="en-US" w:eastAsia="zh-CN"/>
              </w:rPr>
              <w:t>/燃气</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rPr>
              <w:t>新能源重卡、 码头车底盘及成车等车型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7" w:hRule="atLeast"/>
          <w:tblCellSpacing w:w="0" w:type="dxa"/>
          <w:jc w:val="center"/>
        </w:trPr>
        <w:tc>
          <w:tcPr>
            <w:tcW w:w="624" w:type="dxa"/>
            <w:tcBorders>
              <w:top w:val="single" w:color="0C0C0C" w:sz="4" w:space="0"/>
              <w:left w:val="single" w:color="0C0C0C" w:sz="4" w:space="0"/>
              <w:bottom w:val="single" w:color="0C0C0C" w:sz="4" w:space="0"/>
              <w:right w:val="single" w:color="0C0C0C" w:sz="4" w:space="0"/>
            </w:tcBorders>
            <w:shd w:val="clear" w:color="auto" w:fill="auto"/>
            <w:tcMar>
              <w:top w:w="15" w:type="dxa"/>
              <w:left w:w="15" w:type="dxa"/>
              <w:right w:w="15" w:type="dxa"/>
            </w:tcMar>
            <w:vAlign w:val="center"/>
          </w:tcPr>
          <w:p>
            <w:pPr>
              <w:pStyle w:val="69"/>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sz w:val="24"/>
                <w:szCs w:val="24"/>
              </w:rPr>
              <w:t>3</w:t>
            </w:r>
          </w:p>
        </w:tc>
        <w:tc>
          <w:tcPr>
            <w:tcW w:w="3482" w:type="dxa"/>
            <w:tcBorders>
              <w:top w:val="single" w:color="0C0C0C" w:sz="4" w:space="0"/>
              <w:left w:val="single" w:color="0C0C0C" w:sz="4" w:space="0"/>
              <w:bottom w:val="single" w:color="0C0C0C" w:sz="4" w:space="0"/>
              <w:right w:val="single" w:color="0C0C0C" w:sz="4" w:space="0"/>
            </w:tcBorders>
            <w:shd w:val="clear" w:color="auto" w:fill="auto"/>
            <w:tcMar>
              <w:top w:w="15" w:type="dxa"/>
              <w:left w:w="15" w:type="dxa"/>
              <w:right w:w="15" w:type="dxa"/>
            </w:tcMar>
            <w:vAlign w:val="center"/>
          </w:tcPr>
          <w:p>
            <w:pPr>
              <w:pStyle w:val="69"/>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sz w:val="24"/>
                <w:szCs w:val="24"/>
              </w:rPr>
              <w:t>超限车辆</w:t>
            </w:r>
          </w:p>
        </w:tc>
        <w:tc>
          <w:tcPr>
            <w:tcW w:w="5318" w:type="dxa"/>
            <w:tcBorders>
              <w:top w:val="single" w:color="0C0C0C" w:sz="4" w:space="0"/>
              <w:left w:val="single" w:color="0C0C0C" w:sz="4" w:space="0"/>
              <w:bottom w:val="single" w:color="0C0C0C" w:sz="4" w:space="0"/>
              <w:right w:val="single" w:color="0C0C0C" w:sz="4" w:space="0"/>
            </w:tcBorders>
            <w:shd w:val="clear" w:color="auto" w:fill="auto"/>
            <w:tcMar>
              <w:top w:w="15" w:type="dxa"/>
              <w:left w:w="15" w:type="dxa"/>
              <w:right w:w="15" w:type="dxa"/>
            </w:tcMar>
            <w:vAlign w:val="center"/>
          </w:tcPr>
          <w:p>
            <w:pPr>
              <w:pStyle w:val="69"/>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sz w:val="24"/>
                <w:szCs w:val="24"/>
              </w:rPr>
              <w:t>各类矿车底盘及成车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主要为70 矿、95 矿、105 矿、125矿、135矿等类型</w:t>
            </w:r>
          </w:p>
        </w:tc>
      </w:tr>
    </w:tbl>
    <w:p>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leftChars="0" w:firstLine="480" w:firstLineChars="200"/>
        <w:textAlignment w:val="auto"/>
        <w:outlineLvl w:val="0"/>
        <w:rPr>
          <w:rFonts w:hint="eastAsia" w:asciiTheme="minorEastAsia" w:hAnsiTheme="minorEastAsia" w:eastAsiaTheme="minorEastAsia" w:cstheme="minorEastAsia"/>
          <w:bCs/>
          <w:sz w:val="24"/>
          <w:szCs w:val="24"/>
          <w:lang w:val="en-US" w:bidi="zh-CN"/>
        </w:rPr>
      </w:pPr>
      <w:r>
        <w:rPr>
          <w:rFonts w:hint="eastAsia" w:asciiTheme="minorEastAsia" w:hAnsiTheme="minorEastAsia" w:eastAsiaTheme="minorEastAsia" w:cstheme="minorEastAsia"/>
          <w:bCs/>
          <w:sz w:val="24"/>
          <w:szCs w:val="24"/>
          <w:lang w:val="en-US" w:bidi="zh-CN"/>
        </w:rPr>
        <w:t>（1）主要客户：卡车销售部、商用车销售部、轻卡销售部、国际公司、战略客户部、新能源商用车公司、特种车公司；</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leftChars="0" w:firstLine="480" w:firstLineChars="200"/>
        <w:textAlignment w:val="auto"/>
        <w:outlineLvl w:val="0"/>
        <w:rPr>
          <w:rFonts w:hint="eastAsia" w:asciiTheme="minorEastAsia" w:hAnsiTheme="minorEastAsia" w:eastAsiaTheme="minorEastAsia" w:cstheme="minorEastAsia"/>
          <w:bCs/>
          <w:sz w:val="24"/>
          <w:szCs w:val="24"/>
          <w:lang w:val="en-US" w:bidi="zh-CN"/>
        </w:rPr>
      </w:pPr>
      <w:r>
        <w:rPr>
          <w:rFonts w:hint="eastAsia" w:asciiTheme="minorEastAsia" w:hAnsiTheme="minorEastAsia" w:eastAsiaTheme="minorEastAsia" w:cstheme="minorEastAsia"/>
          <w:bCs/>
          <w:sz w:val="24"/>
          <w:szCs w:val="24"/>
          <w:lang w:val="en-US" w:bidi="zh-CN"/>
        </w:rPr>
        <w:t>（2）其他客户：汽车研究总院、应用工程开发中心、工艺工匠研究院、产品试验检测中心、市场与品牌管理部、中通集团（中通新能源）等。</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leftChars="0" w:firstLine="482" w:firstLineChars="200"/>
        <w:textAlignment w:val="auto"/>
        <w:outlineLvl w:val="0"/>
        <w:rPr>
          <w:rFonts w:hint="eastAsia" w:ascii="宋体" w:hAnsi="宋体" w:cs="宋体"/>
          <w:color w:val="000000"/>
          <w:sz w:val="24"/>
          <w:szCs w:val="24"/>
          <w:highlight w:val="none"/>
          <w:lang w:val="en-US" w:eastAsia="zh-CN"/>
        </w:rPr>
      </w:pPr>
      <w:r>
        <w:rPr>
          <w:rFonts w:hint="eastAsia" w:ascii="宋体" w:hAnsi="宋体" w:cs="宋体"/>
          <w:b/>
          <w:bCs/>
          <w:color w:val="000000"/>
          <w:sz w:val="24"/>
          <w:szCs w:val="24"/>
          <w:highlight w:val="none"/>
          <w:lang w:val="en-US" w:eastAsia="zh-CN"/>
        </w:rPr>
        <w:t>2.运输计价方式</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leftChars="0" w:firstLine="480" w:firstLineChars="200"/>
        <w:textAlignment w:val="auto"/>
        <w:outlineLvl w:val="0"/>
        <w:rPr>
          <w:rFonts w:hint="eastAsia" w:asciiTheme="minorEastAsia" w:hAnsiTheme="minorEastAsia" w:eastAsiaTheme="minorEastAsia" w:cstheme="minorEastAsia"/>
          <w:bCs/>
          <w:sz w:val="24"/>
          <w:szCs w:val="24"/>
          <w:highlight w:val="none"/>
          <w:lang w:val="en-US" w:bidi="zh-CN"/>
        </w:rPr>
      </w:pPr>
      <w:r>
        <w:rPr>
          <w:rFonts w:hint="eastAsia" w:ascii="宋体" w:hAnsi="宋体" w:cs="宋体"/>
          <w:color w:val="000000"/>
          <w:sz w:val="24"/>
          <w:szCs w:val="24"/>
          <w:highlight w:val="none"/>
          <w:lang w:val="en-US" w:eastAsia="zh-CN"/>
        </w:rPr>
        <w:t>（1）</w:t>
      </w:r>
      <w:r>
        <w:rPr>
          <w:rFonts w:hint="eastAsia" w:asciiTheme="minorEastAsia" w:hAnsiTheme="minorEastAsia" w:eastAsiaTheme="minorEastAsia" w:cstheme="minorEastAsia"/>
          <w:bCs/>
          <w:sz w:val="24"/>
          <w:szCs w:val="24"/>
          <w:lang w:val="en-US" w:bidi="zh-CN"/>
        </w:rPr>
        <w:t>非超限车辆：正常发运，根据车型、尺寸、</w:t>
      </w:r>
      <w:r>
        <w:rPr>
          <w:rFonts w:hint="eastAsia" w:asciiTheme="minorEastAsia" w:hAnsiTheme="minorEastAsia" w:eastAsiaTheme="minorEastAsia" w:cstheme="minorEastAsia"/>
          <w:bCs/>
          <w:sz w:val="24"/>
          <w:szCs w:val="24"/>
          <w:highlight w:val="none"/>
          <w:lang w:val="en-US" w:bidi="zh-CN"/>
        </w:rPr>
        <w:t>报送单板运载台数，计算单台费用，按照单台方式结算运费。</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left="479" w:leftChars="228" w:firstLine="0" w:firstLineChars="0"/>
        <w:textAlignment w:val="auto"/>
        <w:outlineLvl w:val="0"/>
        <w:rPr>
          <w:rFonts w:hint="eastAsia" w:asciiTheme="minorEastAsia" w:hAnsiTheme="minorEastAsia" w:eastAsiaTheme="minorEastAsia" w:cstheme="minorEastAsia"/>
          <w:bCs/>
          <w:kern w:val="2"/>
          <w:sz w:val="24"/>
          <w:szCs w:val="24"/>
          <w:lang w:val="en-US" w:eastAsia="zh-CN" w:bidi="zh-CN"/>
        </w:rPr>
      </w:pPr>
      <w:r>
        <w:rPr>
          <w:rFonts w:hint="eastAsia" w:asciiTheme="minorEastAsia" w:hAnsiTheme="minorEastAsia" w:eastAsiaTheme="minorEastAsia" w:cstheme="minorEastAsia"/>
          <w:bCs/>
          <w:sz w:val="24"/>
          <w:szCs w:val="24"/>
          <w:lang w:val="en-US" w:bidi="zh-CN"/>
        </w:rPr>
        <w:t>（2）</w:t>
      </w:r>
      <w:r>
        <w:rPr>
          <w:rFonts w:hint="eastAsia" w:asciiTheme="minorEastAsia" w:hAnsiTheme="minorEastAsia" w:eastAsiaTheme="minorEastAsia" w:cstheme="minorEastAsia"/>
          <w:bCs/>
          <w:kern w:val="2"/>
          <w:sz w:val="24"/>
          <w:szCs w:val="24"/>
          <w:lang w:val="en-US" w:eastAsia="zh-CN" w:bidi="zh-CN"/>
        </w:rPr>
        <w:t>非满载板车，按照正常时效+3天（3天配货时间）送车，按照单台价格结算；（3）加急车辆按照整板价格结算。</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left="479" w:leftChars="228" w:firstLine="0" w:firstLineChars="0"/>
        <w:textAlignment w:val="auto"/>
        <w:outlineLvl w:val="0"/>
        <w:rPr>
          <w:rFonts w:hint="default"/>
          <w:lang w:val="en-US"/>
        </w:rPr>
      </w:pPr>
      <w:r>
        <w:rPr>
          <w:rFonts w:hint="eastAsia" w:asciiTheme="minorEastAsia" w:hAnsiTheme="minorEastAsia" w:eastAsiaTheme="minorEastAsia" w:cstheme="minorEastAsia"/>
          <w:bCs/>
          <w:kern w:val="2"/>
          <w:sz w:val="24"/>
          <w:szCs w:val="24"/>
          <w:lang w:val="en-US" w:eastAsia="zh-CN" w:bidi="zh-CN"/>
        </w:rPr>
        <w:t>（4）超限车辆：根据车型、尺寸，按照“</w:t>
      </w:r>
      <w:r>
        <w:rPr>
          <w:rFonts w:hint="eastAsia" w:asciiTheme="minorEastAsia" w:hAnsiTheme="minorEastAsia" w:eastAsiaTheme="minorEastAsia" w:cstheme="minorEastAsia"/>
          <w:bCs/>
          <w:kern w:val="2"/>
          <w:sz w:val="24"/>
          <w:szCs w:val="24"/>
          <w:highlight w:val="none"/>
          <w:lang w:val="en-US" w:eastAsia="zh-CN" w:bidi="zh-CN"/>
        </w:rPr>
        <w:t>元*</w:t>
      </w:r>
      <w:r>
        <w:rPr>
          <w:rFonts w:hint="eastAsia" w:asciiTheme="minorEastAsia" w:hAnsiTheme="minorEastAsia" w:eastAsiaTheme="minorEastAsia" w:cstheme="minorEastAsia"/>
          <w:bCs/>
          <w:kern w:val="2"/>
          <w:sz w:val="24"/>
          <w:szCs w:val="24"/>
          <w:lang w:val="en-US" w:eastAsia="zh-CN" w:bidi="zh-CN"/>
        </w:rPr>
        <w:t>吨/公里”方式结算运费。</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leftChars="0" w:firstLine="482" w:firstLineChars="200"/>
        <w:textAlignment w:val="auto"/>
        <w:outlineLvl w:val="0"/>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3.</w:t>
      </w:r>
      <w:r>
        <w:rPr>
          <w:rFonts w:hint="default" w:ascii="宋体" w:hAnsi="宋体" w:cs="宋体"/>
          <w:b/>
          <w:bCs/>
          <w:color w:val="000000"/>
          <w:sz w:val="24"/>
          <w:szCs w:val="24"/>
          <w:highlight w:val="none"/>
          <w:lang w:val="en-US" w:eastAsia="zh-CN"/>
        </w:rPr>
        <w:t>根据现有需求，拟新增以下业务模式</w:t>
      </w:r>
      <w:bookmarkStart w:id="296" w:name="_GoBack"/>
      <w:bookmarkEnd w:id="296"/>
    </w:p>
    <w:tbl>
      <w:tblPr>
        <w:tblStyle w:val="76"/>
        <w:tblW w:w="875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3"/>
        <w:gridCol w:w="1120"/>
        <w:gridCol w:w="3823"/>
        <w:gridCol w:w="2099"/>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业务模式</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业务场景</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特殊要求</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非超限车辆</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去除正常办理手续时间，总里程/主营单位时效要求≥1000公里/天</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限达时间按照1000公里/天计算</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双驾发运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超限车辆</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根据主营单位要求，办理超限证时间≤2个工作日</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车辆出库后2个工作日内发出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加急办理超限证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超限车辆</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去除正常办理手续时间，总里程/主营单位时效要求≥600公里/天</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限达时间按照600公里/天计算</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双驾发运</w:t>
            </w:r>
          </w:p>
        </w:tc>
      </w:tr>
    </w:tbl>
    <w:p>
      <w:pPr>
        <w:pStyle w:val="2"/>
        <w:ind w:left="0" w:leftChars="0" w:firstLine="0" w:firstLineChars="0"/>
        <w:jc w:val="center"/>
        <w:rPr>
          <w:rFonts w:hint="eastAsia"/>
          <w:lang w:val="en-US" w:eastAsia="zh-CN"/>
        </w:rPr>
      </w:pPr>
    </w:p>
    <w:p>
      <w:pPr>
        <w:pStyle w:val="4"/>
        <w:numPr>
          <w:ilvl w:val="0"/>
          <w:numId w:val="0"/>
        </w:numPr>
        <w:spacing w:before="0" w:beforeLines="0" w:line="360" w:lineRule="auto"/>
        <w:rPr>
          <w:rFonts w:hint="eastAsia" w:ascii="黑体" w:hAnsi="黑体" w:eastAsia="黑体" w:cs="黑体"/>
          <w:b/>
          <w:kern w:val="2"/>
          <w:sz w:val="28"/>
          <w:szCs w:val="28"/>
          <w:lang w:val="en-US" w:eastAsia="zh-CN" w:bidi="ar-SA"/>
        </w:rPr>
      </w:pPr>
      <w:bookmarkStart w:id="249" w:name="_Toc25132"/>
      <w:r>
        <w:rPr>
          <w:rFonts w:hint="eastAsia" w:ascii="黑体" w:hAnsi="黑体" w:eastAsia="黑体" w:cs="黑体"/>
          <w:b/>
          <w:kern w:val="2"/>
          <w:sz w:val="28"/>
          <w:szCs w:val="28"/>
          <w:lang w:val="en-US" w:eastAsia="zh-CN" w:bidi="ar-SA"/>
        </w:rPr>
        <w:t>3.2付款方式：</w:t>
      </w:r>
      <w:bookmarkEnd w:id="249"/>
    </w:p>
    <w:p>
      <w:pPr>
        <w:pStyle w:val="4"/>
        <w:numPr>
          <w:ilvl w:val="0"/>
          <w:numId w:val="0"/>
        </w:numPr>
        <w:spacing w:before="0" w:beforeLines="0" w:line="360" w:lineRule="auto"/>
        <w:ind w:left="0" w:firstLine="480" w:firstLineChars="200"/>
        <w:rPr>
          <w:rFonts w:hint="eastAsia" w:ascii="宋体" w:hAnsi="宋体" w:cs="宋体"/>
          <w:b w:val="0"/>
          <w:bCs/>
          <w:color w:val="000000"/>
          <w:sz w:val="24"/>
          <w:szCs w:val="24"/>
          <w:highlight w:val="yellow"/>
          <w:lang w:val="en-US" w:eastAsia="zh-CN"/>
        </w:rPr>
      </w:pPr>
      <w:bookmarkStart w:id="250" w:name="_Toc9232"/>
      <w:r>
        <w:rPr>
          <w:rFonts w:hint="eastAsia" w:asciiTheme="minorEastAsia" w:hAnsiTheme="minorEastAsia" w:eastAsiaTheme="minorEastAsia" w:cstheme="minorEastAsia"/>
          <w:b w:val="0"/>
          <w:bCs/>
          <w:kern w:val="2"/>
          <w:sz w:val="24"/>
          <w:szCs w:val="24"/>
          <w:lang w:val="en-US" w:eastAsia="zh-CN" w:bidi="zh-CN"/>
        </w:rPr>
        <w:t>运输费由招标方下属二级单位支付，当月挂账次月付款（银行转账、现款）。</w:t>
      </w:r>
    </w:p>
    <w:bookmarkEnd w:id="250"/>
    <w:p>
      <w:pPr>
        <w:spacing w:line="360" w:lineRule="auto"/>
        <w:rPr>
          <w:rFonts w:hint="eastAsia" w:ascii="黑体" w:hAnsi="黑体" w:eastAsia="黑体" w:cs="黑体"/>
          <w:b/>
          <w:kern w:val="2"/>
          <w:sz w:val="28"/>
          <w:szCs w:val="28"/>
          <w:lang w:val="en-US" w:eastAsia="zh-CN" w:bidi="ar-SA"/>
        </w:rPr>
      </w:pPr>
      <w:r>
        <w:rPr>
          <w:rFonts w:hint="eastAsia" w:ascii="黑体" w:hAnsi="黑体" w:eastAsia="黑体" w:cs="黑体"/>
          <w:b/>
          <w:kern w:val="2"/>
          <w:sz w:val="28"/>
          <w:szCs w:val="28"/>
          <w:lang w:val="en-US" w:eastAsia="zh-CN" w:bidi="ar-SA"/>
        </w:rPr>
        <w:t>3.3基价表</w:t>
      </w:r>
    </w:p>
    <w:p>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见附件1：中国重汽集团2025年商用车板车运输业务招标基价</w:t>
      </w:r>
    </w:p>
    <w:p>
      <w:pPr>
        <w:pStyle w:val="72"/>
        <w:ind w:left="420"/>
        <w:rPr>
          <w:rFonts w:hint="eastAsia" w:ascii="黑体" w:hAnsi="黑体" w:eastAsia="黑体" w:cs="黑体"/>
          <w:sz w:val="40"/>
          <w:szCs w:val="40"/>
        </w:rPr>
      </w:pPr>
      <w:bookmarkStart w:id="251" w:name="_Toc26576"/>
      <w:bookmarkStart w:id="252" w:name="_Toc15428"/>
      <w:bookmarkStart w:id="253" w:name="_Toc22956"/>
      <w:bookmarkStart w:id="254" w:name="_Toc888"/>
      <w:bookmarkStart w:id="255" w:name="_Toc16509"/>
      <w:bookmarkStart w:id="256" w:name="_Toc31141"/>
      <w:bookmarkStart w:id="257" w:name="_Toc20647"/>
      <w:bookmarkStart w:id="258" w:name="_Toc25966"/>
      <w:bookmarkStart w:id="259" w:name="_Toc29201"/>
      <w:bookmarkStart w:id="260" w:name="_Toc26461"/>
      <w:r>
        <w:rPr>
          <w:rFonts w:hint="eastAsia" w:ascii="黑体" w:hAnsi="黑体" w:eastAsia="黑体" w:cs="黑体"/>
          <w:sz w:val="40"/>
          <w:szCs w:val="40"/>
        </w:rPr>
        <w:t>报价及相关要求</w:t>
      </w:r>
      <w:bookmarkEnd w:id="251"/>
      <w:bookmarkEnd w:id="252"/>
      <w:bookmarkEnd w:id="253"/>
      <w:bookmarkEnd w:id="254"/>
      <w:bookmarkEnd w:id="255"/>
      <w:bookmarkEnd w:id="256"/>
      <w:bookmarkEnd w:id="257"/>
      <w:bookmarkEnd w:id="258"/>
      <w:bookmarkEnd w:id="259"/>
      <w:bookmarkEnd w:id="260"/>
    </w:p>
    <w:p>
      <w:pPr>
        <w:pStyle w:val="4"/>
        <w:numPr>
          <w:ilvl w:val="0"/>
          <w:numId w:val="0"/>
        </w:numPr>
        <w:spacing w:before="0" w:beforeLines="0"/>
        <w:ind w:left="420" w:leftChars="200"/>
        <w:rPr>
          <w:rFonts w:hint="eastAsia" w:ascii="黑体" w:hAnsi="黑体" w:eastAsia="黑体" w:cs="黑体"/>
          <w:color w:val="000000"/>
          <w:sz w:val="28"/>
          <w:szCs w:val="28"/>
        </w:rPr>
      </w:pPr>
      <w:bookmarkStart w:id="261" w:name="_Toc7864"/>
      <w:bookmarkStart w:id="262" w:name="_Toc30892"/>
      <w:bookmarkStart w:id="263" w:name="_Toc13861"/>
      <w:bookmarkStart w:id="264" w:name="_Toc9575"/>
      <w:bookmarkStart w:id="265" w:name="_Toc9114"/>
      <w:bookmarkStart w:id="266" w:name="_Toc27782"/>
      <w:bookmarkStart w:id="267" w:name="_Toc7276"/>
      <w:bookmarkStart w:id="268" w:name="_Toc923"/>
      <w:bookmarkStart w:id="269" w:name="_Toc3776"/>
      <w:r>
        <w:rPr>
          <w:rFonts w:hint="eastAsia" w:ascii="黑体" w:hAnsi="黑体" w:eastAsia="黑体" w:cs="黑体"/>
          <w:sz w:val="28"/>
          <w:szCs w:val="28"/>
        </w:rPr>
        <w:t xml:space="preserve">4.1 </w:t>
      </w:r>
      <w:r>
        <w:rPr>
          <w:rFonts w:hint="eastAsia" w:ascii="黑体" w:hAnsi="黑体" w:eastAsia="黑体" w:cs="黑体"/>
          <w:color w:val="000000"/>
          <w:sz w:val="28"/>
          <w:szCs w:val="28"/>
        </w:rPr>
        <w:t>报价要求</w:t>
      </w:r>
      <w:bookmarkEnd w:id="261"/>
      <w:bookmarkEnd w:id="262"/>
      <w:bookmarkEnd w:id="263"/>
      <w:bookmarkEnd w:id="264"/>
      <w:bookmarkEnd w:id="265"/>
      <w:bookmarkEnd w:id="266"/>
      <w:bookmarkEnd w:id="267"/>
      <w:bookmarkEnd w:id="268"/>
      <w:bookmarkEnd w:id="269"/>
    </w:p>
    <w:p>
      <w:pPr>
        <w:spacing w:line="360" w:lineRule="auto"/>
        <w:ind w:firstLine="480" w:firstLineChars="200"/>
        <w:rPr>
          <w:rFonts w:hint="eastAsia" w:ascii="宋体" w:hAnsi="宋体" w:cs="宋体"/>
          <w:sz w:val="24"/>
        </w:rPr>
      </w:pPr>
      <w:r>
        <w:rPr>
          <w:rFonts w:hint="eastAsia" w:ascii="宋体" w:hAnsi="宋体" w:cs="宋体"/>
          <w:sz w:val="24"/>
        </w:rPr>
        <w:t>本次报价按照《附件</w:t>
      </w:r>
      <w:r>
        <w:rPr>
          <w:rFonts w:hint="eastAsia" w:ascii="宋体" w:hAnsi="宋体" w:cs="宋体"/>
          <w:sz w:val="24"/>
          <w:lang w:val="en-US" w:eastAsia="zh-CN"/>
        </w:rPr>
        <w:t>2</w:t>
      </w:r>
      <w:r>
        <w:rPr>
          <w:rFonts w:hint="eastAsia" w:ascii="宋体" w:hAnsi="宋体" w:cs="宋体"/>
          <w:sz w:val="24"/>
        </w:rPr>
        <w:t>：开标一览表》</w:t>
      </w:r>
      <w:r>
        <w:rPr>
          <w:rFonts w:hint="eastAsia" w:ascii="宋体" w:hAnsi="宋体" w:cs="宋体"/>
          <w:sz w:val="24"/>
          <w:lang w:val="en-US" w:eastAsia="zh-CN"/>
        </w:rPr>
        <w:t>进行</w:t>
      </w:r>
      <w:r>
        <w:rPr>
          <w:rFonts w:hint="eastAsia" w:ascii="宋体" w:hAnsi="宋体" w:cs="宋体"/>
          <w:sz w:val="24"/>
        </w:rPr>
        <w:t>报价</w:t>
      </w:r>
      <w:r>
        <w:rPr>
          <w:rFonts w:hint="eastAsia" w:ascii="宋体" w:hAnsi="宋体" w:cs="宋体"/>
          <w:sz w:val="24"/>
          <w:lang w:eastAsia="zh-CN"/>
        </w:rPr>
        <w:t>，</w:t>
      </w:r>
      <w:r>
        <w:rPr>
          <w:rFonts w:hint="eastAsia" w:ascii="宋体" w:hAnsi="宋体" w:cs="宋体"/>
          <w:sz w:val="24"/>
        </w:rPr>
        <w:t>投标单位在运输费用标准基价上执行折扣（%）进行报价（百分比保留小数点后1位）。</w:t>
      </w:r>
    </w:p>
    <w:p>
      <w:pPr>
        <w:spacing w:line="360" w:lineRule="auto"/>
        <w:ind w:firstLine="480" w:firstLineChars="200"/>
        <w:rPr>
          <w:b w:val="0"/>
          <w:bCs w:val="0"/>
          <w:color w:val="FF0000"/>
          <w:highlight w:val="none"/>
        </w:rPr>
      </w:pPr>
      <w:r>
        <w:rPr>
          <w:rFonts w:hint="eastAsia" w:ascii="宋体" w:hAnsi="宋体" w:cs="宋体"/>
          <w:sz w:val="24"/>
        </w:rPr>
        <w:t>本招标书涉及的价格均为</w:t>
      </w:r>
      <w:r>
        <w:rPr>
          <w:rFonts w:hint="eastAsia" w:ascii="宋体" w:hAnsi="宋体" w:cs="宋体"/>
          <w:sz w:val="24"/>
          <w:lang w:val="en-US" w:eastAsia="zh-CN"/>
        </w:rPr>
        <w:t>不</w:t>
      </w:r>
      <w:r>
        <w:rPr>
          <w:rFonts w:hint="eastAsia" w:ascii="宋体" w:hAnsi="宋体" w:cs="宋体"/>
          <w:sz w:val="24"/>
        </w:rPr>
        <w:t>含税9%的价格，若遇国家增值税税率调整，应按调整后最新税率的金额调整相应的支付款项，即合同</w:t>
      </w:r>
      <w:r>
        <w:rPr>
          <w:rFonts w:hint="eastAsia" w:ascii="宋体" w:hAnsi="宋体" w:cs="宋体"/>
          <w:sz w:val="24"/>
          <w:lang w:val="en-US" w:eastAsia="zh-CN"/>
        </w:rPr>
        <w:t>未</w:t>
      </w:r>
      <w:r>
        <w:rPr>
          <w:rFonts w:hint="eastAsia" w:ascii="宋体" w:hAnsi="宋体" w:cs="宋体"/>
          <w:sz w:val="24"/>
        </w:rPr>
        <w:t>税价格不受国家增值税税率调整的影响。</w:t>
      </w:r>
    </w:p>
    <w:p>
      <w:pPr>
        <w:pStyle w:val="72"/>
        <w:numPr>
          <w:ilvl w:val="0"/>
          <w:numId w:val="0"/>
        </w:numPr>
        <w:jc w:val="center"/>
        <w:rPr>
          <w:rFonts w:ascii="宋体" w:hAnsi="宋体" w:cs="宋体"/>
          <w:sz w:val="24"/>
        </w:rPr>
      </w:pPr>
      <w:bookmarkStart w:id="270" w:name="_Toc30089"/>
      <w:bookmarkStart w:id="271" w:name="_Toc7980"/>
      <w:bookmarkStart w:id="272" w:name="_Toc517"/>
      <w:bookmarkStart w:id="273" w:name="_Toc26237"/>
      <w:bookmarkStart w:id="274" w:name="_Toc24801"/>
      <w:bookmarkStart w:id="275" w:name="_Toc5933"/>
      <w:bookmarkStart w:id="276" w:name="_Toc28389"/>
      <w:bookmarkStart w:id="277" w:name="_Toc13602"/>
      <w:bookmarkStart w:id="278" w:name="_Toc7748"/>
      <w:bookmarkStart w:id="279" w:name="_Toc28386"/>
      <w:r>
        <w:rPr>
          <w:rFonts w:hint="eastAsia" w:ascii="黑体" w:hAnsi="黑体" w:eastAsia="黑体" w:cs="黑体"/>
          <w:sz w:val="40"/>
          <w:szCs w:val="40"/>
          <w:lang w:val="en-US" w:eastAsia="zh-CN"/>
        </w:rPr>
        <w:t>第5章</w:t>
      </w:r>
      <w:r>
        <w:rPr>
          <w:rFonts w:hint="eastAsia" w:ascii="黑体" w:hAnsi="黑体" w:eastAsia="黑体" w:cs="黑体"/>
          <w:sz w:val="40"/>
          <w:szCs w:val="40"/>
        </w:rPr>
        <w:t>评分标准</w:t>
      </w:r>
      <w:bookmarkEnd w:id="270"/>
      <w:bookmarkEnd w:id="271"/>
      <w:bookmarkEnd w:id="272"/>
      <w:bookmarkEnd w:id="273"/>
      <w:bookmarkEnd w:id="274"/>
      <w:bookmarkEnd w:id="275"/>
      <w:bookmarkEnd w:id="276"/>
      <w:bookmarkEnd w:id="277"/>
      <w:bookmarkEnd w:id="278"/>
      <w:bookmarkEnd w:id="279"/>
    </w:p>
    <w:p>
      <w:pPr>
        <w:spacing w:line="360" w:lineRule="auto"/>
        <w:ind w:firstLine="480" w:firstLineChars="200"/>
        <w:rPr>
          <w:rFonts w:hint="eastAsia" w:ascii="宋体" w:hAnsi="宋体" w:cs="宋体"/>
          <w:sz w:val="24"/>
        </w:rPr>
      </w:pPr>
      <w:r>
        <w:rPr>
          <w:rFonts w:hint="eastAsia" w:ascii="宋体" w:hAnsi="宋体" w:cs="宋体"/>
          <w:sz w:val="24"/>
        </w:rPr>
        <w:t>本次评标采用技术标和商务标分级开标的模式。首先进行技术标评审，由评标专家组对所有投标方的技术标部分综合评定和打分，</w:t>
      </w:r>
      <w:r>
        <w:rPr>
          <w:rFonts w:hint="eastAsia" w:ascii="宋体" w:hAnsi="宋体" w:cs="宋体"/>
          <w:sz w:val="24"/>
          <w:highlight w:val="none"/>
        </w:rPr>
        <w:t>技术分≥</w:t>
      </w:r>
      <w:r>
        <w:rPr>
          <w:rFonts w:hint="eastAsia" w:ascii="宋体" w:hAnsi="宋体" w:cs="宋体"/>
          <w:sz w:val="24"/>
          <w:highlight w:val="none"/>
          <w:lang w:val="en-US" w:eastAsia="zh-CN"/>
        </w:rPr>
        <w:t>7</w:t>
      </w:r>
      <w:r>
        <w:rPr>
          <w:rFonts w:hint="eastAsia" w:ascii="宋体" w:hAnsi="宋体" w:cs="宋体"/>
          <w:sz w:val="24"/>
          <w:highlight w:val="none"/>
        </w:rPr>
        <w:t>0分入围商务标</w:t>
      </w:r>
      <w:r>
        <w:rPr>
          <w:rFonts w:hint="eastAsia" w:ascii="宋体" w:hAnsi="宋体" w:cs="宋体"/>
          <w:sz w:val="24"/>
        </w:rPr>
        <w:t>。然后进行商务标的评标，招标人有权根据项目情况，采取多轮评标模式</w:t>
      </w:r>
      <w:r>
        <w:rPr>
          <w:rFonts w:hint="eastAsia" w:ascii="宋体" w:hAnsi="宋体" w:cs="宋体"/>
          <w:sz w:val="24"/>
          <w:lang w:eastAsia="zh-CN"/>
        </w:rPr>
        <w:t>。</w:t>
      </w:r>
      <w:r>
        <w:rPr>
          <w:rFonts w:hint="eastAsia" w:ascii="宋体" w:hAnsi="宋体" w:cs="宋体"/>
          <w:kern w:val="2"/>
          <w:sz w:val="24"/>
        </w:rPr>
        <w:t>技术分+竞价分最高分中标法</w:t>
      </w:r>
      <w:r>
        <w:rPr>
          <w:rFonts w:hint="eastAsia" w:ascii="宋体" w:hAnsi="宋体" w:cs="宋体"/>
          <w:kern w:val="2"/>
          <w:sz w:val="24"/>
          <w:lang w:eastAsia="zh-CN"/>
        </w:rPr>
        <w:t>：</w:t>
      </w:r>
      <w:r>
        <w:rPr>
          <w:rFonts w:hint="eastAsia" w:ascii="宋体" w:hAnsi="宋体" w:cs="宋体"/>
          <w:kern w:val="2"/>
          <w:sz w:val="24"/>
          <w:highlight w:val="none"/>
        </w:rPr>
        <w:t>技术分</w:t>
      </w:r>
      <w:r>
        <w:rPr>
          <w:rFonts w:hint="eastAsia" w:ascii="宋体" w:hAnsi="宋体" w:cs="宋体"/>
          <w:kern w:val="2"/>
          <w:sz w:val="24"/>
          <w:highlight w:val="none"/>
          <w:lang w:val="en-US" w:eastAsia="zh-CN"/>
        </w:rPr>
        <w:t>*2</w:t>
      </w:r>
      <w:r>
        <w:rPr>
          <w:rFonts w:hint="eastAsia" w:ascii="宋体" w:hAnsi="宋体" w:cs="宋体"/>
          <w:kern w:val="2"/>
          <w:sz w:val="24"/>
          <w:highlight w:val="none"/>
        </w:rPr>
        <w:t>0%+当前轮次最低价/当前轮次供方投标价</w:t>
      </w:r>
      <w:r>
        <w:rPr>
          <w:rFonts w:hint="eastAsia" w:ascii="宋体" w:hAnsi="宋体" w:cs="宋体"/>
          <w:kern w:val="2"/>
          <w:sz w:val="24"/>
          <w:highlight w:val="none"/>
          <w:lang w:val="en-US" w:eastAsia="zh-CN"/>
        </w:rPr>
        <w:t>*80</w:t>
      </w:r>
      <w:r>
        <w:rPr>
          <w:rFonts w:hint="eastAsia" w:ascii="宋体" w:hAnsi="宋体" w:cs="宋体"/>
          <w:kern w:val="2"/>
          <w:sz w:val="24"/>
          <w:highlight w:val="none"/>
        </w:rPr>
        <w:t>=最终得分。</w:t>
      </w:r>
      <w:r>
        <w:rPr>
          <w:rFonts w:hint="eastAsia" w:ascii="宋体" w:hAnsi="宋体" w:cs="宋体"/>
          <w:kern w:val="2"/>
          <w:sz w:val="24"/>
        </w:rPr>
        <w:t>三包综合得分前三名为中标人（50%、30%、20%）</w:t>
      </w:r>
      <w:r>
        <w:rPr>
          <w:rFonts w:hint="eastAsia" w:ascii="宋体" w:hAnsi="宋体" w:cs="宋体"/>
          <w:kern w:val="2"/>
          <w:sz w:val="24"/>
          <w:highlight w:val="none"/>
        </w:rPr>
        <w:t>价格执行三家各包次投标最低价</w:t>
      </w:r>
      <w:r>
        <w:rPr>
          <w:rFonts w:hint="eastAsia" w:ascii="宋体" w:hAnsi="宋体" w:cs="宋体"/>
          <w:kern w:val="2"/>
          <w:sz w:val="24"/>
          <w:highlight w:val="none"/>
          <w:lang w:eastAsia="zh-CN"/>
        </w:rPr>
        <w:t>，</w:t>
      </w:r>
      <w:r>
        <w:rPr>
          <w:rFonts w:hint="eastAsia" w:ascii="宋体" w:hAnsi="宋体" w:cs="宋体"/>
          <w:kern w:val="2"/>
          <w:sz w:val="24"/>
          <w:highlight w:val="none"/>
        </w:rPr>
        <w:t>对</w:t>
      </w:r>
      <w:r>
        <w:rPr>
          <w:rFonts w:hint="eastAsia" w:ascii="宋体" w:hAnsi="宋体" w:cs="宋体"/>
          <w:kern w:val="2"/>
          <w:sz w:val="24"/>
        </w:rPr>
        <w:t>未中标人不做任何解释</w:t>
      </w:r>
      <w:r>
        <w:rPr>
          <w:rFonts w:hint="eastAsia" w:ascii="宋体" w:hAnsi="宋体" w:cs="宋体"/>
          <w:sz w:val="24"/>
        </w:rPr>
        <w:t>。</w:t>
      </w:r>
    </w:p>
    <w:p>
      <w:pPr>
        <w:spacing w:line="360" w:lineRule="auto"/>
        <w:ind w:firstLine="480" w:firstLineChars="200"/>
        <w:rPr>
          <w:rFonts w:ascii="宋体" w:hAnsi="宋体" w:cs="宋体"/>
          <w:sz w:val="24"/>
          <w:highlight w:val="none"/>
        </w:rPr>
      </w:pPr>
      <w:r>
        <w:rPr>
          <w:rFonts w:hint="eastAsia" w:ascii="宋体" w:hAnsi="宋体" w:cs="宋体"/>
          <w:sz w:val="24"/>
        </w:rPr>
        <w:t>评分细则如下：</w:t>
      </w:r>
    </w:p>
    <w:tbl>
      <w:tblPr>
        <w:tblStyle w:val="76"/>
        <w:tblW w:w="4996"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1"/>
        <w:gridCol w:w="1347"/>
        <w:gridCol w:w="3069"/>
        <w:gridCol w:w="778"/>
        <w:gridCol w:w="748"/>
        <w:gridCol w:w="2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blCellSpacing w:w="0" w:type="dxa"/>
        </w:trPr>
        <w:tc>
          <w:tcPr>
            <w:tcW w:w="345" w:type="pct"/>
            <w:tcBorders>
              <w:top w:val="single" w:color="000000" w:sz="4" w:space="0"/>
              <w:left w:val="single" w:color="000000" w:sz="4" w:space="0"/>
              <w:bottom w:val="single" w:color="000000" w:sz="4" w:space="0"/>
              <w:right w:val="single" w:color="000000" w:sz="4" w:space="0"/>
            </w:tcBorders>
            <w:shd w:val="clear" w:color="auto" w:fill="D52A24"/>
            <w:tcMar>
              <w:left w:w="108" w:type="dxa"/>
              <w:right w:w="108" w:type="dxa"/>
            </w:tcMar>
            <w:vAlign w:val="center"/>
          </w:tcPr>
          <w:p>
            <w:pPr>
              <w:pStyle w:val="69"/>
              <w:keepNext w:val="0"/>
              <w:keepLines w:val="0"/>
              <w:widowControl/>
              <w:suppressLineNumbers w:val="0"/>
              <w:jc w:val="center"/>
              <w:rPr>
                <w:sz w:val="18"/>
                <w:szCs w:val="18"/>
              </w:rPr>
            </w:pPr>
            <w:r>
              <w:rPr>
                <w:rFonts w:ascii="微软雅黑" w:hAnsi="微软雅黑" w:eastAsia="微软雅黑" w:cs="微软雅黑"/>
                <w:b/>
                <w:bCs/>
                <w:color w:val="FFFFFF"/>
                <w:sz w:val="20"/>
                <w:szCs w:val="20"/>
              </w:rPr>
              <w:t>序号</w:t>
            </w:r>
          </w:p>
        </w:tc>
        <w:tc>
          <w:tcPr>
            <w:tcW w:w="724" w:type="pct"/>
            <w:tcBorders>
              <w:top w:val="single" w:color="000000" w:sz="4" w:space="0"/>
              <w:left w:val="single" w:color="000000" w:sz="4" w:space="0"/>
              <w:bottom w:val="single" w:color="000000" w:sz="4" w:space="0"/>
              <w:right w:val="single" w:color="000000" w:sz="4" w:space="0"/>
            </w:tcBorders>
            <w:shd w:val="clear" w:color="auto" w:fill="D52A24"/>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b/>
                <w:bCs/>
                <w:color w:val="FFFFFF"/>
                <w:sz w:val="20"/>
                <w:szCs w:val="20"/>
              </w:rPr>
              <w:t>评分项目</w:t>
            </w:r>
          </w:p>
        </w:tc>
        <w:tc>
          <w:tcPr>
            <w:tcW w:w="1648" w:type="pct"/>
            <w:tcBorders>
              <w:top w:val="single" w:color="000000" w:sz="4" w:space="0"/>
              <w:left w:val="single" w:color="000000" w:sz="4" w:space="0"/>
              <w:bottom w:val="single" w:color="000000" w:sz="4" w:space="0"/>
              <w:right w:val="single" w:color="000000" w:sz="4" w:space="0"/>
            </w:tcBorders>
            <w:shd w:val="clear" w:color="auto" w:fill="D52A24"/>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b/>
                <w:bCs/>
                <w:color w:val="FFFFFF"/>
                <w:sz w:val="20"/>
                <w:szCs w:val="20"/>
              </w:rPr>
              <w:t>评分标准</w:t>
            </w:r>
          </w:p>
        </w:tc>
        <w:tc>
          <w:tcPr>
            <w:tcW w:w="418" w:type="pct"/>
            <w:tcBorders>
              <w:top w:val="single" w:color="000000" w:sz="4" w:space="0"/>
              <w:left w:val="single" w:color="000000" w:sz="4" w:space="0"/>
              <w:bottom w:val="single" w:color="000000" w:sz="4" w:space="0"/>
              <w:right w:val="single" w:color="000000" w:sz="4" w:space="0"/>
            </w:tcBorders>
            <w:shd w:val="clear" w:color="auto" w:fill="D52A24"/>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b/>
                <w:bCs/>
                <w:color w:val="FFFFFF"/>
                <w:sz w:val="20"/>
                <w:szCs w:val="20"/>
              </w:rPr>
              <w:t>得分</w:t>
            </w:r>
          </w:p>
        </w:tc>
        <w:tc>
          <w:tcPr>
            <w:tcW w:w="402" w:type="pct"/>
            <w:tcBorders>
              <w:top w:val="single" w:color="000000" w:sz="4" w:space="0"/>
              <w:left w:val="single" w:color="000000" w:sz="4" w:space="0"/>
              <w:bottom w:val="single" w:color="000000" w:sz="4" w:space="0"/>
              <w:right w:val="single" w:color="000000" w:sz="4" w:space="0"/>
            </w:tcBorders>
            <w:shd w:val="clear" w:color="auto" w:fill="D52A24"/>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b/>
                <w:bCs/>
                <w:color w:val="FFFFFF"/>
                <w:sz w:val="20"/>
                <w:szCs w:val="20"/>
              </w:rPr>
              <w:t>总分</w:t>
            </w:r>
          </w:p>
        </w:tc>
        <w:tc>
          <w:tcPr>
            <w:tcW w:w="1460" w:type="pct"/>
            <w:tcBorders>
              <w:top w:val="single" w:color="000000" w:sz="4" w:space="0"/>
              <w:left w:val="single" w:color="000000" w:sz="4" w:space="0"/>
              <w:bottom w:val="single" w:color="000000" w:sz="4" w:space="0"/>
              <w:right w:val="single" w:color="000000" w:sz="4" w:space="0"/>
            </w:tcBorders>
            <w:shd w:val="clear" w:color="auto" w:fill="D52A24"/>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b/>
                <w:bCs/>
                <w:color w:val="FFFFFF"/>
                <w:sz w:val="20"/>
                <w:szCs w:val="20"/>
              </w:rPr>
              <w:t>评分依据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blCellSpacing w:w="0" w:type="dxa"/>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rPr>
                <w:sz w:val="18"/>
                <w:szCs w:val="18"/>
              </w:rPr>
            </w:pPr>
            <w:r>
              <w:rPr>
                <w:rFonts w:hint="eastAsia" w:ascii="微软雅黑" w:hAnsi="微软雅黑" w:eastAsia="微软雅黑" w:cs="微软雅黑"/>
                <w:color w:val="000000"/>
                <w:sz w:val="20"/>
                <w:szCs w:val="20"/>
              </w:rPr>
              <w:t>1</w:t>
            </w:r>
          </w:p>
        </w:tc>
        <w:tc>
          <w:tcPr>
            <w:tcW w:w="724" w:type="pct"/>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rPr>
                <w:sz w:val="18"/>
                <w:szCs w:val="18"/>
              </w:rPr>
            </w:pPr>
            <w:r>
              <w:rPr>
                <w:rFonts w:hint="eastAsia" w:ascii="微软雅黑" w:hAnsi="微软雅黑" w:eastAsia="微软雅黑" w:cs="微软雅黑"/>
                <w:color w:val="000000"/>
                <w:sz w:val="20"/>
                <w:szCs w:val="20"/>
              </w:rPr>
              <w:t>月均银行资金流水</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600万元以下</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0分</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20</w:t>
            </w:r>
          </w:p>
        </w:tc>
        <w:tc>
          <w:tcPr>
            <w:tcW w:w="1460" w:type="pct"/>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rPr>
                <w:sz w:val="18"/>
                <w:szCs w:val="18"/>
              </w:rPr>
            </w:pPr>
            <w:r>
              <w:rPr>
                <w:rFonts w:hint="eastAsia" w:ascii="微软雅黑" w:hAnsi="微软雅黑" w:eastAsia="微软雅黑" w:cs="微软雅黑"/>
                <w:color w:val="000000"/>
                <w:sz w:val="20"/>
                <w:szCs w:val="20"/>
              </w:rPr>
              <w:t>2023年以来银行流水/月份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blCellSpacing w:w="0" w:type="dxa"/>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sz w:val="18"/>
                <w:szCs w:val="18"/>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sz w:val="18"/>
                <w:szCs w:val="18"/>
              </w:rPr>
            </w:pP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600万≤银行流水＜1200万</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10分</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eastAsia" w:ascii="宋体"/>
                <w:sz w:val="18"/>
                <w:szCs w:val="18"/>
              </w:rPr>
            </w:pPr>
          </w:p>
        </w:tc>
        <w:tc>
          <w:tcPr>
            <w:tcW w:w="1460"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blCellSpacing w:w="0" w:type="dxa"/>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sz w:val="18"/>
                <w:szCs w:val="18"/>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sz w:val="18"/>
                <w:szCs w:val="18"/>
              </w:rPr>
            </w:pP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1200万及以上</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20分</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eastAsia" w:ascii="宋体"/>
                <w:sz w:val="18"/>
                <w:szCs w:val="18"/>
              </w:rPr>
            </w:pPr>
          </w:p>
        </w:tc>
        <w:tc>
          <w:tcPr>
            <w:tcW w:w="1460"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blCellSpacing w:w="0" w:type="dxa"/>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rPr>
                <w:sz w:val="18"/>
                <w:szCs w:val="18"/>
              </w:rPr>
            </w:pPr>
            <w:r>
              <w:rPr>
                <w:rFonts w:hint="eastAsia" w:ascii="微软雅黑" w:hAnsi="微软雅黑" w:eastAsia="微软雅黑" w:cs="微软雅黑"/>
                <w:color w:val="000000"/>
                <w:sz w:val="20"/>
                <w:szCs w:val="20"/>
              </w:rPr>
              <w:t>2</w:t>
            </w:r>
          </w:p>
        </w:tc>
        <w:tc>
          <w:tcPr>
            <w:tcW w:w="724" w:type="pct"/>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rPr>
                <w:sz w:val="18"/>
                <w:szCs w:val="18"/>
              </w:rPr>
            </w:pPr>
            <w:r>
              <w:rPr>
                <w:rFonts w:hint="eastAsia" w:ascii="微软雅黑" w:hAnsi="微软雅黑" w:eastAsia="微软雅黑" w:cs="微软雅黑"/>
                <w:color w:val="000000"/>
                <w:sz w:val="20"/>
                <w:szCs w:val="20"/>
              </w:rPr>
              <w:t>商用车板车发运经验</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无</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0分</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20</w:t>
            </w:r>
          </w:p>
        </w:tc>
        <w:tc>
          <w:tcPr>
            <w:tcW w:w="1460" w:type="pct"/>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rPr>
                <w:sz w:val="18"/>
                <w:szCs w:val="18"/>
              </w:rPr>
            </w:pPr>
            <w:r>
              <w:rPr>
                <w:rFonts w:hint="eastAsia" w:ascii="微软雅黑" w:hAnsi="微软雅黑" w:eastAsia="微软雅黑" w:cs="微软雅黑"/>
                <w:color w:val="000000"/>
                <w:sz w:val="20"/>
                <w:szCs w:val="20"/>
              </w:rPr>
              <w:t>提供各年度发运合同或者发票复印件，不足一年按一年计算。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blCellSpacing w:w="0" w:type="dxa"/>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sz w:val="18"/>
                <w:szCs w:val="18"/>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sz w:val="18"/>
                <w:szCs w:val="18"/>
              </w:rPr>
            </w:pP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1年</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10分</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eastAsia" w:ascii="宋体"/>
                <w:sz w:val="18"/>
                <w:szCs w:val="18"/>
              </w:rPr>
            </w:pPr>
          </w:p>
        </w:tc>
        <w:tc>
          <w:tcPr>
            <w:tcW w:w="1460"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blCellSpacing w:w="0" w:type="dxa"/>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sz w:val="18"/>
                <w:szCs w:val="18"/>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sz w:val="18"/>
                <w:szCs w:val="18"/>
              </w:rPr>
            </w:pP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2年</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20分</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eastAsia" w:ascii="宋体"/>
                <w:sz w:val="18"/>
                <w:szCs w:val="18"/>
              </w:rPr>
            </w:pPr>
          </w:p>
        </w:tc>
        <w:tc>
          <w:tcPr>
            <w:tcW w:w="1460"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blCellSpacing w:w="0" w:type="dxa"/>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rPr>
                <w:sz w:val="18"/>
                <w:szCs w:val="18"/>
              </w:rPr>
            </w:pPr>
            <w:r>
              <w:rPr>
                <w:rFonts w:hint="eastAsia" w:ascii="微软雅黑" w:hAnsi="微软雅黑" w:eastAsia="微软雅黑" w:cs="微软雅黑"/>
                <w:color w:val="000000"/>
                <w:sz w:val="20"/>
                <w:szCs w:val="20"/>
              </w:rPr>
              <w:t>3</w:t>
            </w:r>
          </w:p>
        </w:tc>
        <w:tc>
          <w:tcPr>
            <w:tcW w:w="724" w:type="pct"/>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rPr>
                <w:sz w:val="18"/>
                <w:szCs w:val="18"/>
              </w:rPr>
            </w:pPr>
            <w:r>
              <w:rPr>
                <w:rFonts w:hint="eastAsia" w:ascii="微软雅黑" w:hAnsi="微软雅黑" w:eastAsia="微软雅黑" w:cs="微软雅黑"/>
                <w:color w:val="000000"/>
                <w:sz w:val="20"/>
                <w:szCs w:val="20"/>
              </w:rPr>
              <w:t>注册资金</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1000万≤注册资金＜3000万</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5分</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20</w:t>
            </w:r>
          </w:p>
        </w:tc>
        <w:tc>
          <w:tcPr>
            <w:tcW w:w="1460" w:type="pct"/>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rPr>
                <w:sz w:val="18"/>
                <w:szCs w:val="18"/>
              </w:rPr>
            </w:pPr>
            <w:r>
              <w:rPr>
                <w:rFonts w:hint="eastAsia" w:ascii="微软雅黑" w:hAnsi="微软雅黑" w:eastAsia="微软雅黑" w:cs="微软雅黑"/>
                <w:color w:val="000000"/>
                <w:sz w:val="20"/>
                <w:szCs w:val="20"/>
              </w:rPr>
              <w:t>以营业执照登记的注册资金为准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blCellSpacing w:w="0" w:type="dxa"/>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sz w:val="18"/>
                <w:szCs w:val="18"/>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sz w:val="18"/>
                <w:szCs w:val="18"/>
              </w:rPr>
            </w:pP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3000万≤注册资金＜5000万</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10分</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eastAsia" w:ascii="宋体"/>
                <w:sz w:val="18"/>
                <w:szCs w:val="18"/>
              </w:rPr>
            </w:pPr>
          </w:p>
        </w:tc>
        <w:tc>
          <w:tcPr>
            <w:tcW w:w="1460"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blCellSpacing w:w="0" w:type="dxa"/>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sz w:val="18"/>
                <w:szCs w:val="18"/>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sz w:val="18"/>
                <w:szCs w:val="18"/>
              </w:rPr>
            </w:pP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5000万及以上</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20分</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eastAsia" w:ascii="宋体"/>
                <w:sz w:val="18"/>
                <w:szCs w:val="18"/>
              </w:rPr>
            </w:pPr>
          </w:p>
        </w:tc>
        <w:tc>
          <w:tcPr>
            <w:tcW w:w="1460" w:type="pct"/>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blCellSpacing w:w="0" w:type="dxa"/>
        </w:trPr>
        <w:tc>
          <w:tcPr>
            <w:tcW w:w="345" w:type="pct"/>
            <w:vMerge w:val="restart"/>
            <w:tcBorders>
              <w:top w:val="single" w:color="000000" w:sz="4" w:space="0"/>
              <w:left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rPr>
                <w:sz w:val="18"/>
                <w:szCs w:val="18"/>
              </w:rPr>
            </w:pPr>
            <w:r>
              <w:rPr>
                <w:rFonts w:hint="eastAsia" w:ascii="微软雅黑" w:hAnsi="微软雅黑" w:eastAsia="微软雅黑" w:cs="微软雅黑"/>
                <w:color w:val="000000"/>
                <w:sz w:val="20"/>
                <w:szCs w:val="20"/>
              </w:rPr>
              <w:t>4</w:t>
            </w:r>
          </w:p>
        </w:tc>
        <w:tc>
          <w:tcPr>
            <w:tcW w:w="724" w:type="pct"/>
            <w:vMerge w:val="restart"/>
            <w:tcBorders>
              <w:top w:val="single" w:color="000000" w:sz="4" w:space="0"/>
              <w:left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rPr>
                <w:sz w:val="18"/>
                <w:szCs w:val="18"/>
              </w:rPr>
            </w:pPr>
            <w:r>
              <w:rPr>
                <w:rFonts w:hint="eastAsia" w:ascii="微软雅黑" w:hAnsi="微软雅黑" w:eastAsia="微软雅黑" w:cs="微软雅黑"/>
                <w:color w:val="000000"/>
                <w:sz w:val="20"/>
                <w:szCs w:val="20"/>
              </w:rPr>
              <w:t>自有牵引车数量</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rPr>
              <w:t>10-20台</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rPr>
              <w:t>15分</w:t>
            </w:r>
          </w:p>
        </w:tc>
        <w:tc>
          <w:tcPr>
            <w:tcW w:w="402" w:type="pct"/>
            <w:vMerge w:val="restart"/>
            <w:tcBorders>
              <w:top w:val="single" w:color="000000" w:sz="4" w:space="0"/>
              <w:left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30</w:t>
            </w:r>
          </w:p>
        </w:tc>
        <w:tc>
          <w:tcPr>
            <w:tcW w:w="1460" w:type="pct"/>
            <w:vMerge w:val="restart"/>
            <w:tcBorders>
              <w:top w:val="single" w:color="000000" w:sz="4" w:space="0"/>
              <w:left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rPr>
                <w:sz w:val="18"/>
                <w:szCs w:val="18"/>
              </w:rPr>
            </w:pPr>
            <w:r>
              <w:rPr>
                <w:rFonts w:hint="eastAsia" w:ascii="微软雅黑" w:hAnsi="微软雅黑" w:eastAsia="微软雅黑" w:cs="微软雅黑"/>
                <w:color w:val="000000"/>
                <w:sz w:val="20"/>
                <w:szCs w:val="20"/>
              </w:rPr>
              <w:t>以车辆行驶证为准，自有车辆不足20的，需承诺补齐。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blCellSpacing w:w="0" w:type="dxa"/>
        </w:trPr>
        <w:tc>
          <w:tcPr>
            <w:tcW w:w="345" w:type="pct"/>
            <w:vMerge w:val="continue"/>
            <w:tcBorders>
              <w:left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rPr>
                <w:sz w:val="18"/>
                <w:szCs w:val="18"/>
              </w:rPr>
            </w:pPr>
          </w:p>
        </w:tc>
        <w:tc>
          <w:tcPr>
            <w:tcW w:w="724" w:type="pct"/>
            <w:vMerge w:val="continue"/>
            <w:tcBorders>
              <w:left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rPr>
                <w:sz w:val="18"/>
                <w:szCs w:val="18"/>
              </w:rPr>
            </w:pP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20台以上</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30分</w:t>
            </w:r>
          </w:p>
        </w:tc>
        <w:tc>
          <w:tcPr>
            <w:tcW w:w="402" w:type="pct"/>
            <w:vMerge w:val="continue"/>
            <w:tcBorders>
              <w:left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p>
        </w:tc>
        <w:tc>
          <w:tcPr>
            <w:tcW w:w="1460" w:type="pct"/>
            <w:vMerge w:val="continue"/>
            <w:tcBorders>
              <w:left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blCellSpacing w:w="0" w:type="dxa"/>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69"/>
              <w:keepNext w:val="0"/>
              <w:keepLines w:val="0"/>
              <w:widowControl/>
              <w:suppressLineNumbers w:val="0"/>
              <w:rPr>
                <w:sz w:val="18"/>
                <w:szCs w:val="18"/>
              </w:rPr>
            </w:pPr>
            <w:r>
              <w:rPr>
                <w:rFonts w:hint="eastAsia" w:ascii="微软雅黑" w:hAnsi="微软雅黑" w:eastAsia="微软雅黑" w:cs="微软雅黑"/>
                <w:color w:val="000000"/>
                <w:sz w:val="20"/>
                <w:szCs w:val="20"/>
              </w:rPr>
              <w:t>5</w:t>
            </w:r>
          </w:p>
        </w:tc>
        <w:tc>
          <w:tcPr>
            <w:tcW w:w="724" w:type="pct"/>
            <w:vMerge w:val="restar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69"/>
              <w:keepNext w:val="0"/>
              <w:keepLines w:val="0"/>
              <w:widowControl/>
              <w:suppressLineNumbers w:val="0"/>
              <w:rPr>
                <w:rFonts w:hint="default" w:eastAsia="宋体"/>
                <w:sz w:val="18"/>
                <w:szCs w:val="18"/>
                <w:lang w:val="en-US" w:eastAsia="zh-CN"/>
              </w:rPr>
            </w:pPr>
            <w:r>
              <w:rPr>
                <w:rFonts w:hint="default" w:ascii="微软雅黑" w:hAnsi="微软雅黑" w:eastAsia="微软雅黑" w:cs="微软雅黑"/>
                <w:color w:val="000000"/>
                <w:sz w:val="20"/>
                <w:szCs w:val="20"/>
                <w:lang w:val="en-US" w:eastAsia="zh-CN"/>
              </w:rPr>
              <w:t>与重汽合作年限</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无</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0分</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10</w:t>
            </w:r>
          </w:p>
        </w:tc>
        <w:tc>
          <w:tcPr>
            <w:tcW w:w="1460" w:type="pct"/>
            <w:vMerge w:val="restar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lang w:val="en-US" w:eastAsia="zh-CN"/>
              </w:rPr>
              <w:t>提供各年度发运合同或者发票复印件，不足一年按一年计算。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blCellSpacing w:w="0" w:type="dxa"/>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rPr>
                <w:rFonts w:hint="eastAsia" w:ascii="宋体"/>
                <w:sz w:val="18"/>
                <w:szCs w:val="18"/>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rPr>
                <w:rFonts w:hint="eastAsia" w:ascii="宋体"/>
                <w:sz w:val="18"/>
                <w:szCs w:val="18"/>
              </w:rPr>
            </w:pP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1年</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5分</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jc w:val="center"/>
              <w:rPr>
                <w:rFonts w:hint="eastAsia" w:ascii="宋体"/>
                <w:sz w:val="18"/>
                <w:szCs w:val="18"/>
              </w:rPr>
            </w:pPr>
          </w:p>
        </w:tc>
        <w:tc>
          <w:tcPr>
            <w:tcW w:w="1460" w:type="pct"/>
            <w:vMerge w:val="continue"/>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blCellSpacing w:w="0" w:type="dxa"/>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rPr>
                <w:rFonts w:hint="eastAsia" w:ascii="宋体"/>
                <w:sz w:val="18"/>
                <w:szCs w:val="18"/>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rPr>
                <w:rFonts w:hint="eastAsia" w:ascii="宋体"/>
                <w:sz w:val="18"/>
                <w:szCs w:val="18"/>
              </w:rPr>
            </w:pP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连续2年及以上</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0"/>
                <w:szCs w:val="20"/>
              </w:rPr>
              <w:t>10分</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jc w:val="center"/>
              <w:rPr>
                <w:rFonts w:hint="eastAsia" w:ascii="宋体"/>
                <w:sz w:val="18"/>
                <w:szCs w:val="18"/>
              </w:rPr>
            </w:pPr>
          </w:p>
        </w:tc>
        <w:tc>
          <w:tcPr>
            <w:tcW w:w="1460" w:type="pct"/>
            <w:vMerge w:val="continue"/>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blCellSpacing w:w="0" w:type="dxa"/>
        </w:trPr>
        <w:tc>
          <w:tcPr>
            <w:tcW w:w="2719" w:type="pct"/>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rPr>
                <w:sz w:val="18"/>
                <w:szCs w:val="18"/>
              </w:rPr>
            </w:pPr>
            <w:r>
              <w:rPr>
                <w:rFonts w:hint="eastAsia" w:ascii="微软雅黑" w:hAnsi="微软雅黑" w:eastAsia="微软雅黑" w:cs="微软雅黑"/>
                <w:b/>
                <w:bCs/>
                <w:color w:val="000000"/>
                <w:sz w:val="20"/>
                <w:szCs w:val="20"/>
              </w:rPr>
              <w:t>合计</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b/>
                <w:bCs/>
                <w:color w:val="000000"/>
                <w:sz w:val="20"/>
                <w:szCs w:val="20"/>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jc w:val="center"/>
              <w:rPr>
                <w:sz w:val="18"/>
                <w:szCs w:val="18"/>
              </w:rPr>
            </w:pPr>
            <w:r>
              <w:rPr>
                <w:rFonts w:hint="eastAsia" w:ascii="微软雅黑" w:hAnsi="微软雅黑" w:eastAsia="微软雅黑" w:cs="微软雅黑"/>
                <w:b/>
                <w:bCs/>
                <w:color w:val="000000"/>
                <w:sz w:val="20"/>
                <w:szCs w:val="20"/>
              </w:rPr>
              <w:t>100</w:t>
            </w:r>
          </w:p>
        </w:tc>
        <w:tc>
          <w:tcPr>
            <w:tcW w:w="1460"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69"/>
              <w:keepNext w:val="0"/>
              <w:keepLines w:val="0"/>
              <w:widowControl/>
              <w:suppressLineNumbers w:val="0"/>
              <w:rPr>
                <w:sz w:val="18"/>
                <w:szCs w:val="18"/>
              </w:rPr>
            </w:pPr>
          </w:p>
        </w:tc>
      </w:tr>
    </w:tbl>
    <w:p>
      <w:pPr>
        <w:spacing w:line="360" w:lineRule="auto"/>
        <w:ind w:firstLine="482" w:firstLineChars="200"/>
        <w:rPr>
          <w:rFonts w:ascii="宋体" w:hAnsi="宋体"/>
          <w:b/>
          <w:bCs/>
          <w:sz w:val="24"/>
          <w:szCs w:val="24"/>
        </w:rPr>
      </w:pPr>
      <w:r>
        <w:rPr>
          <w:rFonts w:hint="eastAsia" w:ascii="宋体" w:hAnsi="宋体"/>
          <w:b/>
          <w:bCs/>
          <w:sz w:val="24"/>
          <w:szCs w:val="24"/>
        </w:rPr>
        <w:t>注：</w:t>
      </w:r>
    </w:p>
    <w:p>
      <w:pPr>
        <w:spacing w:line="360" w:lineRule="auto"/>
        <w:ind w:firstLine="482"/>
        <w:rPr>
          <w:rFonts w:ascii="宋体" w:hAnsi="宋体" w:cs="宋体"/>
          <w:kern w:val="0"/>
          <w:sz w:val="24"/>
        </w:rPr>
      </w:pPr>
      <w:r>
        <w:rPr>
          <w:rFonts w:hint="eastAsia" w:ascii="宋体" w:hAnsi="宋体"/>
          <w:bCs/>
          <w:sz w:val="24"/>
          <w:szCs w:val="24"/>
        </w:rPr>
        <w:t>1</w:t>
      </w:r>
      <w:r>
        <w:rPr>
          <w:rFonts w:hint="eastAsia" w:ascii="宋体" w:hAnsi="宋体"/>
          <w:bCs/>
          <w:sz w:val="24"/>
          <w:szCs w:val="24"/>
          <w:lang w:eastAsia="zh-CN"/>
        </w:rPr>
        <w:t>.</w:t>
      </w:r>
      <w:r>
        <w:rPr>
          <w:rFonts w:hint="eastAsia" w:ascii="宋体" w:hAnsi="宋体" w:cs="宋体"/>
          <w:kern w:val="0"/>
          <w:sz w:val="24"/>
        </w:rPr>
        <w:t>投标人综合评审最终得分小数点后保留</w:t>
      </w:r>
      <w:r>
        <w:rPr>
          <w:rFonts w:hint="eastAsia" w:ascii="宋体" w:hAnsi="宋体" w:cs="宋体"/>
          <w:kern w:val="0"/>
          <w:sz w:val="24"/>
          <w:lang w:val="en-US" w:eastAsia="zh-CN"/>
        </w:rPr>
        <w:t>1</w:t>
      </w:r>
      <w:r>
        <w:rPr>
          <w:rFonts w:hint="eastAsia" w:ascii="宋体" w:hAnsi="宋体" w:cs="宋体"/>
          <w:kern w:val="0"/>
          <w:sz w:val="24"/>
        </w:rPr>
        <w:t>位有效数字，</w:t>
      </w:r>
      <w:r>
        <w:rPr>
          <w:rFonts w:hint="eastAsia" w:ascii="宋体" w:hAnsi="宋体" w:cs="宋体"/>
          <w:sz w:val="24"/>
          <w:szCs w:val="24"/>
        </w:rPr>
        <w:t>第</w:t>
      </w:r>
      <w:r>
        <w:rPr>
          <w:rFonts w:hint="eastAsia" w:ascii="宋体" w:hAnsi="宋体" w:cs="宋体"/>
          <w:sz w:val="24"/>
          <w:szCs w:val="24"/>
          <w:lang w:val="en-US" w:eastAsia="zh-CN"/>
        </w:rPr>
        <w:t>2</w:t>
      </w:r>
      <w:r>
        <w:rPr>
          <w:rFonts w:hint="eastAsia" w:ascii="宋体" w:hAnsi="宋体" w:cs="宋体"/>
          <w:sz w:val="24"/>
          <w:szCs w:val="24"/>
        </w:rPr>
        <w:t>位四舍五入</w:t>
      </w:r>
      <w:r>
        <w:rPr>
          <w:rFonts w:hint="eastAsia" w:ascii="宋体" w:hAnsi="宋体" w:cs="宋体"/>
          <w:kern w:val="0"/>
          <w:sz w:val="24"/>
        </w:rPr>
        <w:t>。</w:t>
      </w:r>
    </w:p>
    <w:p>
      <w:pPr>
        <w:spacing w:line="360" w:lineRule="auto"/>
        <w:ind w:firstLine="482"/>
        <w:rPr>
          <w:sz w:val="24"/>
          <w:szCs w:val="24"/>
        </w:rPr>
      </w:pPr>
      <w:r>
        <w:rPr>
          <w:rFonts w:hint="eastAsia"/>
          <w:sz w:val="24"/>
          <w:szCs w:val="24"/>
        </w:rPr>
        <w:t>2</w:t>
      </w:r>
      <w:r>
        <w:rPr>
          <w:rFonts w:hint="eastAsia"/>
          <w:sz w:val="24"/>
          <w:szCs w:val="24"/>
          <w:lang w:eastAsia="zh-CN"/>
        </w:rPr>
        <w:t>.</w:t>
      </w:r>
      <w:r>
        <w:rPr>
          <w:rFonts w:hint="eastAsia"/>
          <w:sz w:val="24"/>
          <w:szCs w:val="24"/>
        </w:rPr>
        <w:t>出现下列情形</w:t>
      </w:r>
      <w:r>
        <w:rPr>
          <w:rFonts w:hint="eastAsia" w:ascii="宋体" w:hAnsi="宋体" w:cs="宋体"/>
          <w:kern w:val="0"/>
          <w:sz w:val="24"/>
          <w:szCs w:val="24"/>
        </w:rPr>
        <w:t>之一</w:t>
      </w:r>
      <w:r>
        <w:rPr>
          <w:rFonts w:hint="eastAsia"/>
          <w:sz w:val="24"/>
          <w:szCs w:val="24"/>
        </w:rPr>
        <w:t>，招标人有权否决所有投标人的投标，并终止招标。</w:t>
      </w:r>
    </w:p>
    <w:p>
      <w:pPr>
        <w:pStyle w:val="337"/>
        <w:ind w:firstLine="482" w:firstLineChars="0"/>
        <w:rPr>
          <w:b/>
        </w:rPr>
      </w:pPr>
      <w:r>
        <w:rPr>
          <w:rFonts w:hint="eastAsia"/>
        </w:rPr>
        <w:t>（1）符合条件的投标人或者对招标文件做实质响应的投标人不足三家的。</w:t>
      </w:r>
    </w:p>
    <w:p>
      <w:pPr>
        <w:pStyle w:val="337"/>
        <w:ind w:firstLine="482" w:firstLineChars="0"/>
      </w:pPr>
      <w:r>
        <w:rPr>
          <w:rFonts w:hint="eastAsia"/>
        </w:rPr>
        <w:t>（2）出现影响采购公正的违法、违规行为的；</w:t>
      </w:r>
    </w:p>
    <w:p>
      <w:pPr>
        <w:pStyle w:val="337"/>
        <w:ind w:firstLine="482" w:firstLineChars="0"/>
      </w:pPr>
      <w:r>
        <w:rPr>
          <w:rFonts w:hint="eastAsia"/>
        </w:rPr>
        <w:t>（3）因重大变故，采购任务取消的；</w:t>
      </w:r>
    </w:p>
    <w:p>
      <w:pPr>
        <w:pStyle w:val="337"/>
        <w:ind w:firstLine="482" w:firstLineChars="0"/>
        <w:rPr>
          <w:rFonts w:hAnsi="Courier New"/>
        </w:rPr>
      </w:pPr>
      <w:r>
        <w:rPr>
          <w:rFonts w:hint="eastAsia" w:hAnsi="Courier New"/>
        </w:rPr>
        <w:t>（4）评标委员会经评审，认为所有投标都不符合招标文件要求的。</w:t>
      </w:r>
    </w:p>
    <w:p>
      <w:pPr>
        <w:pStyle w:val="337"/>
        <w:ind w:firstLine="482" w:firstLineChars="0"/>
      </w:pPr>
      <w:r>
        <w:rPr>
          <w:rFonts w:hint="eastAsia"/>
        </w:rPr>
        <w:t>（5）招标人认为其他应终止招标的情形。</w:t>
      </w:r>
    </w:p>
    <w:p>
      <w:pPr>
        <w:spacing w:line="360" w:lineRule="auto"/>
        <w:ind w:firstLine="482"/>
        <w:rPr>
          <w:rFonts w:hint="eastAsia"/>
          <w:kern w:val="2"/>
          <w:sz w:val="24"/>
          <w:szCs w:val="24"/>
        </w:rPr>
      </w:pPr>
      <w:r>
        <w:rPr>
          <w:rFonts w:hint="eastAsia"/>
          <w:kern w:val="2"/>
          <w:sz w:val="24"/>
          <w:szCs w:val="24"/>
          <w:lang w:val="en-US" w:eastAsia="zh-CN"/>
        </w:rPr>
        <w:t>3.</w:t>
      </w:r>
      <w:r>
        <w:rPr>
          <w:rFonts w:hint="eastAsia"/>
          <w:kern w:val="2"/>
          <w:sz w:val="24"/>
          <w:szCs w:val="24"/>
        </w:rPr>
        <w:t>解释权</w:t>
      </w:r>
    </w:p>
    <w:p>
      <w:pPr>
        <w:spacing w:line="360" w:lineRule="auto"/>
        <w:ind w:firstLine="482" w:firstLineChars="0"/>
        <w:rPr>
          <w:rFonts w:hint="eastAsia"/>
          <w:sz w:val="24"/>
          <w:szCs w:val="24"/>
        </w:rPr>
      </w:pPr>
      <w:r>
        <w:rPr>
          <w:rFonts w:hint="eastAsia"/>
          <w:sz w:val="24"/>
          <w:szCs w:val="24"/>
        </w:rPr>
        <w:t>本招标文件的最终解释权归招标人，当对一个问题有多种解释时以招标人的书面解释为准。招标文件未做须知明示，而又有相关法律、法规规定的，招标人对此所做解释以相关的法律、法规规定为依据。</w:t>
      </w:r>
    </w:p>
    <w:p>
      <w:pPr>
        <w:pStyle w:val="72"/>
        <w:ind w:left="420"/>
        <w:rPr>
          <w:rFonts w:hint="eastAsia" w:ascii="黑体" w:hAnsi="黑体" w:eastAsia="黑体" w:cs="黑体"/>
          <w:sz w:val="40"/>
          <w:szCs w:val="40"/>
        </w:rPr>
      </w:pPr>
      <w:bookmarkStart w:id="280" w:name="_Toc12492"/>
      <w:bookmarkStart w:id="281" w:name="_Toc142749695"/>
      <w:r>
        <w:rPr>
          <w:rFonts w:hint="eastAsia" w:ascii="黑体" w:hAnsi="黑体" w:eastAsia="黑体" w:cs="黑体"/>
          <w:sz w:val="40"/>
          <w:szCs w:val="40"/>
        </w:rPr>
        <w:t>合同签订</w:t>
      </w:r>
      <w:bookmarkEnd w:id="280"/>
      <w:bookmarkEnd w:id="281"/>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eastAsia="zh-CN"/>
        </w:rPr>
        <w:t>.</w:t>
      </w:r>
      <w:r>
        <w:rPr>
          <w:rFonts w:hint="eastAsia" w:ascii="宋体" w:hAnsi="宋体" w:cs="宋体"/>
          <w:color w:val="000000"/>
          <w:sz w:val="24"/>
          <w:szCs w:val="24"/>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eastAsia="zh-CN"/>
        </w:rPr>
        <w:t>.</w:t>
      </w:r>
      <w:r>
        <w:rPr>
          <w:rFonts w:hint="eastAsia" w:ascii="宋体" w:hAnsi="宋体" w:cs="宋体"/>
          <w:color w:val="000000"/>
          <w:sz w:val="24"/>
          <w:szCs w:val="24"/>
        </w:rPr>
        <w:t>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eastAsia="zh-CN"/>
        </w:rPr>
        <w:t>.</w:t>
      </w:r>
      <w:r>
        <w:rPr>
          <w:rFonts w:hint="eastAsia" w:ascii="宋体" w:hAnsi="宋体" w:cs="宋体"/>
          <w:color w:val="000000"/>
          <w:sz w:val="24"/>
          <w:szCs w:val="24"/>
        </w:rPr>
        <w:t>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w:t>
      </w:r>
      <w:r>
        <w:rPr>
          <w:rFonts w:hint="eastAsia" w:ascii="宋体" w:hAnsi="宋体" w:cs="宋体"/>
          <w:color w:val="000000"/>
          <w:sz w:val="24"/>
          <w:szCs w:val="24"/>
          <w:lang w:eastAsia="zh-CN"/>
        </w:rPr>
        <w:t>.</w:t>
      </w:r>
      <w:r>
        <w:rPr>
          <w:rFonts w:hint="eastAsia" w:ascii="宋体" w:hAnsi="宋体" w:cs="宋体"/>
          <w:color w:val="000000"/>
          <w:sz w:val="24"/>
          <w:szCs w:val="24"/>
        </w:rPr>
        <w:t>中标人应在保证质量的前提下完成中标项目，不得将中标项目转包或分包给他人，否则视为违约，招标人或相关单位有权解除合同。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color w:val="000000"/>
          <w:sz w:val="24"/>
          <w:szCs w:val="24"/>
          <w:lang w:eastAsia="zh-CN"/>
        </w:rPr>
        <w:t>.</w:t>
      </w:r>
      <w:r>
        <w:rPr>
          <w:rFonts w:hint="eastAsia" w:ascii="宋体" w:hAnsi="宋体" w:cs="宋体"/>
          <w:color w:val="000000"/>
          <w:sz w:val="24"/>
          <w:szCs w:val="24"/>
        </w:rPr>
        <w:t>中标人由于履行义务的能力或信用有严重缺陷，招标人有权取消其中标资格，招标人将从剩余投标人中依序重新确定中标人，或重新组织招标。</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eastAsia="zh-CN"/>
        </w:rPr>
        <w:t>.</w:t>
      </w:r>
      <w:r>
        <w:rPr>
          <w:rFonts w:hint="eastAsia" w:ascii="宋体" w:hAnsi="宋体" w:cs="宋体"/>
          <w:color w:val="000000"/>
          <w:sz w:val="24"/>
          <w:szCs w:val="24"/>
        </w:rPr>
        <w:t>招标人有权指定招标人的关联单位作为合同签订人，与中标人签署相关合同，且具体权利义务以双方最终签署的合同为准。</w:t>
      </w:r>
    </w:p>
    <w:p>
      <w:pPr>
        <w:spacing w:line="360" w:lineRule="auto"/>
        <w:ind w:firstLine="480" w:firstLineChars="200"/>
        <w:rPr>
          <w:rFonts w:ascii="宋体" w:hAnsi="宋体"/>
          <w:color w:val="000000"/>
          <w:sz w:val="24"/>
          <w:szCs w:val="24"/>
          <w:highlight w:val="none"/>
        </w:rPr>
      </w:pPr>
      <w:r>
        <w:rPr>
          <w:rFonts w:hint="eastAsia" w:ascii="宋体" w:hAnsi="宋体" w:cs="宋体"/>
          <w:color w:val="000000"/>
          <w:sz w:val="24"/>
          <w:szCs w:val="24"/>
        </w:rPr>
        <w:t>7</w:t>
      </w:r>
      <w:r>
        <w:rPr>
          <w:rFonts w:hint="eastAsia" w:ascii="宋体" w:hAnsi="宋体" w:cs="宋体"/>
          <w:color w:val="000000"/>
          <w:sz w:val="24"/>
          <w:szCs w:val="24"/>
          <w:lang w:eastAsia="zh-CN"/>
        </w:rPr>
        <w:t>.</w:t>
      </w:r>
      <w:r>
        <w:rPr>
          <w:rFonts w:hint="eastAsia" w:ascii="宋体" w:hAnsi="宋体" w:cs="宋体"/>
          <w:color w:val="000000"/>
          <w:sz w:val="24"/>
          <w:szCs w:val="24"/>
          <w:highlight w:val="none"/>
        </w:rPr>
        <w:t>中标人须认可由于招标人上级集团公司政策变化引起的合同签订前终止项目的要求。</w:t>
      </w:r>
    </w:p>
    <w:p>
      <w:pPr>
        <w:spacing w:line="360" w:lineRule="auto"/>
        <w:ind w:firstLine="482" w:firstLineChars="0"/>
        <w:rPr>
          <w:rFonts w:hint="eastAsia"/>
        </w:rPr>
      </w:pPr>
      <w:r>
        <w:br w:type="page"/>
      </w:r>
      <w:bookmarkEnd w:id="237"/>
      <w:bookmarkEnd w:id="238"/>
      <w:bookmarkStart w:id="282" w:name="_Toc31101"/>
      <w:bookmarkStart w:id="283" w:name="_Toc28039"/>
    </w:p>
    <w:p>
      <w:pPr>
        <w:pStyle w:val="2"/>
        <w:ind w:left="0" w:leftChars="0" w:firstLine="0" w:firstLineChars="0"/>
        <w:rPr>
          <w:rFonts w:hint="eastAsia" w:ascii="黑体" w:hAnsi="黑体" w:eastAsia="黑体" w:cs="黑体"/>
          <w:b w:val="0"/>
          <w:bCs/>
          <w:kern w:val="0"/>
          <w:sz w:val="32"/>
          <w:szCs w:val="32"/>
          <w:lang w:val="en-US" w:eastAsia="zh-CN" w:bidi="ar-SA"/>
        </w:rPr>
      </w:pPr>
      <w:bookmarkStart w:id="284" w:name="_Toc25204"/>
      <w:bookmarkStart w:id="285" w:name="_Toc31217"/>
      <w:bookmarkStart w:id="286" w:name="_Toc30169"/>
      <w:bookmarkStart w:id="287" w:name="_Toc12793"/>
      <w:bookmarkStart w:id="288" w:name="_Toc19812"/>
      <w:bookmarkStart w:id="289" w:name="_Toc23435"/>
      <w:bookmarkStart w:id="290" w:name="_Toc30104"/>
      <w:r>
        <w:rPr>
          <w:rStyle w:val="144"/>
          <w:rFonts w:hint="eastAsia" w:ascii="黑体" w:hAnsi="黑体" w:eastAsia="黑体" w:cs="黑体"/>
          <w:kern w:val="0"/>
          <w:sz w:val="32"/>
          <w:szCs w:val="32"/>
          <w:lang w:val="en-US" w:eastAsia="zh-CN" w:bidi="ar-SA"/>
        </w:rPr>
        <w:t>附件2：开标一览表</w:t>
      </w:r>
      <w:bookmarkEnd w:id="284"/>
      <w:bookmarkEnd w:id="285"/>
      <w:bookmarkEnd w:id="286"/>
      <w:bookmarkEnd w:id="287"/>
      <w:bookmarkEnd w:id="288"/>
      <w:bookmarkEnd w:id="289"/>
      <w:bookmarkEnd w:id="290"/>
    </w:p>
    <w:tbl>
      <w:tblPr>
        <w:tblStyle w:val="76"/>
        <w:tblW w:w="931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655"/>
        <w:gridCol w:w="1127"/>
        <w:gridCol w:w="691"/>
        <w:gridCol w:w="719"/>
        <w:gridCol w:w="826"/>
        <w:gridCol w:w="708"/>
        <w:gridCol w:w="893"/>
        <w:gridCol w:w="767"/>
        <w:gridCol w:w="933"/>
        <w:gridCol w:w="738"/>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C00000"/>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序号</w:t>
            </w:r>
          </w:p>
        </w:tc>
        <w:tc>
          <w:tcPr>
            <w:tcW w:w="655" w:type="dxa"/>
            <w:vMerge w:val="restart"/>
            <w:tcBorders>
              <w:top w:val="single" w:color="000000" w:sz="4" w:space="0"/>
              <w:left w:val="single" w:color="000000" w:sz="4" w:space="0"/>
              <w:bottom w:val="nil"/>
              <w:right w:val="single" w:color="000000" w:sz="4" w:space="0"/>
            </w:tcBorders>
            <w:shd w:val="clear" w:color="auto" w:fill="C000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包次</w:t>
            </w:r>
          </w:p>
        </w:tc>
        <w:tc>
          <w:tcPr>
            <w:tcW w:w="1127" w:type="dxa"/>
            <w:vMerge w:val="restart"/>
            <w:tcBorders>
              <w:top w:val="single" w:color="000000" w:sz="4" w:space="0"/>
              <w:left w:val="single" w:color="000000" w:sz="4" w:space="0"/>
              <w:bottom w:val="nil"/>
              <w:right w:val="single" w:color="000000" w:sz="4" w:space="0"/>
            </w:tcBorders>
            <w:shd w:val="clear" w:color="auto" w:fill="C000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尺寸</w:t>
            </w:r>
          </w:p>
        </w:tc>
        <w:tc>
          <w:tcPr>
            <w:tcW w:w="691" w:type="dxa"/>
            <w:vMerge w:val="restart"/>
            <w:tcBorders>
              <w:top w:val="single" w:color="000000" w:sz="4" w:space="0"/>
              <w:left w:val="single" w:color="000000" w:sz="4" w:space="0"/>
              <w:bottom w:val="nil"/>
              <w:right w:val="single" w:color="000000" w:sz="4" w:space="0"/>
            </w:tcBorders>
            <w:shd w:val="clear" w:color="auto" w:fill="C000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板车类型</w:t>
            </w:r>
          </w:p>
        </w:tc>
        <w:tc>
          <w:tcPr>
            <w:tcW w:w="719" w:type="dxa"/>
            <w:vMerge w:val="restart"/>
            <w:tcBorders>
              <w:top w:val="single" w:color="000000" w:sz="4" w:space="0"/>
              <w:left w:val="single" w:color="000000" w:sz="4" w:space="0"/>
              <w:bottom w:val="nil"/>
              <w:right w:val="single" w:color="000000" w:sz="4" w:space="0"/>
            </w:tcBorders>
            <w:shd w:val="clear" w:color="auto" w:fill="C000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车型</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C000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运距（KM）</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C000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占比</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C0000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预估业务量（万元）</w:t>
            </w:r>
            <w:r>
              <w:rPr>
                <w:rFonts w:hint="eastAsia" w:ascii="微软雅黑" w:hAnsi="微软雅黑" w:eastAsia="微软雅黑" w:cs="微软雅黑"/>
                <w:b/>
                <w:bCs/>
                <w:i w:val="0"/>
                <w:iCs w:val="0"/>
                <w:color w:val="FFFFFF"/>
                <w:kern w:val="0"/>
                <w:sz w:val="18"/>
                <w:szCs w:val="18"/>
                <w:u w:val="none"/>
                <w:lang w:val="en-US" w:eastAsia="zh-CN" w:bidi="ar"/>
              </w:rPr>
              <w:br w:type="textWrapping"/>
            </w:r>
            <w:r>
              <w:rPr>
                <w:rFonts w:hint="eastAsia" w:ascii="微软雅黑" w:hAnsi="微软雅黑" w:eastAsia="微软雅黑" w:cs="微软雅黑"/>
                <w:b/>
                <w:bCs/>
                <w:i w:val="0"/>
                <w:iCs w:val="0"/>
                <w:color w:val="FFFFFF"/>
                <w:kern w:val="0"/>
                <w:sz w:val="18"/>
                <w:szCs w:val="18"/>
                <w:u w:val="none"/>
                <w:lang w:val="en-US" w:eastAsia="zh-CN" w:bidi="ar"/>
              </w:rPr>
              <w:t>未税</w:t>
            </w:r>
          </w:p>
        </w:tc>
        <w:tc>
          <w:tcPr>
            <w:tcW w:w="3197" w:type="dxa"/>
            <w:gridSpan w:val="4"/>
            <w:tcBorders>
              <w:top w:val="nil"/>
              <w:left w:val="single" w:color="000000" w:sz="4" w:space="0"/>
              <w:bottom w:val="nil"/>
              <w:right w:val="nil"/>
            </w:tcBorders>
            <w:shd w:val="clear" w:color="auto" w:fill="C0000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C00000"/>
            <w:noWrap/>
            <w:vAlign w:val="center"/>
          </w:tcPr>
          <w:p>
            <w:pPr>
              <w:jc w:val="center"/>
              <w:rPr>
                <w:rFonts w:hint="eastAsia" w:ascii="微软雅黑" w:hAnsi="微软雅黑" w:eastAsia="微软雅黑" w:cs="微软雅黑"/>
                <w:b/>
                <w:bCs/>
                <w:i w:val="0"/>
                <w:iCs w:val="0"/>
                <w:color w:val="FFFFFF"/>
                <w:sz w:val="18"/>
                <w:szCs w:val="18"/>
                <w:u w:val="none"/>
              </w:rPr>
            </w:pPr>
          </w:p>
        </w:tc>
        <w:tc>
          <w:tcPr>
            <w:tcW w:w="655" w:type="dxa"/>
            <w:vMerge w:val="continue"/>
            <w:tcBorders>
              <w:top w:val="single" w:color="000000" w:sz="4" w:space="0"/>
              <w:left w:val="single" w:color="000000" w:sz="4" w:space="0"/>
              <w:bottom w:val="nil"/>
              <w:right w:val="single" w:color="000000" w:sz="4" w:space="0"/>
            </w:tcBorders>
            <w:shd w:val="clear" w:color="auto" w:fill="C00000"/>
            <w:noWrap/>
            <w:vAlign w:val="center"/>
          </w:tcPr>
          <w:p>
            <w:pPr>
              <w:jc w:val="center"/>
              <w:rPr>
                <w:rFonts w:hint="eastAsia" w:ascii="微软雅黑" w:hAnsi="微软雅黑" w:eastAsia="微软雅黑" w:cs="微软雅黑"/>
                <w:b/>
                <w:bCs/>
                <w:i w:val="0"/>
                <w:iCs w:val="0"/>
                <w:color w:val="FFFFFF"/>
                <w:sz w:val="18"/>
                <w:szCs w:val="18"/>
                <w:u w:val="none"/>
              </w:rPr>
            </w:pPr>
          </w:p>
        </w:tc>
        <w:tc>
          <w:tcPr>
            <w:tcW w:w="1127" w:type="dxa"/>
            <w:vMerge w:val="continue"/>
            <w:tcBorders>
              <w:top w:val="single" w:color="000000" w:sz="4" w:space="0"/>
              <w:left w:val="single" w:color="000000" w:sz="4" w:space="0"/>
              <w:bottom w:val="nil"/>
              <w:right w:val="single" w:color="000000" w:sz="4" w:space="0"/>
            </w:tcBorders>
            <w:shd w:val="clear" w:color="auto" w:fill="C00000"/>
            <w:noWrap/>
            <w:vAlign w:val="center"/>
          </w:tcPr>
          <w:p>
            <w:pPr>
              <w:jc w:val="center"/>
              <w:rPr>
                <w:rFonts w:hint="eastAsia" w:ascii="微软雅黑" w:hAnsi="微软雅黑" w:eastAsia="微软雅黑" w:cs="微软雅黑"/>
                <w:b/>
                <w:bCs/>
                <w:i w:val="0"/>
                <w:iCs w:val="0"/>
                <w:color w:val="FFFFFF"/>
                <w:sz w:val="18"/>
                <w:szCs w:val="18"/>
                <w:u w:val="none"/>
              </w:rPr>
            </w:pPr>
          </w:p>
        </w:tc>
        <w:tc>
          <w:tcPr>
            <w:tcW w:w="691" w:type="dxa"/>
            <w:vMerge w:val="continue"/>
            <w:tcBorders>
              <w:top w:val="single" w:color="000000" w:sz="4" w:space="0"/>
              <w:left w:val="single" w:color="000000" w:sz="4" w:space="0"/>
              <w:bottom w:val="nil"/>
              <w:right w:val="single" w:color="000000" w:sz="4" w:space="0"/>
            </w:tcBorders>
            <w:shd w:val="clear" w:color="auto" w:fill="C00000"/>
            <w:noWrap/>
            <w:vAlign w:val="center"/>
          </w:tcPr>
          <w:p>
            <w:pPr>
              <w:jc w:val="center"/>
              <w:rPr>
                <w:rFonts w:hint="eastAsia" w:ascii="微软雅黑" w:hAnsi="微软雅黑" w:eastAsia="微软雅黑" w:cs="微软雅黑"/>
                <w:b/>
                <w:bCs/>
                <w:i w:val="0"/>
                <w:iCs w:val="0"/>
                <w:color w:val="FFFFFF"/>
                <w:sz w:val="18"/>
                <w:szCs w:val="18"/>
                <w:u w:val="none"/>
              </w:rPr>
            </w:pPr>
          </w:p>
        </w:tc>
        <w:tc>
          <w:tcPr>
            <w:tcW w:w="719" w:type="dxa"/>
            <w:vMerge w:val="continue"/>
            <w:tcBorders>
              <w:top w:val="single" w:color="000000" w:sz="4" w:space="0"/>
              <w:left w:val="single" w:color="000000" w:sz="4" w:space="0"/>
              <w:bottom w:val="nil"/>
              <w:right w:val="single" w:color="000000" w:sz="4" w:space="0"/>
            </w:tcBorders>
            <w:shd w:val="clear" w:color="auto" w:fill="C00000"/>
            <w:noWrap/>
            <w:vAlign w:val="center"/>
          </w:tcPr>
          <w:p>
            <w:pPr>
              <w:jc w:val="center"/>
              <w:rPr>
                <w:rFonts w:hint="eastAsia" w:ascii="微软雅黑" w:hAnsi="微软雅黑" w:eastAsia="微软雅黑" w:cs="微软雅黑"/>
                <w:b/>
                <w:bCs/>
                <w:i w:val="0"/>
                <w:iCs w:val="0"/>
                <w:color w:val="FFFFFF"/>
                <w:sz w:val="18"/>
                <w:szCs w:val="18"/>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C00000"/>
            <w:noWrap/>
            <w:vAlign w:val="center"/>
          </w:tcPr>
          <w:p>
            <w:pPr>
              <w:jc w:val="center"/>
              <w:rPr>
                <w:rFonts w:hint="eastAsia" w:ascii="微软雅黑" w:hAnsi="微软雅黑" w:eastAsia="微软雅黑" w:cs="微软雅黑"/>
                <w:b/>
                <w:bCs/>
                <w:i w:val="0"/>
                <w:iCs w:val="0"/>
                <w:color w:val="FFFFFF"/>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C00000"/>
            <w:noWrap/>
            <w:vAlign w:val="center"/>
          </w:tcPr>
          <w:p>
            <w:pPr>
              <w:jc w:val="center"/>
              <w:rPr>
                <w:rFonts w:hint="eastAsia" w:ascii="微软雅黑" w:hAnsi="微软雅黑" w:eastAsia="微软雅黑" w:cs="微软雅黑"/>
                <w:b/>
                <w:bCs/>
                <w:i w:val="0"/>
                <w:iCs w:val="0"/>
                <w:color w:val="FFFFFF"/>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C00000"/>
            <w:vAlign w:val="center"/>
          </w:tcPr>
          <w:p>
            <w:pPr>
              <w:jc w:val="center"/>
              <w:rPr>
                <w:rFonts w:hint="eastAsia" w:ascii="微软雅黑" w:hAnsi="微软雅黑" w:eastAsia="微软雅黑" w:cs="微软雅黑"/>
                <w:b/>
                <w:bCs/>
                <w:i w:val="0"/>
                <w:iCs w:val="0"/>
                <w:color w:val="FFFFFF"/>
                <w:sz w:val="18"/>
                <w:szCs w:val="18"/>
                <w:u w:val="none"/>
              </w:rPr>
            </w:pPr>
          </w:p>
        </w:tc>
        <w:tc>
          <w:tcPr>
            <w:tcW w:w="767" w:type="dxa"/>
            <w:tcBorders>
              <w:top w:val="nil"/>
              <w:left w:val="single" w:color="000000" w:sz="4" w:space="0"/>
              <w:bottom w:val="single" w:color="000000" w:sz="4" w:space="0"/>
              <w:right w:val="single" w:color="000000" w:sz="4" w:space="0"/>
            </w:tcBorders>
            <w:shd w:val="clear" w:color="auto" w:fill="C0000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计划装载台数</w:t>
            </w:r>
          </w:p>
        </w:tc>
        <w:tc>
          <w:tcPr>
            <w:tcW w:w="933" w:type="dxa"/>
            <w:tcBorders>
              <w:top w:val="nil"/>
              <w:left w:val="single" w:color="000000" w:sz="4" w:space="0"/>
              <w:bottom w:val="single" w:color="000000" w:sz="4" w:space="0"/>
              <w:right w:val="single" w:color="000000" w:sz="4" w:space="0"/>
            </w:tcBorders>
            <w:shd w:val="clear" w:color="auto" w:fill="C0000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单台价格（元/公里/台）未税</w:t>
            </w:r>
          </w:p>
        </w:tc>
        <w:tc>
          <w:tcPr>
            <w:tcW w:w="738" w:type="dxa"/>
            <w:tcBorders>
              <w:top w:val="nil"/>
              <w:left w:val="single" w:color="000000" w:sz="4" w:space="0"/>
              <w:bottom w:val="single" w:color="000000" w:sz="4" w:space="0"/>
              <w:right w:val="single" w:color="000000" w:sz="4" w:space="0"/>
            </w:tcBorders>
            <w:shd w:val="clear" w:color="auto" w:fill="C0000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综合降幅</w:t>
            </w:r>
          </w:p>
        </w:tc>
        <w:tc>
          <w:tcPr>
            <w:tcW w:w="759" w:type="dxa"/>
            <w:tcBorders>
              <w:top w:val="nil"/>
              <w:left w:val="single" w:color="000000" w:sz="4" w:space="0"/>
              <w:bottom w:val="single" w:color="000000" w:sz="4" w:space="0"/>
              <w:right w:val="single" w:color="000000" w:sz="4" w:space="0"/>
            </w:tcBorders>
            <w:shd w:val="clear" w:color="auto" w:fill="C0000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整体降幅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轻卡包次</w:t>
            </w:r>
          </w:p>
        </w:tc>
        <w:tc>
          <w:tcPr>
            <w:tcW w:w="112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吨位&lt;3.5t</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长度≤6m</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17.5米</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载货/底盘</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&gt;2000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2,635 </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0.0%</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12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70%</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C9E4B4"/>
            <w:noWrap/>
            <w:vAlign w:val="center"/>
          </w:tcPr>
          <w:p>
            <w:pPr>
              <w:jc w:val="center"/>
              <w:rPr>
                <w:rFonts w:hint="eastAsia" w:ascii="微软雅黑" w:hAnsi="微软雅黑" w:eastAsia="微软雅黑" w:cs="微软雅黑"/>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C9E4B4"/>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12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17.5米</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厢车</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&gt;2000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C9E4B4"/>
            <w:noWrap/>
            <w:vAlign w:val="center"/>
          </w:tcPr>
          <w:p>
            <w:pPr>
              <w:jc w:val="center"/>
              <w:rPr>
                <w:rFonts w:hint="eastAsia" w:ascii="微软雅黑" w:hAnsi="微软雅黑" w:eastAsia="微软雅黑" w:cs="微软雅黑"/>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C9E4B4"/>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12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C9E4B4"/>
            <w:noWrap/>
            <w:vAlign w:val="center"/>
          </w:tcPr>
          <w:p>
            <w:pPr>
              <w:jc w:val="center"/>
              <w:rPr>
                <w:rFonts w:hint="eastAsia" w:ascii="微软雅黑" w:hAnsi="微软雅黑" w:eastAsia="微软雅黑" w:cs="微软雅黑"/>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C9E4B4"/>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重卡包次</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吨位≤12t</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长度≤7m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高度≤3.8m</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17.5米</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&gt;2000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34%</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6,937 </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0.0%</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C9E4B4"/>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41%</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C9E4B4"/>
            <w:noWrap/>
            <w:vAlign w:val="center"/>
          </w:tcPr>
          <w:p>
            <w:pPr>
              <w:jc w:val="center"/>
              <w:rPr>
                <w:rFonts w:hint="eastAsia" w:ascii="微软雅黑" w:hAnsi="微软雅黑" w:eastAsia="微软雅黑" w:cs="微软雅黑"/>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C9E4B4"/>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12t&lt;吨位≤15t</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7m&lt;长度≤10m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高度≤3.8m</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17.5米</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&gt;2000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C9E4B4"/>
            <w:noWrap/>
            <w:vAlign w:val="center"/>
          </w:tcPr>
          <w:p>
            <w:pPr>
              <w:jc w:val="center"/>
              <w:rPr>
                <w:rFonts w:hint="eastAsia" w:ascii="微软雅黑" w:hAnsi="微软雅黑" w:eastAsia="微软雅黑" w:cs="微软雅黑"/>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C9E4B4"/>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C9E4B4"/>
            <w:noWrap/>
            <w:vAlign w:val="center"/>
          </w:tcPr>
          <w:p>
            <w:pPr>
              <w:jc w:val="center"/>
              <w:rPr>
                <w:rFonts w:hint="eastAsia" w:ascii="微软雅黑" w:hAnsi="微软雅黑" w:eastAsia="微软雅黑" w:cs="微软雅黑"/>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C9E4B4"/>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吨位＞15t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10m＜长度≤18m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高度≤3.8m</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17.5米</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&gt;2000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C9E4B4"/>
            <w:noWrap/>
            <w:vAlign w:val="center"/>
          </w:tcPr>
          <w:p>
            <w:pPr>
              <w:jc w:val="center"/>
              <w:rPr>
                <w:rFonts w:hint="eastAsia" w:ascii="微软雅黑" w:hAnsi="微软雅黑" w:eastAsia="微软雅黑" w:cs="微软雅黑"/>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C9E4B4"/>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C9E4B4"/>
            <w:noWrap/>
            <w:vAlign w:val="center"/>
          </w:tcPr>
          <w:p>
            <w:pPr>
              <w:jc w:val="center"/>
              <w:rPr>
                <w:rFonts w:hint="eastAsia" w:ascii="微软雅黑" w:hAnsi="微软雅黑" w:eastAsia="微软雅黑" w:cs="微软雅黑"/>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C9E4B4"/>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超限包次</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1,949 </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C9E4B4"/>
            <w:noWrap/>
            <w:vAlign w:val="center"/>
          </w:tcPr>
          <w:p>
            <w:pPr>
              <w:jc w:val="center"/>
              <w:rPr>
                <w:rFonts w:hint="eastAsia" w:ascii="微软雅黑" w:hAnsi="微软雅黑" w:eastAsia="微软雅黑" w:cs="微软雅黑"/>
                <w:i w:val="0"/>
                <w:iCs w:val="0"/>
                <w:color w:val="000000"/>
                <w:sz w:val="18"/>
                <w:szCs w:val="18"/>
                <w:u w:val="none"/>
              </w:rPr>
            </w:pPr>
          </w:p>
        </w:tc>
      </w:tr>
    </w:tbl>
    <w:p>
      <w:pPr>
        <w:pStyle w:val="2"/>
      </w:pPr>
    </w:p>
    <w:p>
      <w:pPr>
        <w:pStyle w:val="2"/>
        <w:numPr>
          <w:ilvl w:val="0"/>
          <w:numId w:val="0"/>
        </w:numPr>
        <w:ind w:leftChars="0"/>
        <w:rPr>
          <w:rFonts w:hint="eastAsia"/>
          <w:sz w:val="24"/>
          <w:szCs w:val="24"/>
          <w:highlight w:val="none"/>
          <w:lang w:val="en-US" w:eastAsia="zh-CN"/>
        </w:rPr>
      </w:pPr>
      <w:r>
        <w:rPr>
          <w:rFonts w:hint="eastAsia"/>
          <w:sz w:val="24"/>
          <w:szCs w:val="24"/>
          <w:highlight w:val="none"/>
          <w:lang w:val="en-US" w:eastAsia="zh-CN"/>
        </w:rPr>
        <w:t>1.报价规则：开标一览表区分包次报价，轻卡及重卡包次需填报17.5米板车不同车型的装载台数及单台价格，超限包次直接填报降幅，标绿区域为公式计算。不同包次的其它板车类型均按相应包次降幅计算单台价格。</w:t>
      </w:r>
    </w:p>
    <w:p>
      <w:pPr>
        <w:numPr>
          <w:ilvl w:val="0"/>
          <w:numId w:val="0"/>
        </w:numPr>
        <w:rPr>
          <w:rFonts w:hint="default"/>
          <w:lang w:val="en-US" w:eastAsia="zh-CN"/>
        </w:rPr>
      </w:pPr>
      <w:r>
        <w:rPr>
          <w:rFonts w:hint="eastAsia" w:ascii="Times New Roman" w:hAnsi="Times New Roman" w:eastAsia="宋体" w:cs="Times New Roman"/>
          <w:kern w:val="0"/>
          <w:sz w:val="24"/>
          <w:szCs w:val="24"/>
          <w:highlight w:val="none"/>
          <w:lang w:val="en-US" w:eastAsia="zh-CN" w:bidi="ar-SA"/>
        </w:rPr>
        <w:t>2.计算规则：轻</w:t>
      </w:r>
      <w:r>
        <w:rPr>
          <w:rFonts w:hint="eastAsia"/>
          <w:sz w:val="24"/>
          <w:szCs w:val="24"/>
          <w:highlight w:val="none"/>
          <w:lang w:val="en-US" w:eastAsia="zh-CN"/>
        </w:rPr>
        <w:t>卡及重卡包次综合降幅按不同车型不同里程的降幅及占比计算；整体降幅按三个包次的降幅及预估业务量计算。</w:t>
      </w:r>
    </w:p>
    <w:p/>
    <w:p>
      <w:pPr>
        <w:pStyle w:val="2"/>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投标单位盖章：</w:t>
      </w:r>
      <w:r>
        <w:rPr>
          <w:rFonts w:hint="eastAsia" w:ascii="宋体" w:hAnsi="宋体" w:cs="宋体"/>
          <w:color w:val="000000"/>
          <w:kern w:val="0"/>
          <w:sz w:val="24"/>
          <w:szCs w:val="24"/>
          <w:lang w:val="en-US" w:eastAsia="zh-CN" w:bidi="ar"/>
        </w:rPr>
        <w:t xml:space="preserve">                        </w:t>
      </w:r>
      <w:r>
        <w:rPr>
          <w:rFonts w:hint="eastAsia" w:ascii="宋体" w:hAnsi="宋体" w:cs="宋体"/>
          <w:color w:val="000000"/>
          <w:kern w:val="0"/>
          <w:sz w:val="24"/>
          <w:szCs w:val="24"/>
          <w:lang w:bidi="ar"/>
        </w:rPr>
        <w:t>法定代表人/</w:t>
      </w:r>
    </w:p>
    <w:p>
      <w:pPr>
        <w:pStyle w:val="2"/>
        <w:ind w:firstLine="4800" w:firstLineChars="2000"/>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委托代理人签字签章：</w:t>
      </w:r>
    </w:p>
    <w:p>
      <w:pPr>
        <w:pStyle w:val="2"/>
        <w:rPr>
          <w:rFonts w:hint="eastAsia" w:ascii="宋体" w:hAnsi="宋体" w:eastAsia="宋体"/>
          <w:b/>
          <w:bCs/>
          <w:sz w:val="24"/>
          <w:lang w:val="en-US" w:eastAsia="zh-CN"/>
        </w:rPr>
      </w:pPr>
      <w:r>
        <w:rPr>
          <w:rFonts w:hint="eastAsia" w:ascii="宋体" w:hAnsi="宋体" w:eastAsia="宋体"/>
          <w:b/>
          <w:bCs/>
          <w:sz w:val="24"/>
          <w:lang w:val="en-US" w:eastAsia="zh-CN"/>
        </w:rPr>
        <w:t>注：</w:t>
      </w:r>
    </w:p>
    <w:p>
      <w:pPr>
        <w:pStyle w:val="2"/>
        <w:rPr>
          <w:rFonts w:hint="eastAsia" w:ascii="宋体" w:hAnsi="宋体" w:eastAsia="宋体"/>
          <w:sz w:val="24"/>
        </w:rPr>
      </w:pPr>
      <w:r>
        <w:rPr>
          <w:rFonts w:hint="eastAsia" w:ascii="宋体" w:hAnsi="宋体" w:eastAsia="宋体"/>
          <w:sz w:val="24"/>
        </w:rPr>
        <w:t>1、本表除附在投标文件中外，还应一式一份单独密封，以便唱标。</w:t>
      </w:r>
    </w:p>
    <w:p>
      <w:pPr>
        <w:ind w:firstLine="480" w:firstLineChars="200"/>
        <w:rPr>
          <w:rFonts w:hint="eastAsia" w:ascii="宋体" w:hAnsi="宋体" w:eastAsia="宋体"/>
          <w:sz w:val="24"/>
        </w:rPr>
      </w:pPr>
      <w:r>
        <w:rPr>
          <w:rFonts w:hint="eastAsia" w:ascii="宋体" w:hAnsi="宋体" w:eastAsia="宋体"/>
          <w:sz w:val="24"/>
        </w:rPr>
        <w:t>2、此表中的报价必须与相应的报价明细表中的报价一致。</w:t>
      </w:r>
    </w:p>
    <w:p>
      <w:pPr>
        <w:ind w:firstLine="480" w:firstLineChars="200"/>
        <w:rPr>
          <w:rFonts w:hint="eastAsia" w:ascii="宋体" w:hAnsi="宋体" w:eastAsia="宋体"/>
          <w:sz w:val="24"/>
        </w:rPr>
      </w:pPr>
    </w:p>
    <w:p>
      <w:pPr>
        <w:rPr>
          <w:rFonts w:hint="default"/>
          <w:lang w:val="en-US" w:eastAsia="zh-CN"/>
        </w:rPr>
      </w:pPr>
    </w:p>
    <w:p>
      <w:pPr>
        <w:pStyle w:val="4"/>
        <w:numPr>
          <w:ilvl w:val="-1"/>
          <w:numId w:val="0"/>
        </w:numPr>
        <w:ind w:left="0" w:firstLine="0"/>
        <w:rPr>
          <w:rFonts w:hint="eastAsia" w:ascii="黑体" w:hAnsi="黑体" w:eastAsia="黑体" w:cs="黑体"/>
          <w:sz w:val="40"/>
          <w:szCs w:val="40"/>
        </w:rPr>
      </w:pPr>
      <w:bookmarkStart w:id="291" w:name="_Toc31601"/>
      <w:r>
        <w:rPr>
          <w:rStyle w:val="144"/>
          <w:rFonts w:hint="eastAsia" w:ascii="黑体" w:hAnsi="黑体" w:eastAsia="黑体" w:cs="黑体"/>
          <w:b/>
          <w:kern w:val="0"/>
          <w:sz w:val="32"/>
          <w:lang w:val="en-US" w:eastAsia="zh-CN" w:bidi="ar-SA"/>
        </w:rPr>
        <w:t>附件3：  投标函</w:t>
      </w:r>
      <w:bookmarkEnd w:id="282"/>
      <w:bookmarkEnd w:id="283"/>
      <w:bookmarkEnd w:id="291"/>
    </w:p>
    <w:p>
      <w:pPr>
        <w:pStyle w:val="5"/>
        <w:numPr>
          <w:ilvl w:val="2"/>
          <w:numId w:val="0"/>
        </w:numPr>
        <w:ind w:leftChars="0" w:firstLine="281" w:firstLineChars="100"/>
        <w:jc w:val="center"/>
        <w:rPr>
          <w:b/>
          <w:bCs w:val="0"/>
          <w:color w:val="000000"/>
          <w:sz w:val="28"/>
          <w:szCs w:val="36"/>
        </w:rPr>
      </w:pPr>
      <w:bookmarkStart w:id="292" w:name="_Toc45980797"/>
      <w:bookmarkStart w:id="293" w:name="_Toc47195365"/>
      <w:r>
        <w:rPr>
          <w:rFonts w:hint="eastAsia"/>
          <w:b/>
          <w:bCs w:val="0"/>
          <w:color w:val="000000"/>
          <w:sz w:val="28"/>
          <w:szCs w:val="36"/>
        </w:rPr>
        <w:t>投标函</w:t>
      </w:r>
      <w:bookmarkEnd w:id="292"/>
      <w:bookmarkEnd w:id="293"/>
    </w:p>
    <w:p>
      <w:pPr>
        <w:spacing w:line="360" w:lineRule="auto"/>
        <w:rPr>
          <w:color w:val="000000"/>
          <w:sz w:val="22"/>
          <w:u w:val="single"/>
        </w:rPr>
      </w:pPr>
      <w:r>
        <w:rPr>
          <w:rFonts w:hint="eastAsia"/>
          <w:color w:val="000000"/>
          <w:sz w:val="22"/>
        </w:rPr>
        <w:t>致：</w:t>
      </w:r>
      <w:r>
        <w:rPr>
          <w:rFonts w:hint="eastAsia"/>
          <w:color w:val="000000"/>
          <w:sz w:val="22"/>
          <w:u w:val="single"/>
        </w:rPr>
        <w:t xml:space="preserve"> 中国重汽集团有限公司 ：  </w:t>
      </w:r>
      <w:r>
        <w:rPr>
          <w:color w:val="000000"/>
          <w:sz w:val="22"/>
          <w:u w:val="single"/>
        </w:rPr>
        <w:t xml:space="preserve"> </w:t>
      </w:r>
    </w:p>
    <w:p>
      <w:pPr>
        <w:spacing w:line="360" w:lineRule="auto"/>
        <w:ind w:firstLine="660" w:firstLineChars="300"/>
        <w:rPr>
          <w:color w:val="000000"/>
          <w:sz w:val="22"/>
        </w:rPr>
      </w:pPr>
      <w:r>
        <w:rPr>
          <w:color w:val="000000"/>
          <w:sz w:val="22"/>
        </w:rPr>
        <w:t>__________________________(</w:t>
      </w:r>
      <w:r>
        <w:rPr>
          <w:rFonts w:hint="eastAsia"/>
          <w:color w:val="000000"/>
          <w:sz w:val="22"/>
        </w:rPr>
        <w:t>投标单位全称</w:t>
      </w:r>
      <w:r>
        <w:rPr>
          <w:color w:val="000000"/>
          <w:sz w:val="22"/>
        </w:rPr>
        <w:t>)</w:t>
      </w:r>
      <w:r>
        <w:rPr>
          <w:rFonts w:hint="eastAsia"/>
          <w:color w:val="000000"/>
          <w:sz w:val="22"/>
        </w:rPr>
        <w:t>授权</w:t>
      </w:r>
      <w:r>
        <w:rPr>
          <w:color w:val="000000"/>
          <w:sz w:val="22"/>
        </w:rPr>
        <w:t>_________________ (</w:t>
      </w:r>
      <w:r>
        <w:rPr>
          <w:rFonts w:hint="eastAsia"/>
          <w:color w:val="000000"/>
          <w:sz w:val="22"/>
        </w:rPr>
        <w:t>授权代表姓名</w:t>
      </w:r>
      <w:r>
        <w:rPr>
          <w:color w:val="000000"/>
          <w:sz w:val="22"/>
        </w:rPr>
        <w:t>)____________________(</w:t>
      </w:r>
      <w:r>
        <w:rPr>
          <w:rFonts w:hint="eastAsia"/>
          <w:color w:val="000000"/>
          <w:sz w:val="22"/>
        </w:rPr>
        <w:t>职务、职称</w:t>
      </w:r>
      <w:r>
        <w:rPr>
          <w:color w:val="000000"/>
          <w:sz w:val="22"/>
        </w:rPr>
        <w:t>)</w:t>
      </w:r>
      <w:r>
        <w:rPr>
          <w:rFonts w:hint="eastAsia"/>
          <w:color w:val="000000"/>
          <w:sz w:val="22"/>
        </w:rPr>
        <w:t>为授权代表，参加贵方组织的</w:t>
      </w:r>
      <w:r>
        <w:rPr>
          <w:color w:val="000000"/>
          <w:sz w:val="22"/>
        </w:rPr>
        <w:t>________________________________(</w:t>
      </w:r>
      <w:r>
        <w:rPr>
          <w:rFonts w:hint="eastAsia"/>
          <w:color w:val="000000"/>
          <w:sz w:val="22"/>
        </w:rPr>
        <w:t>招标编号、招标项目名称</w:t>
      </w:r>
      <w:r>
        <w:rPr>
          <w:color w:val="000000"/>
          <w:sz w:val="22"/>
        </w:rPr>
        <w:t>)</w:t>
      </w:r>
      <w:r>
        <w:rPr>
          <w:rFonts w:hint="eastAsia"/>
          <w:color w:val="000000"/>
          <w:sz w:val="22"/>
        </w:rPr>
        <w:t>招标的有关活动，并对</w:t>
      </w:r>
      <w:r>
        <w:rPr>
          <w:color w:val="000000"/>
          <w:sz w:val="22"/>
        </w:rPr>
        <w:t>__________________________</w:t>
      </w:r>
      <w:r>
        <w:rPr>
          <w:rFonts w:hint="eastAsia"/>
          <w:color w:val="000000"/>
          <w:sz w:val="22"/>
        </w:rPr>
        <w:t>（货物名称）进行投标。为此：</w:t>
      </w:r>
    </w:p>
    <w:p>
      <w:pPr>
        <w:spacing w:line="360" w:lineRule="auto"/>
        <w:ind w:firstLine="440" w:firstLineChars="200"/>
        <w:rPr>
          <w:rFonts w:hint="eastAsia"/>
          <w:color w:val="000000"/>
          <w:sz w:val="22"/>
        </w:rPr>
      </w:pPr>
      <w:r>
        <w:rPr>
          <w:color w:val="000000"/>
          <w:sz w:val="22"/>
        </w:rPr>
        <w:t>1</w:t>
      </w:r>
      <w:r>
        <w:rPr>
          <w:rFonts w:hint="eastAsia"/>
          <w:color w:val="000000"/>
          <w:sz w:val="22"/>
        </w:rPr>
        <w:t>、提供投标须知规定的全部投标文件：正本</w:t>
      </w:r>
      <w:r>
        <w:rPr>
          <w:rFonts w:hint="eastAsia"/>
          <w:color w:val="000000"/>
          <w:sz w:val="22"/>
          <w:u w:val="single"/>
        </w:rPr>
        <w:t xml:space="preserve">     </w:t>
      </w:r>
      <w:r>
        <w:rPr>
          <w:rFonts w:hint="eastAsia"/>
          <w:color w:val="000000"/>
          <w:sz w:val="22"/>
        </w:rPr>
        <w:t>份，副本</w:t>
      </w:r>
      <w:r>
        <w:rPr>
          <w:rFonts w:hint="eastAsia"/>
          <w:color w:val="000000"/>
          <w:sz w:val="22"/>
          <w:u w:val="single"/>
        </w:rPr>
        <w:t xml:space="preserve">     </w:t>
      </w:r>
      <w:r>
        <w:rPr>
          <w:rFonts w:hint="eastAsia"/>
          <w:color w:val="000000"/>
          <w:sz w:val="22"/>
        </w:rPr>
        <w:t>份；</w:t>
      </w:r>
      <w:r>
        <w:rPr>
          <w:color w:val="000000"/>
          <w:sz w:val="22"/>
        </w:rPr>
        <w:t>资质证明文件</w:t>
      </w:r>
      <w:r>
        <w:rPr>
          <w:rFonts w:hint="eastAsia"/>
          <w:color w:val="000000"/>
          <w:sz w:val="22"/>
        </w:rPr>
        <w:t>1件；</w:t>
      </w:r>
    </w:p>
    <w:p>
      <w:pPr>
        <w:spacing w:line="360" w:lineRule="auto"/>
        <w:ind w:firstLine="440" w:firstLineChars="200"/>
        <w:rPr>
          <w:color w:val="000000"/>
          <w:sz w:val="22"/>
        </w:rPr>
      </w:pPr>
      <w:r>
        <w:rPr>
          <w:color w:val="000000"/>
          <w:sz w:val="22"/>
        </w:rPr>
        <w:t>2</w:t>
      </w:r>
      <w:r>
        <w:rPr>
          <w:rFonts w:hint="eastAsia"/>
          <w:color w:val="000000"/>
          <w:sz w:val="22"/>
        </w:rPr>
        <w:t>、投标货物的总投标价为</w:t>
      </w:r>
      <w:r>
        <w:rPr>
          <w:color w:val="000000"/>
          <w:sz w:val="22"/>
        </w:rPr>
        <w:t>(</w:t>
      </w:r>
      <w:r>
        <w:rPr>
          <w:rFonts w:hint="eastAsia"/>
          <w:color w:val="000000"/>
          <w:sz w:val="22"/>
        </w:rPr>
        <w:t>大写</w:t>
      </w:r>
      <w:r>
        <w:rPr>
          <w:color w:val="000000"/>
          <w:sz w:val="22"/>
        </w:rPr>
        <w:t>)</w:t>
      </w:r>
      <w:r>
        <w:rPr>
          <w:rFonts w:hint="eastAsia"/>
          <w:color w:val="000000"/>
          <w:sz w:val="22"/>
        </w:rPr>
        <w:t>：</w:t>
      </w:r>
      <w:r>
        <w:rPr>
          <w:rFonts w:hint="eastAsia"/>
          <w:color w:val="000000"/>
          <w:sz w:val="22"/>
          <w:u w:val="single"/>
        </w:rPr>
        <w:t>　　　　　　　　　　　　万</w:t>
      </w:r>
      <w:r>
        <w:rPr>
          <w:rFonts w:hint="eastAsia"/>
          <w:color w:val="000000"/>
          <w:sz w:val="22"/>
        </w:rPr>
        <w:t>元人民币。</w:t>
      </w:r>
    </w:p>
    <w:p>
      <w:pPr>
        <w:spacing w:line="360" w:lineRule="auto"/>
        <w:ind w:firstLine="440" w:firstLineChars="200"/>
        <w:rPr>
          <w:color w:val="000000"/>
          <w:sz w:val="22"/>
        </w:rPr>
      </w:pPr>
      <w:r>
        <w:rPr>
          <w:color w:val="000000"/>
          <w:sz w:val="22"/>
        </w:rPr>
        <w:t>3</w:t>
      </w:r>
      <w:r>
        <w:rPr>
          <w:rFonts w:hint="eastAsia"/>
          <w:color w:val="000000"/>
          <w:sz w:val="22"/>
        </w:rPr>
        <w:t>、保证遵守招标文件中的有关规定和收费标准。</w:t>
      </w:r>
    </w:p>
    <w:p>
      <w:pPr>
        <w:spacing w:line="360" w:lineRule="auto"/>
        <w:ind w:firstLine="480"/>
        <w:rPr>
          <w:rFonts w:hint="eastAsia"/>
          <w:color w:val="000000"/>
          <w:sz w:val="22"/>
        </w:rPr>
      </w:pPr>
      <w:r>
        <w:rPr>
          <w:color w:val="000000"/>
          <w:sz w:val="22"/>
        </w:rPr>
        <w:t>4</w:t>
      </w:r>
      <w:r>
        <w:rPr>
          <w:rFonts w:hint="eastAsia"/>
          <w:color w:val="000000"/>
          <w:sz w:val="22"/>
        </w:rPr>
        <w:t>、保证忠实地执行买卖双方所签的合同，并承担合同规定的责任义务。</w:t>
      </w:r>
    </w:p>
    <w:p>
      <w:pPr>
        <w:spacing w:line="360" w:lineRule="auto"/>
        <w:ind w:firstLine="480"/>
        <w:rPr>
          <w:color w:val="000000"/>
          <w:sz w:val="22"/>
        </w:rPr>
      </w:pPr>
      <w:r>
        <w:rPr>
          <w:rFonts w:hint="eastAsia"/>
          <w:color w:val="000000"/>
          <w:sz w:val="22"/>
        </w:rPr>
        <w:t>5、</w:t>
      </w:r>
      <w:r>
        <w:rPr>
          <w:color w:val="000000"/>
          <w:spacing w:val="-10"/>
          <w:sz w:val="22"/>
        </w:rPr>
        <w:t>投标人</w:t>
      </w:r>
      <w:r>
        <w:rPr>
          <w:rFonts w:hint="eastAsia"/>
          <w:color w:val="000000"/>
          <w:spacing w:val="-10"/>
          <w:sz w:val="22"/>
        </w:rPr>
        <w:t>已</w:t>
      </w:r>
      <w:r>
        <w:rPr>
          <w:color w:val="000000"/>
          <w:spacing w:val="-10"/>
          <w:sz w:val="22"/>
        </w:rPr>
        <w:t>详细审查全部招标文件，包括</w:t>
      </w:r>
      <w:r>
        <w:rPr>
          <w:rFonts w:hint="eastAsia"/>
          <w:i/>
          <w:color w:val="000000"/>
          <w:spacing w:val="-10"/>
          <w:sz w:val="22"/>
          <w:u w:val="single"/>
        </w:rPr>
        <w:t>（</w:t>
      </w:r>
      <w:r>
        <w:rPr>
          <w:i/>
          <w:color w:val="000000"/>
          <w:spacing w:val="-10"/>
          <w:sz w:val="22"/>
          <w:u w:val="single"/>
        </w:rPr>
        <w:t>补遗文件</w:t>
      </w:r>
      <w:r>
        <w:rPr>
          <w:rFonts w:hint="eastAsia"/>
          <w:i/>
          <w:color w:val="000000"/>
          <w:spacing w:val="-10"/>
          <w:sz w:val="22"/>
          <w:u w:val="single"/>
        </w:rPr>
        <w:t>）</w:t>
      </w:r>
      <w:r>
        <w:rPr>
          <w:color w:val="000000"/>
          <w:spacing w:val="-10"/>
          <w:sz w:val="22"/>
          <w:u w:val="single"/>
        </w:rPr>
        <w:t>(如果有的话)</w:t>
      </w:r>
      <w:r>
        <w:rPr>
          <w:color w:val="000000"/>
          <w:spacing w:val="-10"/>
          <w:sz w:val="22"/>
        </w:rPr>
        <w:t>。我们完全理解并同意放弃对这方面有不明及误解的权力。</w:t>
      </w:r>
    </w:p>
    <w:p>
      <w:pPr>
        <w:spacing w:line="360" w:lineRule="auto"/>
        <w:ind w:firstLine="392" w:firstLineChars="200"/>
        <w:rPr>
          <w:color w:val="000000"/>
          <w:spacing w:val="-12"/>
          <w:sz w:val="22"/>
        </w:rPr>
      </w:pPr>
      <w:r>
        <w:rPr>
          <w:rFonts w:hint="eastAsia"/>
          <w:color w:val="000000"/>
          <w:spacing w:val="-12"/>
          <w:sz w:val="22"/>
        </w:rPr>
        <w:t>6、</w:t>
      </w:r>
      <w:r>
        <w:rPr>
          <w:color w:val="000000"/>
          <w:spacing w:val="-12"/>
          <w:sz w:val="22"/>
        </w:rPr>
        <w:t>投标</w:t>
      </w:r>
      <w:r>
        <w:rPr>
          <w:rFonts w:hint="eastAsia"/>
          <w:color w:val="000000"/>
          <w:spacing w:val="-12"/>
          <w:sz w:val="22"/>
        </w:rPr>
        <w:t>人</w:t>
      </w:r>
      <w:r>
        <w:rPr>
          <w:color w:val="000000"/>
          <w:spacing w:val="-12"/>
          <w:sz w:val="22"/>
        </w:rPr>
        <w:t>同意提供贵方可能要求的与其投标有关的一切数据或资料。投标人完全理解贵方不一定接受最低价的投标或收到的任何投标。</w:t>
      </w:r>
    </w:p>
    <w:p>
      <w:pPr>
        <w:spacing w:line="360" w:lineRule="auto"/>
        <w:ind w:firstLine="392" w:firstLineChars="200"/>
        <w:rPr>
          <w:rFonts w:hint="eastAsia"/>
          <w:color w:val="000000"/>
          <w:spacing w:val="-12"/>
          <w:sz w:val="22"/>
        </w:rPr>
      </w:pPr>
      <w:r>
        <w:rPr>
          <w:color w:val="000000"/>
          <w:spacing w:val="-12"/>
          <w:sz w:val="22"/>
        </w:rPr>
        <w:t>7</w:t>
      </w:r>
      <w:r>
        <w:rPr>
          <w:rFonts w:hint="eastAsia"/>
          <w:color w:val="000000"/>
          <w:spacing w:val="-12"/>
          <w:sz w:val="22"/>
        </w:rPr>
        <w:t>、本投标自开标之日起</w:t>
      </w:r>
      <w:r>
        <w:rPr>
          <w:rFonts w:hint="eastAsia" w:ascii="宋体" w:hAnsi="宋体" w:cs="宋体"/>
          <w:color w:val="000000"/>
          <w:spacing w:val="-12"/>
          <w:sz w:val="22"/>
          <w:lang w:val="en-US" w:eastAsia="zh-CN"/>
        </w:rPr>
        <w:t>9</w:t>
      </w:r>
      <w:r>
        <w:rPr>
          <w:rFonts w:hint="default" w:ascii="宋体" w:hAnsi="宋体" w:eastAsia="宋体" w:cs="宋体"/>
          <w:color w:val="000000"/>
          <w:spacing w:val="-12"/>
          <w:sz w:val="22"/>
          <w:lang w:val="en-US" w:eastAsia="zh-CN"/>
        </w:rPr>
        <w:t>0</w:t>
      </w:r>
      <w:r>
        <w:rPr>
          <w:rFonts w:hint="default" w:ascii="宋体" w:hAnsi="宋体" w:eastAsia="宋体" w:cs="宋体"/>
          <w:color w:val="000000"/>
          <w:spacing w:val="-12"/>
          <w:sz w:val="22"/>
        </w:rPr>
        <w:t>天</w:t>
      </w:r>
      <w:r>
        <w:rPr>
          <w:rFonts w:hint="eastAsia"/>
          <w:color w:val="000000"/>
          <w:spacing w:val="-12"/>
          <w:sz w:val="22"/>
        </w:rPr>
        <w:t>内有效。</w:t>
      </w:r>
    </w:p>
    <w:p>
      <w:pPr>
        <w:spacing w:line="360" w:lineRule="auto"/>
        <w:ind w:firstLine="392" w:firstLineChars="200"/>
        <w:rPr>
          <w:color w:val="000000"/>
          <w:spacing w:val="-12"/>
          <w:sz w:val="22"/>
        </w:rPr>
      </w:pPr>
      <w:r>
        <w:rPr>
          <w:rFonts w:hint="eastAsia"/>
          <w:color w:val="000000"/>
          <w:spacing w:val="-12"/>
          <w:sz w:val="22"/>
        </w:rPr>
        <w:t>8、</w:t>
      </w:r>
      <w:r>
        <w:rPr>
          <w:color w:val="000000"/>
          <w:spacing w:val="-12"/>
          <w:sz w:val="22"/>
        </w:rPr>
        <w:t>投标人同意投标人须知中关于没收投标保证金的规定。</w:t>
      </w:r>
    </w:p>
    <w:p>
      <w:pPr>
        <w:spacing w:line="360" w:lineRule="auto"/>
        <w:ind w:firstLine="392" w:firstLineChars="200"/>
        <w:rPr>
          <w:color w:val="000000"/>
          <w:spacing w:val="-12"/>
          <w:sz w:val="22"/>
        </w:rPr>
      </w:pPr>
      <w:r>
        <w:rPr>
          <w:rFonts w:hint="eastAsia"/>
          <w:color w:val="000000"/>
          <w:spacing w:val="-12"/>
          <w:sz w:val="22"/>
        </w:rPr>
        <w:t>9、</w:t>
      </w:r>
      <w:r>
        <w:rPr>
          <w:color w:val="000000"/>
          <w:spacing w:val="-12"/>
          <w:sz w:val="22"/>
        </w:rPr>
        <w:t>根据投标人须知规定，我方承诺，与买方聘</w:t>
      </w:r>
      <w:r>
        <w:rPr>
          <w:rFonts w:hint="eastAsia"/>
          <w:color w:val="000000"/>
          <w:spacing w:val="-12"/>
          <w:sz w:val="22"/>
        </w:rPr>
        <w:t>请</w:t>
      </w:r>
      <w:r>
        <w:rPr>
          <w:color w:val="000000"/>
          <w:spacing w:val="-12"/>
          <w:sz w:val="22"/>
        </w:rPr>
        <w:t>的为此项目提供咨询服务的公司及任何附属机构均无关联，我方不是买方的附属机构。</w:t>
      </w:r>
    </w:p>
    <w:p>
      <w:pPr>
        <w:spacing w:line="360" w:lineRule="auto"/>
        <w:ind w:firstLine="392" w:firstLineChars="200"/>
        <w:rPr>
          <w:rFonts w:hint="default" w:eastAsia="宋体"/>
          <w:color w:val="000000"/>
          <w:spacing w:val="-12"/>
          <w:sz w:val="22"/>
          <w:lang w:val="en-US" w:eastAsia="zh-CN"/>
        </w:rPr>
      </w:pPr>
      <w:r>
        <w:rPr>
          <w:rFonts w:hint="eastAsia"/>
          <w:color w:val="000000"/>
          <w:spacing w:val="-12"/>
          <w:sz w:val="22"/>
          <w:lang w:val="en-US" w:eastAsia="zh-CN"/>
        </w:rPr>
        <w:t>10、投标人承诺所提供的所有数据和资料均真实有效，如存在虚报情况，投标人愿为此承担一切法律责任，赔偿因此给招标人造成的损失，并主动退出本项目竞标。</w:t>
      </w:r>
    </w:p>
    <w:p>
      <w:pPr>
        <w:spacing w:line="360" w:lineRule="auto"/>
        <w:rPr>
          <w:color w:val="000000"/>
          <w:spacing w:val="-12"/>
          <w:sz w:val="22"/>
        </w:rPr>
      </w:pPr>
      <w:r>
        <w:rPr>
          <w:color w:val="000000"/>
          <w:spacing w:val="-12"/>
          <w:sz w:val="22"/>
        </w:rPr>
        <w:t xml:space="preserve">    </w:t>
      </w:r>
      <w:r>
        <w:rPr>
          <w:rFonts w:hint="eastAsia"/>
          <w:color w:val="000000"/>
          <w:spacing w:val="-12"/>
          <w:sz w:val="22"/>
        </w:rPr>
        <w:t>1</w:t>
      </w:r>
      <w:r>
        <w:rPr>
          <w:rFonts w:hint="eastAsia"/>
          <w:color w:val="000000"/>
          <w:spacing w:val="-12"/>
          <w:sz w:val="22"/>
          <w:lang w:val="en-US" w:eastAsia="zh-CN"/>
        </w:rPr>
        <w:t>1</w:t>
      </w:r>
      <w:r>
        <w:rPr>
          <w:rFonts w:hint="eastAsia"/>
          <w:color w:val="000000"/>
          <w:spacing w:val="-12"/>
          <w:sz w:val="22"/>
        </w:rPr>
        <w:t>、与本投标有关的一切往来通讯请寄：</w:t>
      </w:r>
    </w:p>
    <w:p>
      <w:pPr>
        <w:spacing w:line="360" w:lineRule="auto"/>
        <w:rPr>
          <w:color w:val="000000"/>
          <w:sz w:val="22"/>
        </w:rPr>
      </w:pPr>
      <w:r>
        <w:rPr>
          <w:color w:val="000000"/>
          <w:sz w:val="22"/>
        </w:rPr>
        <w:t xml:space="preserve">    </w:t>
      </w:r>
      <w:r>
        <w:rPr>
          <w:rFonts w:hint="eastAsia"/>
          <w:color w:val="000000"/>
          <w:sz w:val="22"/>
        </w:rPr>
        <w:t>地址：</w:t>
      </w:r>
      <w:r>
        <w:rPr>
          <w:color w:val="000000"/>
          <w:sz w:val="22"/>
        </w:rPr>
        <w:t>____________________________________________________</w:t>
      </w:r>
    </w:p>
    <w:p>
      <w:pPr>
        <w:spacing w:line="360" w:lineRule="auto"/>
        <w:rPr>
          <w:color w:val="000000"/>
          <w:sz w:val="22"/>
        </w:rPr>
      </w:pPr>
      <w:r>
        <w:rPr>
          <w:color w:val="000000"/>
          <w:sz w:val="22"/>
        </w:rPr>
        <w:t xml:space="preserve">    </w:t>
      </w:r>
      <w:r>
        <w:rPr>
          <w:rFonts w:hint="eastAsia"/>
          <w:color w:val="000000"/>
          <w:sz w:val="22"/>
        </w:rPr>
        <w:t>邮编：</w:t>
      </w:r>
      <w:r>
        <w:rPr>
          <w:color w:val="000000"/>
          <w:sz w:val="22"/>
        </w:rPr>
        <w:t>____________</w:t>
      </w:r>
      <w:r>
        <w:rPr>
          <w:rFonts w:hint="eastAsia"/>
          <w:color w:val="000000"/>
          <w:sz w:val="22"/>
        </w:rPr>
        <w:t>　电话：</w:t>
      </w:r>
      <w:r>
        <w:rPr>
          <w:color w:val="000000"/>
          <w:sz w:val="22"/>
        </w:rPr>
        <w:t>____________</w:t>
      </w:r>
      <w:r>
        <w:rPr>
          <w:rFonts w:hint="eastAsia"/>
          <w:color w:val="000000"/>
          <w:sz w:val="22"/>
        </w:rPr>
        <w:t>　传真：</w:t>
      </w:r>
      <w:r>
        <w:rPr>
          <w:color w:val="000000"/>
          <w:sz w:val="22"/>
        </w:rPr>
        <w:t xml:space="preserve">____________ </w:t>
      </w:r>
    </w:p>
    <w:p>
      <w:pPr>
        <w:spacing w:line="360" w:lineRule="auto"/>
        <w:rPr>
          <w:color w:val="000000"/>
          <w:sz w:val="22"/>
        </w:rPr>
      </w:pPr>
      <w:r>
        <w:rPr>
          <w:rFonts w:hint="eastAsia"/>
          <w:color w:val="000000"/>
          <w:sz w:val="22"/>
        </w:rPr>
        <w:t>投标单位</w:t>
      </w:r>
      <w:r>
        <w:rPr>
          <w:color w:val="000000"/>
          <w:sz w:val="22"/>
        </w:rPr>
        <w:t>(</w:t>
      </w:r>
      <w:r>
        <w:rPr>
          <w:rFonts w:hint="eastAsia"/>
          <w:color w:val="000000"/>
          <w:sz w:val="22"/>
        </w:rPr>
        <w:t>盖章</w:t>
      </w:r>
      <w:r>
        <w:rPr>
          <w:color w:val="000000"/>
          <w:sz w:val="22"/>
        </w:rPr>
        <w:t>)</w:t>
      </w:r>
      <w:r>
        <w:rPr>
          <w:rFonts w:hint="eastAsia"/>
          <w:color w:val="000000"/>
          <w:sz w:val="22"/>
        </w:rPr>
        <w:t>：</w:t>
      </w:r>
      <w:r>
        <w:rPr>
          <w:rFonts w:hint="eastAsia"/>
          <w:color w:val="000000"/>
          <w:sz w:val="22"/>
          <w:u w:val="single"/>
        </w:rPr>
        <w:t xml:space="preserve">                                          </w:t>
      </w:r>
    </w:p>
    <w:p>
      <w:pPr>
        <w:spacing w:line="360" w:lineRule="auto"/>
        <w:rPr>
          <w:color w:val="000000"/>
          <w:sz w:val="22"/>
          <w:u w:val="single"/>
        </w:rPr>
      </w:pPr>
      <w:r>
        <w:rPr>
          <w:rFonts w:hint="eastAsia"/>
          <w:color w:val="000000"/>
          <w:sz w:val="22"/>
        </w:rPr>
        <w:t>授权代表</w:t>
      </w:r>
      <w:r>
        <w:rPr>
          <w:color w:val="000000"/>
          <w:sz w:val="22"/>
        </w:rPr>
        <w:t>(</w:t>
      </w:r>
      <w:r>
        <w:rPr>
          <w:rFonts w:hint="eastAsia"/>
          <w:color w:val="000000"/>
          <w:sz w:val="22"/>
        </w:rPr>
        <w:t>签字</w:t>
      </w:r>
      <w:r>
        <w:rPr>
          <w:color w:val="000000"/>
          <w:sz w:val="22"/>
        </w:rPr>
        <w:t>)</w:t>
      </w:r>
      <w:r>
        <w:rPr>
          <w:rFonts w:hint="eastAsia"/>
          <w:color w:val="000000"/>
          <w:sz w:val="22"/>
        </w:rPr>
        <w:t>：</w:t>
      </w:r>
      <w:r>
        <w:rPr>
          <w:rFonts w:hint="eastAsia"/>
          <w:color w:val="000000"/>
          <w:sz w:val="22"/>
          <w:u w:val="single"/>
        </w:rPr>
        <w:t xml:space="preserve">                                         </w:t>
      </w:r>
    </w:p>
    <w:p>
      <w:pPr>
        <w:rPr>
          <w:rFonts w:eastAsia="黑体"/>
          <w:b/>
          <w:bCs/>
          <w:sz w:val="28"/>
        </w:rPr>
      </w:pPr>
      <w:r>
        <w:rPr>
          <w:rFonts w:hint="eastAsia"/>
          <w:color w:val="000000"/>
          <w:sz w:val="22"/>
        </w:rPr>
        <w:t>日　   期：</w:t>
      </w:r>
      <w:r>
        <w:rPr>
          <w:rFonts w:hint="eastAsia"/>
          <w:color w:val="000000"/>
          <w:sz w:val="22"/>
          <w:u w:val="single"/>
        </w:rPr>
        <w:t xml:space="preserve">                                   </w:t>
      </w:r>
    </w:p>
    <w:p>
      <w:pPr>
        <w:jc w:val="center"/>
      </w:pPr>
    </w:p>
    <w:p>
      <w:pPr>
        <w:pStyle w:val="4"/>
        <w:numPr>
          <w:ilvl w:val="-1"/>
          <w:numId w:val="0"/>
        </w:numPr>
        <w:ind w:left="0" w:firstLine="0"/>
        <w:rPr>
          <w:rStyle w:val="144"/>
          <w:rFonts w:hint="default" w:ascii="黑体" w:hAnsi="黑体" w:eastAsia="黑体" w:cs="黑体"/>
          <w:b/>
          <w:kern w:val="0"/>
          <w:sz w:val="32"/>
          <w:lang w:val="en-US" w:eastAsia="zh-CN" w:bidi="ar-SA"/>
        </w:rPr>
      </w:pPr>
      <w:bookmarkStart w:id="294" w:name="_Toc18320"/>
      <w:r>
        <w:rPr>
          <w:rStyle w:val="144"/>
          <w:rFonts w:hint="eastAsia" w:ascii="黑体" w:hAnsi="黑体" w:eastAsia="黑体" w:cs="黑体"/>
          <w:b/>
          <w:kern w:val="0"/>
          <w:sz w:val="32"/>
          <w:lang w:val="en-US" w:eastAsia="zh-CN" w:bidi="ar-SA"/>
        </w:rPr>
        <w:t>附件4：  投标文件目录</w:t>
      </w:r>
      <w:bookmarkEnd w:id="294"/>
    </w:p>
    <w:p>
      <w:pPr>
        <w:rPr>
          <w:rFonts w:hint="eastAsia"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 xml:space="preserve">             </w:t>
      </w:r>
      <w:r>
        <w:rPr>
          <w:rFonts w:hint="eastAsia" w:ascii="宋体" w:hAnsi="宋体"/>
          <w:color w:val="auto"/>
          <w:highlight w:val="none"/>
        </w:rPr>
        <w:t>(XX项目)</w:t>
      </w:r>
    </w:p>
    <w:p>
      <w:pPr>
        <w:rPr>
          <w:rFonts w:hint="eastAsia" w:ascii="宋体" w:hAnsi="宋体"/>
          <w:color w:val="auto"/>
          <w:highlight w:val="none"/>
        </w:rPr>
      </w:pPr>
    </w:p>
    <w:p>
      <w:pPr>
        <w:rPr>
          <w:rFonts w:hint="eastAsia" w:ascii="宋体" w:hAnsi="宋体"/>
          <w:color w:val="auto"/>
          <w:szCs w:val="21"/>
          <w:highlight w:val="none"/>
        </w:rPr>
      </w:pPr>
      <w:r>
        <w:rPr>
          <w:rFonts w:hint="eastAsia" w:ascii="宋体" w:hAnsi="宋体"/>
          <w:color w:val="auto"/>
          <w:szCs w:val="21"/>
          <w:highlight w:val="none"/>
        </w:rPr>
        <w:t>日期：  年   月   日</w:t>
      </w:r>
    </w:p>
    <w:p>
      <w:pPr>
        <w:jc w:val="center"/>
        <w:rPr>
          <w:rFonts w:hint="eastAsia" w:ascii="黑体" w:eastAsia="黑体"/>
          <w:color w:val="auto"/>
          <w:sz w:val="30"/>
          <w:highlight w:val="none"/>
        </w:rPr>
      </w:pPr>
      <w:r>
        <w:rPr>
          <w:rFonts w:hint="eastAsia" w:ascii="黑体" w:eastAsia="黑体"/>
          <w:color w:val="auto"/>
          <w:sz w:val="30"/>
          <w:highlight w:val="none"/>
        </w:rPr>
        <w:t>投标文件目录</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sz w:val="28"/>
                <w:highlight w:val="none"/>
              </w:rPr>
            </w:pPr>
            <w:r>
              <w:rPr>
                <w:rFonts w:hint="eastAsia"/>
                <w:color w:val="auto"/>
                <w:sz w:val="28"/>
                <w:highlight w:val="none"/>
              </w:rPr>
              <w:t>序号</w:t>
            </w:r>
          </w:p>
        </w:tc>
        <w:tc>
          <w:tcPr>
            <w:tcW w:w="6520" w:type="dxa"/>
            <w:noWrap w:val="0"/>
            <w:vAlign w:val="center"/>
          </w:tcPr>
          <w:p>
            <w:pPr>
              <w:jc w:val="center"/>
              <w:rPr>
                <w:rFonts w:hint="eastAsia"/>
                <w:color w:val="auto"/>
                <w:sz w:val="28"/>
                <w:highlight w:val="none"/>
              </w:rPr>
            </w:pPr>
            <w:r>
              <w:rPr>
                <w:rFonts w:hint="eastAsia"/>
                <w:color w:val="auto"/>
                <w:sz w:val="28"/>
                <w:highlight w:val="none"/>
              </w:rPr>
              <w:t>主要内容</w:t>
            </w:r>
          </w:p>
        </w:tc>
        <w:tc>
          <w:tcPr>
            <w:tcW w:w="1276" w:type="dxa"/>
            <w:noWrap w:val="0"/>
            <w:vAlign w:val="center"/>
          </w:tcPr>
          <w:p>
            <w:pPr>
              <w:jc w:val="center"/>
              <w:rPr>
                <w:rFonts w:hint="eastAsia"/>
                <w:color w:val="auto"/>
                <w:sz w:val="28"/>
                <w:highlight w:val="none"/>
              </w:rPr>
            </w:pPr>
            <w:r>
              <w:rPr>
                <w:rFonts w:hint="eastAsia"/>
                <w:color w:val="auto"/>
                <w:sz w:val="28"/>
                <w:highlight w:val="none"/>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pPr>
              <w:jc w:val="center"/>
              <w:rPr>
                <w:rFonts w:hint="eastAsia"/>
                <w:color w:val="auto"/>
                <w:highlight w:val="none"/>
              </w:rPr>
            </w:pPr>
          </w:p>
        </w:tc>
        <w:tc>
          <w:tcPr>
            <w:tcW w:w="6520" w:type="dxa"/>
            <w:noWrap w:val="0"/>
            <w:vAlign w:val="center"/>
          </w:tcPr>
          <w:p>
            <w:pPr>
              <w:jc w:val="center"/>
              <w:rPr>
                <w:rFonts w:hint="eastAsia"/>
                <w:color w:val="auto"/>
                <w:highlight w:val="none"/>
              </w:rPr>
            </w:pPr>
          </w:p>
        </w:tc>
        <w:tc>
          <w:tcPr>
            <w:tcW w:w="1276" w:type="dxa"/>
            <w:noWrap w:val="0"/>
            <w:vAlign w:val="center"/>
          </w:tcPr>
          <w:p>
            <w:pPr>
              <w:jc w:val="center"/>
              <w:rPr>
                <w:rFonts w:hint="eastAsia"/>
                <w:color w:val="auto"/>
                <w:highlight w:val="none"/>
              </w:rPr>
            </w:pPr>
          </w:p>
        </w:tc>
      </w:tr>
    </w:tbl>
    <w:p>
      <w:pPr>
        <w:rPr>
          <w:rFonts w:hint="eastAsia" w:ascii="宋体" w:hAnsi="宋体"/>
          <w:color w:val="auto"/>
          <w:sz w:val="24"/>
          <w:szCs w:val="24"/>
          <w:highlight w:val="none"/>
        </w:rPr>
      </w:pPr>
      <w:r>
        <w:rPr>
          <w:rFonts w:hint="eastAsia" w:ascii="宋体" w:hAnsi="宋体"/>
          <w:color w:val="auto"/>
          <w:sz w:val="24"/>
          <w:szCs w:val="24"/>
          <w:highlight w:val="none"/>
        </w:rPr>
        <w:t>投标人名称（盖章）：              法定代表人或授权代表签字：</w:t>
      </w:r>
    </w:p>
    <w:p>
      <w:pPr>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b/>
          <w:color w:val="auto"/>
          <w:sz w:val="24"/>
          <w:highlight w:val="none"/>
        </w:rPr>
        <w:t>注：</w:t>
      </w:r>
      <w:r>
        <w:rPr>
          <w:rFonts w:hint="eastAsia" w:ascii="宋体" w:hAnsi="宋体"/>
          <w:color w:val="auto"/>
          <w:sz w:val="24"/>
          <w:highlight w:val="none"/>
        </w:rPr>
        <w:t>1.本表填写投标文件主要内容，以用于开标宣读。</w:t>
      </w:r>
    </w:p>
    <w:p>
      <w:pPr>
        <w:ind w:firstLine="480"/>
        <w:rPr>
          <w:rFonts w:hint="eastAsia" w:eastAsia="黑体"/>
          <w:b/>
          <w:bCs/>
          <w:color w:val="auto"/>
          <w:sz w:val="28"/>
          <w:highlight w:val="none"/>
        </w:rPr>
        <w:sectPr>
          <w:footerReference r:id="rId7" w:type="first"/>
          <w:headerReference r:id="rId5" w:type="default"/>
          <w:footerReference r:id="rId6" w:type="default"/>
          <w:pgSz w:w="11906" w:h="16838"/>
          <w:pgMar w:top="1701" w:right="1418" w:bottom="1134" w:left="1418"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宋体" w:hAnsi="宋体"/>
          <w:color w:val="auto"/>
          <w:sz w:val="24"/>
          <w:highlight w:val="none"/>
        </w:rPr>
        <w:t>2．“索引”一栏填写该主要内容对应于投标文件的“条款号/页号”。</w:t>
      </w:r>
    </w:p>
    <w:p>
      <w:pPr>
        <w:pStyle w:val="2"/>
      </w:pPr>
    </w:p>
    <w:p>
      <w:pPr>
        <w:pStyle w:val="30"/>
        <w:spacing w:after="0" w:line="360" w:lineRule="auto"/>
        <w:rPr>
          <w:rFonts w:hint="eastAsia" w:ascii="宋体" w:hAnsi="宋体" w:eastAsia="黑体"/>
          <w:lang w:eastAsia="zh-CN"/>
        </w:rPr>
      </w:pPr>
      <w:r>
        <w:rPr>
          <w:rStyle w:val="144"/>
          <w:rFonts w:hint="eastAsia" w:ascii="黑体" w:hAnsi="黑体" w:eastAsia="黑体" w:cs="黑体"/>
          <w:kern w:val="0"/>
          <w:sz w:val="32"/>
          <w:lang w:val="en-US" w:eastAsia="zh-CN" w:bidi="ar-SA"/>
        </w:rPr>
        <w:t>附件5：  承诺书</w:t>
      </w:r>
    </w:p>
    <w:p>
      <w:pPr>
        <w:spacing w:line="360" w:lineRule="auto"/>
        <w:jc w:val="center"/>
        <w:rPr>
          <w:rFonts w:ascii="宋体" w:hAnsi="宋体" w:cs="宋体"/>
          <w:sz w:val="24"/>
          <w:szCs w:val="24"/>
        </w:rPr>
      </w:pPr>
      <w:r>
        <w:rPr>
          <w:rFonts w:hint="eastAsia" w:ascii="宋体" w:hAnsi="宋体" w:cs="宋体"/>
          <w:b/>
          <w:color w:val="000000"/>
          <w:sz w:val="24"/>
          <w:szCs w:val="24"/>
        </w:rPr>
        <w:t>承诺书</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color w:val="000000"/>
          <w:sz w:val="24"/>
          <w:szCs w:val="24"/>
          <w:u w:val="single"/>
        </w:rPr>
        <w:t xml:space="preserve">                            （投标人单位名称）</w:t>
      </w:r>
      <w:r>
        <w:rPr>
          <w:rFonts w:hint="eastAsia" w:ascii="宋体" w:hAnsi="宋体" w:cs="宋体"/>
          <w:color w:val="000000"/>
          <w:sz w:val="24"/>
          <w:szCs w:val="24"/>
        </w:rPr>
        <w:t>承诺在</w:t>
      </w:r>
      <w:r>
        <w:rPr>
          <w:rFonts w:hint="eastAsia" w:ascii="宋体" w:hAnsi="宋体" w:cs="宋体"/>
          <w:b/>
          <w:color w:val="000000"/>
          <w:sz w:val="24"/>
          <w:szCs w:val="24"/>
          <w:u w:val="single"/>
        </w:rPr>
        <w:t>中国重型汽车集团有限公司</w:t>
      </w:r>
      <w:r>
        <w:rPr>
          <w:rFonts w:hint="eastAsia" w:ascii="宋体" w:hAnsi="宋体" w:cs="宋体"/>
          <w:color w:val="000000"/>
          <w:sz w:val="24"/>
          <w:szCs w:val="24"/>
        </w:rPr>
        <w:t>组织的</w:t>
      </w:r>
      <w:r>
        <w:rPr>
          <w:rFonts w:hint="eastAsia" w:ascii="宋体" w:hAnsi="宋体" w:cs="宋体"/>
          <w:b/>
          <w:color w:val="000000"/>
          <w:sz w:val="24"/>
          <w:szCs w:val="24"/>
          <w:u w:val="single"/>
        </w:rPr>
        <w:t xml:space="preserve">                项目</w:t>
      </w:r>
      <w:r>
        <w:rPr>
          <w:rFonts w:hint="eastAsia" w:ascii="宋体" w:hAnsi="宋体" w:cs="宋体"/>
          <w:color w:val="000000"/>
          <w:sz w:val="24"/>
          <w:szCs w:val="24"/>
        </w:rPr>
        <w:t>过程中所递交资质证明、企业业绩、相关证件、专项授权以及其他一切文件真实有效。</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若发现我公司存在提报虚假材料的情况，我公司愿意承担一切法律责任，并退出此次投标。</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投标人（公章）：</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法定代表人签字或盖章：</w:t>
      </w:r>
    </w:p>
    <w:p>
      <w:pPr>
        <w:spacing w:line="360" w:lineRule="auto"/>
        <w:ind w:firstLine="480" w:firstLineChars="200"/>
        <w:rPr>
          <w:rFonts w:ascii="宋体" w:hAnsi="宋体" w:cs="宋体"/>
          <w:sz w:val="24"/>
          <w:szCs w:val="24"/>
        </w:rPr>
      </w:pPr>
    </w:p>
    <w:p>
      <w:pPr>
        <w:spacing w:line="360" w:lineRule="auto"/>
        <w:ind w:firstLine="2400" w:firstLineChars="1000"/>
        <w:rPr>
          <w:rFonts w:ascii="宋体" w:hAnsi="宋体" w:cs="宋体"/>
          <w:sz w:val="24"/>
          <w:szCs w:val="24"/>
        </w:rPr>
      </w:pPr>
      <w:r>
        <w:rPr>
          <w:rFonts w:hint="eastAsia" w:ascii="宋体" w:hAnsi="宋体" w:cs="宋体"/>
          <w:color w:val="000000"/>
          <w:sz w:val="24"/>
          <w:szCs w:val="24"/>
        </w:rPr>
        <w:t>日 期：      年   月   日</w:t>
      </w:r>
    </w:p>
    <w:p>
      <w:pPr>
        <w:spacing w:line="360" w:lineRule="auto"/>
        <w:rPr>
          <w:rFonts w:ascii="宋体" w:hAnsi="宋体" w:cs="宋体"/>
          <w:sz w:val="24"/>
          <w:szCs w:val="24"/>
        </w:rPr>
      </w:pPr>
    </w:p>
    <w:p>
      <w:pPr>
        <w:pStyle w:val="30"/>
        <w:spacing w:after="0" w:line="360" w:lineRule="auto"/>
        <w:rPr>
          <w:rFonts w:hint="default" w:eastAsia="宋体"/>
          <w:lang w:val="en-US" w:eastAsia="zh-CN"/>
        </w:rPr>
      </w:pPr>
      <w:r>
        <w:rPr>
          <w:rFonts w:ascii="宋体" w:hAnsi="宋体"/>
        </w:rPr>
        <w:br w:type="page"/>
      </w:r>
      <w:bookmarkStart w:id="295" w:name="_Toc31522"/>
      <w:r>
        <w:rPr>
          <w:rStyle w:val="144"/>
          <w:rFonts w:hint="eastAsia" w:ascii="黑体" w:hAnsi="黑体" w:eastAsia="黑体" w:cs="黑体"/>
          <w:kern w:val="0"/>
          <w:sz w:val="32"/>
          <w:lang w:val="en-US" w:eastAsia="zh-CN" w:bidi="ar-SA"/>
        </w:rPr>
        <w:t>附件6：授权委托书</w:t>
      </w:r>
      <w:bookmarkEnd w:id="295"/>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b/>
          <w:color w:val="000000"/>
          <w:sz w:val="24"/>
          <w:szCs w:val="24"/>
        </w:rPr>
        <w:t>授权委托书</w:t>
      </w:r>
    </w:p>
    <w:p>
      <w:pPr>
        <w:spacing w:line="360" w:lineRule="auto"/>
        <w:jc w:val="center"/>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兹有：</w:t>
      </w:r>
      <w:r>
        <w:rPr>
          <w:rFonts w:hint="eastAsia" w:ascii="宋体" w:hAnsi="宋体" w:cs="宋体"/>
          <w:color w:val="000000"/>
          <w:sz w:val="24"/>
          <w:szCs w:val="24"/>
          <w:u w:val="single"/>
        </w:rPr>
        <w:t xml:space="preserve">            </w:t>
      </w:r>
      <w:r>
        <w:rPr>
          <w:rFonts w:hint="eastAsia" w:ascii="宋体" w:hAnsi="宋体" w:cs="宋体"/>
          <w:color w:val="000000"/>
          <w:sz w:val="24"/>
          <w:szCs w:val="24"/>
        </w:rPr>
        <w:t>系</w:t>
      </w:r>
      <w:r>
        <w:rPr>
          <w:rFonts w:hint="eastAsia" w:ascii="宋体" w:hAnsi="宋体" w:cs="宋体"/>
          <w:color w:val="000000"/>
          <w:sz w:val="24"/>
          <w:szCs w:val="24"/>
          <w:u w:val="single"/>
        </w:rPr>
        <w:t xml:space="preserve">                      </w:t>
      </w:r>
      <w:r>
        <w:rPr>
          <w:rFonts w:hint="eastAsia" w:ascii="宋体" w:hAnsi="宋体" w:cs="宋体"/>
          <w:color w:val="000000"/>
          <w:sz w:val="24"/>
          <w:szCs w:val="24"/>
        </w:rPr>
        <w:t>法定代表人（或负责人），联系电话：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，住址：</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 xml:space="preserve">特授权 </w:t>
      </w:r>
      <w:r>
        <w:rPr>
          <w:rFonts w:hint="eastAsia" w:ascii="宋体" w:hAnsi="宋体" w:cs="宋体"/>
          <w:color w:val="000000"/>
          <w:sz w:val="24"/>
          <w:szCs w:val="24"/>
          <w:u w:val="single"/>
        </w:rPr>
        <w:t xml:space="preserve">                 </w:t>
      </w:r>
      <w:r>
        <w:rPr>
          <w:rFonts w:hint="eastAsia" w:ascii="宋体" w:hAnsi="宋体" w:cs="宋体"/>
          <w:color w:val="000000"/>
          <w:sz w:val="24"/>
          <w:szCs w:val="24"/>
        </w:rPr>
        <w:t>，单位职务：</w:t>
      </w:r>
      <w:r>
        <w:rPr>
          <w:rFonts w:hint="eastAsia" w:ascii="宋体" w:hAnsi="宋体" w:cs="宋体"/>
          <w:color w:val="000000"/>
          <w:sz w:val="24"/>
          <w:szCs w:val="24"/>
          <w:u w:val="single"/>
        </w:rPr>
        <w:t xml:space="preserve">                 </w:t>
      </w:r>
      <w:r>
        <w:rPr>
          <w:rFonts w:hint="eastAsia" w:ascii="宋体" w:hAnsi="宋体" w:cs="宋体"/>
          <w:color w:val="000000"/>
          <w:sz w:val="24"/>
          <w:szCs w:val="24"/>
        </w:rPr>
        <w:t>，身份证号：</w:t>
      </w:r>
      <w:r>
        <w:rPr>
          <w:rFonts w:hint="eastAsia" w:ascii="宋体" w:hAnsi="宋体" w:cs="宋体"/>
          <w:color w:val="000000"/>
          <w:sz w:val="24"/>
          <w:szCs w:val="24"/>
          <w:u w:val="single"/>
        </w:rPr>
        <w:t xml:space="preserve">                </w:t>
      </w: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，为本公司（单位）的委托代理人。</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授权权限：代理与中国重型汽车集团有限公司招投标文件递交、</w:t>
      </w:r>
      <w:r>
        <w:rPr>
          <w:rFonts w:hint="eastAsia" w:ascii="宋体" w:hAnsi="宋体" w:cs="宋体"/>
          <w:color w:val="000000"/>
          <w:sz w:val="24"/>
          <w:szCs w:val="24"/>
          <w:lang w:val="en-US" w:eastAsia="zh-CN"/>
        </w:rPr>
        <w:t>合同</w:t>
      </w:r>
      <w:r>
        <w:rPr>
          <w:rFonts w:hint="eastAsia" w:ascii="宋体" w:hAnsi="宋体" w:cs="宋体"/>
          <w:color w:val="000000"/>
          <w:sz w:val="24"/>
          <w:szCs w:val="24"/>
        </w:rPr>
        <w:t>及其附件协议签署。</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授权期限：自     年    月    日至     年    月    日止。</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委托代理人的代理行为，本公司（单位）均予以认可，并承担经济或法律责任。</w:t>
      </w:r>
    </w:p>
    <w:p>
      <w:pPr>
        <w:spacing w:line="360" w:lineRule="auto"/>
        <w:rPr>
          <w:rFonts w:ascii="宋体" w:hAnsi="宋体" w:cs="宋体"/>
          <w:sz w:val="24"/>
          <w:szCs w:val="24"/>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332105</wp:posOffset>
                </wp:positionH>
                <wp:positionV relativeFrom="paragraph">
                  <wp:posOffset>128905</wp:posOffset>
                </wp:positionV>
                <wp:extent cx="2657475" cy="1552575"/>
                <wp:effectExtent l="4445" t="4445" r="5080" b="5080"/>
                <wp:wrapNone/>
                <wp:docPr id="2" name="矩形 1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pPr>
                          </w:p>
                          <w:p>
                            <w:pPr>
                              <w:ind w:firstLine="480"/>
                              <w:jc w:val="center"/>
                            </w:pPr>
                          </w:p>
                          <w:p>
                            <w:pPr>
                              <w:ind w:firstLine="480"/>
                              <w:jc w:val="center"/>
                            </w:pPr>
                          </w:p>
                          <w:p>
                            <w:pPr>
                              <w:ind w:firstLine="480"/>
                              <w:jc w:val="center"/>
                            </w:pPr>
                            <w:r>
                              <w:rPr>
                                <w:rFonts w:hint="eastAsia"/>
                              </w:rPr>
                              <w:t>法定代表人身份证复印件（正面）</w:t>
                            </w:r>
                          </w:p>
                          <w:p>
                            <w:pPr>
                              <w:ind w:firstLine="480"/>
                              <w:jc w:val="center"/>
                            </w:pPr>
                          </w:p>
                          <w:p>
                            <w:pPr>
                              <w:ind w:firstLine="480"/>
                              <w:jc w:val="center"/>
                            </w:pPr>
                          </w:p>
                        </w:txbxContent>
                      </wps:txbx>
                      <wps:bodyPr wrap="square" upright="1"/>
                    </wps:wsp>
                  </a:graphicData>
                </a:graphic>
              </wp:anchor>
            </w:drawing>
          </mc:Choice>
          <mc:Fallback>
            <w:pict>
              <v:rect id="矩形 13" o:spid="_x0000_s1026" o:spt="1" style="position:absolute;left:0pt;margin-left:26.15pt;margin-top:10.15pt;height:122.25pt;width:209.25pt;z-index:251660288;mso-width-relative:page;mso-height-relative:page;" fillcolor="#FFFFFF" filled="t" stroked="t" coordsize="21600,21600" o:gfxdata="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mCJr9gAAAAJAQAADwAAAAAAAAABACAAAAAi&#10;AAAAZHJzL2Rvd25yZXYueG1sUEsBAhQAFAAAAAgAh07iQM5sevIKAgAAOQQAAA4AAAAAAAAAAQAg&#10;AAAAJwEAAGRycy9lMm9Eb2MueG1sUEsFBgAAAAAGAAYAWQEAAKMFAAAAAA==&#10;">
                <v:fill on="t" focussize="0,0"/>
                <v:stroke color="#000000" joinstyle="miter"/>
                <v:imagedata o:title=""/>
                <o:lock v:ext="edit" aspectratio="f"/>
                <v:textbox>
                  <w:txbxContent>
                    <w:p>
                      <w:pPr>
                        <w:ind w:firstLine="480"/>
                        <w:jc w:val="center"/>
                      </w:pPr>
                    </w:p>
                    <w:p>
                      <w:pPr>
                        <w:ind w:firstLine="480"/>
                        <w:jc w:val="center"/>
                      </w:pPr>
                    </w:p>
                    <w:p>
                      <w:pPr>
                        <w:ind w:firstLine="480"/>
                        <w:jc w:val="center"/>
                      </w:pPr>
                    </w:p>
                    <w:p>
                      <w:pPr>
                        <w:ind w:firstLine="480"/>
                        <w:jc w:val="center"/>
                      </w:pPr>
                      <w:r>
                        <w:rPr>
                          <w:rFonts w:hint="eastAsia"/>
                        </w:rPr>
                        <w:t>法定代表人身份证复印件（正面）</w:t>
                      </w:r>
                    </w:p>
                    <w:p>
                      <w:pPr>
                        <w:ind w:firstLine="480"/>
                        <w:jc w:val="center"/>
                      </w:pPr>
                    </w:p>
                    <w:p>
                      <w:pPr>
                        <w:ind w:firstLine="480"/>
                        <w:jc w:val="center"/>
                      </w:pP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3132455</wp:posOffset>
                </wp:positionH>
                <wp:positionV relativeFrom="paragraph">
                  <wp:posOffset>128905</wp:posOffset>
                </wp:positionV>
                <wp:extent cx="2514600" cy="1552575"/>
                <wp:effectExtent l="4445" t="4445" r="14605" b="5080"/>
                <wp:wrapNone/>
                <wp:docPr id="3" name="矩形 15"/>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pPr>
                          </w:p>
                          <w:p>
                            <w:pPr>
                              <w:ind w:firstLine="480"/>
                              <w:jc w:val="center"/>
                            </w:pPr>
                          </w:p>
                          <w:p>
                            <w:pPr>
                              <w:ind w:firstLine="480"/>
                              <w:jc w:val="center"/>
                            </w:pPr>
                          </w:p>
                          <w:p>
                            <w:pPr>
                              <w:ind w:firstLine="480"/>
                              <w:jc w:val="center"/>
                            </w:pPr>
                            <w:r>
                              <w:rPr>
                                <w:rFonts w:hint="eastAsia"/>
                              </w:rPr>
                              <w:t>法定代表人身份证复印件（反面）</w:t>
                            </w:r>
                          </w:p>
                          <w:p>
                            <w:pPr>
                              <w:ind w:firstLine="480"/>
                              <w:jc w:val="center"/>
                            </w:pPr>
                          </w:p>
                        </w:txbxContent>
                      </wps:txbx>
                      <wps:bodyPr wrap="square" upright="1"/>
                    </wps:wsp>
                  </a:graphicData>
                </a:graphic>
              </wp:anchor>
            </w:drawing>
          </mc:Choice>
          <mc:Fallback>
            <w:pict>
              <v:rect id="矩形 15" o:spid="_x0000_s1026" o:spt="1" style="position:absolute;left:0pt;margin-left:246.65pt;margin-top:10.15pt;height:122.25pt;width:198pt;z-index:251661312;mso-width-relative:page;mso-height-relative:page;" fillcolor="#FFFFFF" filled="t" stroked="t" coordsize="21600,21600" o:gfxdata="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ia6IXXAAAACgEAAA8AAAAAAAAAAQAgAAAA&#10;IgAAAGRycy9kb3ducmV2LnhtbFBLAQIUABQAAAAIAIdO4kCGZieHDAIAADkEAAAOAAAAAAAAAAEA&#10;IAAAACYBAABkcnMvZTJvRG9jLnhtbFBLBQYAAAAABgAGAFkBAACkBQAAAAA=&#10;">
                <v:fill on="t" focussize="0,0"/>
                <v:stroke color="#000000" joinstyle="miter"/>
                <v:imagedata o:title=""/>
                <o:lock v:ext="edit" aspectratio="f"/>
                <v:textbox>
                  <w:txbxContent>
                    <w:p>
                      <w:pPr>
                        <w:ind w:firstLine="480"/>
                        <w:jc w:val="center"/>
                      </w:pPr>
                    </w:p>
                    <w:p>
                      <w:pPr>
                        <w:ind w:firstLine="480"/>
                        <w:jc w:val="center"/>
                      </w:pPr>
                    </w:p>
                    <w:p>
                      <w:pPr>
                        <w:ind w:firstLine="480"/>
                        <w:jc w:val="center"/>
                      </w:pPr>
                    </w:p>
                    <w:p>
                      <w:pPr>
                        <w:ind w:firstLine="480"/>
                        <w:jc w:val="center"/>
                      </w:pPr>
                      <w:r>
                        <w:rPr>
                          <w:rFonts w:hint="eastAsia"/>
                        </w:rPr>
                        <w:t>法定代表人身份证复印件（反面）</w:t>
                      </w:r>
                    </w:p>
                    <w:p>
                      <w:pPr>
                        <w:ind w:firstLine="480"/>
                        <w:jc w:val="center"/>
                      </w:pPr>
                    </w:p>
                  </w:txbxContent>
                </v:textbox>
              </v:rect>
            </w:pict>
          </mc:Fallback>
        </mc:AlternateContent>
      </w:r>
    </w:p>
    <w:p>
      <w:pPr>
        <w:spacing w:line="360" w:lineRule="auto"/>
        <w:rPr>
          <w:rFonts w:ascii="宋体" w:hAnsi="宋体" w:cs="宋体"/>
          <w:sz w:val="24"/>
          <w:szCs w:val="24"/>
        </w:rPr>
      </w:pPr>
    </w:p>
    <w:p>
      <w:pPr>
        <w:spacing w:line="360" w:lineRule="auto"/>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332105</wp:posOffset>
                </wp:positionH>
                <wp:positionV relativeFrom="paragraph">
                  <wp:posOffset>147955</wp:posOffset>
                </wp:positionV>
                <wp:extent cx="2657475" cy="1552575"/>
                <wp:effectExtent l="4445" t="4445" r="5080" b="5080"/>
                <wp:wrapNone/>
                <wp:docPr id="4" name="矩形 14"/>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pPr>
                            <w:r>
                              <w:rPr>
                                <w:rFonts w:hint="eastAsia"/>
                              </w:rPr>
                              <w:t>授权代理人身份证复印件（正面）</w:t>
                            </w:r>
                          </w:p>
                        </w:txbxContent>
                      </wps:txbx>
                      <wps:bodyPr wrap="square" upright="1"/>
                    </wps:wsp>
                  </a:graphicData>
                </a:graphic>
              </wp:anchor>
            </w:drawing>
          </mc:Choice>
          <mc:Fallback>
            <w:pict>
              <v:rect id="矩形 14" o:spid="_x0000_s1026" o:spt="1" style="position:absolute;left:0pt;margin-left:26.15pt;margin-top:11.65pt;height:122.25pt;width:209.25pt;z-index:251662336;mso-width-relative:page;mso-height-relative:page;" fillcolor="#FFFFFF" filled="t" stroked="t" coordsize="21600,21600" o:gfxdata="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y3ITdgAAAAJAQAADwAAAAAAAAABACAAAAAi&#10;AAAAZHJzL2Rvd25yZXYueG1sUEsBAhQAFAAAAAgAh07iQIHtZPIKAgAAOQQAAA4AAAAAAAAAAQAg&#10;AAAAJwEAAGRycy9lMm9Eb2MueG1sUEsFBgAAAAAGAAYAWQEAAKMFAAAAAA==&#10;">
                <v:fill on="t" focussize="0,0"/>
                <v:stroke color="#000000" joinstyle="miter"/>
                <v:imagedata o:title=""/>
                <o:lock v:ext="edit" aspectratio="f"/>
                <v:textbox>
                  <w:txbxContent>
                    <w:p>
                      <w:pPr>
                        <w:ind w:firstLine="480"/>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3132455</wp:posOffset>
                </wp:positionH>
                <wp:positionV relativeFrom="paragraph">
                  <wp:posOffset>138430</wp:posOffset>
                </wp:positionV>
                <wp:extent cx="2514600" cy="1552575"/>
                <wp:effectExtent l="4445" t="4445" r="14605" b="5080"/>
                <wp:wrapNone/>
                <wp:docPr id="5" name="矩形 16"/>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pPr>
                            <w:r>
                              <w:rPr>
                                <w:rFonts w:hint="eastAsia"/>
                              </w:rPr>
                              <w:t>授权代理人身份证复印件（反面）</w:t>
                            </w:r>
                          </w:p>
                        </w:txbxContent>
                      </wps:txbx>
                      <wps:bodyPr wrap="square" upright="1"/>
                    </wps:wsp>
                  </a:graphicData>
                </a:graphic>
              </wp:anchor>
            </w:drawing>
          </mc:Choice>
          <mc:Fallback>
            <w:pict>
              <v:rect id="矩形 16" o:spid="_x0000_s1026" o:spt="1" style="position:absolute;left:0pt;margin-left:246.65pt;margin-top:10.9pt;height:122.25pt;width:198pt;z-index:251663360;mso-width-relative:page;mso-height-relative:page;" fillcolor="#FFFFFF" filled="t" stroked="t" coordsize="21600,21600" o:gfxdata="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GJ7u1wAAAAoBAAAPAAAAAAAAAAEAIAAAACIA&#10;AABkcnMvZG93bnJldi54bWxQSwECFAAUAAAACACHTuJAaMe7tgoCAAA5BAAADgAAAAAAAAABACAA&#10;AAAmAQAAZHJzL2Uyb0RvYy54bWxQSwUGAAAAAAYABgBZAQAAogUAAAAA&#10;">
                <v:fill on="t" focussize="0,0"/>
                <v:stroke color="#000000" joinstyle="miter"/>
                <v:imagedata o:title=""/>
                <o:lock v:ext="edit" aspectratio="f"/>
                <v:textbox>
                  <w:txbxContent>
                    <w:p>
                      <w:pPr>
                        <w:ind w:firstLine="480"/>
                        <w:jc w:val="center"/>
                      </w:pPr>
                      <w:r>
                        <w:rPr>
                          <w:rFonts w:hint="eastAsia"/>
                        </w:rPr>
                        <w:t>授权代理人身份证复印件（反面）</w:t>
                      </w:r>
                    </w:p>
                  </w:txbxContent>
                </v:textbox>
              </v:rect>
            </w:pict>
          </mc:Fallback>
        </mc:AlternateContent>
      </w: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p>
    <w:p>
      <w:pPr>
        <w:pStyle w:val="2"/>
        <w:spacing w:line="360" w:lineRule="auto"/>
      </w:pPr>
    </w:p>
    <w:p>
      <w:pPr>
        <w:spacing w:line="360" w:lineRule="auto"/>
        <w:rPr>
          <w:rFonts w:ascii="宋体" w:hAnsi="宋体" w:cs="宋体"/>
          <w:color w:val="000000"/>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单位名称（公章）</w:t>
      </w:r>
      <w:r>
        <w:rPr>
          <w:rFonts w:hint="eastAsia" w:ascii="宋体" w:hAnsi="宋体" w:cs="宋体"/>
          <w:color w:val="000000"/>
          <w:sz w:val="24"/>
          <w:szCs w:val="24"/>
          <w:u w:val="single"/>
        </w:rPr>
        <w:t xml:space="preserve">           </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法定代表人签字：</w:t>
      </w:r>
      <w:r>
        <w:rPr>
          <w:rFonts w:hint="eastAsia" w:ascii="宋体" w:hAnsi="宋体" w:cs="宋体"/>
          <w:color w:val="000000"/>
          <w:sz w:val="24"/>
          <w:szCs w:val="24"/>
          <w:u w:val="single"/>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授权代理人签字</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pPr>
        <w:spacing w:line="360" w:lineRule="auto"/>
        <w:jc w:val="right"/>
        <w:rPr>
          <w:rFonts w:ascii="宋体" w:hAnsi="宋体" w:cs="宋体"/>
          <w:color w:val="000000"/>
          <w:sz w:val="24"/>
          <w:szCs w:val="24"/>
        </w:rPr>
      </w:pPr>
      <w:r>
        <w:rPr>
          <w:rFonts w:hint="eastAsia" w:ascii="宋体" w:hAnsi="宋体" w:cs="宋体"/>
          <w:color w:val="000000"/>
          <w:sz w:val="24"/>
          <w:szCs w:val="24"/>
        </w:rPr>
        <w:t xml:space="preserve">                                      年    月     日 </w:t>
      </w:r>
    </w:p>
    <w:p>
      <w:pPr>
        <w:tabs>
          <w:tab w:val="left" w:pos="2361"/>
        </w:tabs>
        <w:spacing w:line="360" w:lineRule="auto"/>
        <w:jc w:val="left"/>
        <w:rPr>
          <w:rFonts w:hint="eastAsia"/>
        </w:rPr>
      </w:pPr>
      <w:r>
        <w:rPr>
          <w:rFonts w:hint="eastAsia"/>
        </w:rPr>
        <w:tab/>
      </w:r>
    </w:p>
    <w:p/>
    <w:p>
      <w:pPr>
        <w:pStyle w:val="2"/>
      </w:pPr>
    </w:p>
    <w:p/>
    <w:p>
      <w:pPr>
        <w:rPr>
          <w:rStyle w:val="144"/>
          <w:rFonts w:hint="eastAsia" w:ascii="黑体" w:hAnsi="黑体" w:eastAsia="黑体" w:cs="黑体"/>
          <w:kern w:val="0"/>
          <w:sz w:val="32"/>
          <w:lang w:val="en-US" w:eastAsia="zh-CN" w:bidi="ar-SA"/>
        </w:rPr>
      </w:pPr>
      <w:r>
        <w:rPr>
          <w:rStyle w:val="144"/>
          <w:rFonts w:hint="eastAsia" w:ascii="黑体" w:hAnsi="黑体" w:eastAsia="黑体" w:cs="黑体"/>
          <w:kern w:val="0"/>
          <w:sz w:val="32"/>
          <w:lang w:val="en-US" w:eastAsia="zh-CN" w:bidi="ar-SA"/>
        </w:rPr>
        <w:t>附件7偏离表</w:t>
      </w:r>
    </w:p>
    <w:p>
      <w:pPr>
        <w:pStyle w:val="2"/>
        <w:rPr>
          <w:rFonts w:hint="eastAsia"/>
          <w:lang w:val="en-US" w:eastAsia="zh-CN"/>
        </w:rPr>
      </w:pPr>
    </w:p>
    <w:p>
      <w:pPr>
        <w:spacing w:line="360" w:lineRule="auto"/>
        <w:rPr>
          <w:rFonts w:hint="eastAsia"/>
          <w:sz w:val="22"/>
          <w:szCs w:val="22"/>
        </w:rPr>
      </w:pPr>
      <w:r>
        <w:rPr>
          <w:rFonts w:hint="eastAsia"/>
          <w:sz w:val="22"/>
          <w:szCs w:val="22"/>
        </w:rPr>
        <w:t>招标项目名称：</w:t>
      </w:r>
      <w:r>
        <w:rPr>
          <w:rFonts w:hint="eastAsia"/>
          <w:color w:val="000000"/>
          <w:sz w:val="22"/>
          <w:szCs w:val="22"/>
        </w:rPr>
        <w:t>____________________</w:t>
      </w:r>
    </w:p>
    <w:p>
      <w:pPr>
        <w:spacing w:line="360" w:lineRule="auto"/>
        <w:rPr>
          <w:rFonts w:hint="eastAsia"/>
          <w:color w:val="000000"/>
          <w:sz w:val="22"/>
          <w:szCs w:val="22"/>
        </w:rPr>
      </w:pPr>
      <w:r>
        <w:rPr>
          <w:rFonts w:hint="eastAsia"/>
          <w:color w:val="000000"/>
          <w:sz w:val="22"/>
          <w:szCs w:val="22"/>
        </w:rPr>
        <w:t>招标编号：________________________</w:t>
      </w:r>
    </w:p>
    <w:p>
      <w:pPr>
        <w:spacing w:line="360" w:lineRule="auto"/>
        <w:rPr>
          <w:rFonts w:hint="eastAsia"/>
          <w:sz w:val="22"/>
          <w:szCs w:val="22"/>
        </w:rPr>
      </w:pPr>
      <w:r>
        <w:rPr>
          <w:rFonts w:hint="eastAsia"/>
          <w:sz w:val="22"/>
          <w:szCs w:val="22"/>
        </w:rPr>
        <w:t>日期：  年   月   日</w:t>
      </w:r>
    </w:p>
    <w:p>
      <w:pPr>
        <w:jc w:val="center"/>
        <w:rPr>
          <w:rFonts w:eastAsia="黑体"/>
          <w:b/>
          <w:bCs/>
          <w:sz w:val="28"/>
        </w:rPr>
      </w:pPr>
      <w:r>
        <w:rPr>
          <w:rFonts w:hint="eastAsia" w:eastAsia="黑体"/>
          <w:b/>
          <w:bCs/>
          <w:sz w:val="28"/>
        </w:rPr>
        <w:t>相关条款偏离表（含商务偏离及技术偏离）</w:t>
      </w:r>
    </w:p>
    <w:p>
      <w:pPr>
        <w:ind w:firstLine="105" w:firstLineChars="50"/>
        <w:rPr>
          <w:szCs w:val="21"/>
        </w:rPr>
      </w:pPr>
      <w:r>
        <w:rPr>
          <w:rFonts w:hint="eastAsia"/>
          <w:szCs w:val="21"/>
        </w:rPr>
        <w:t>公章：</w:t>
      </w:r>
    </w:p>
    <w:p>
      <w:pPr>
        <w:jc w:val="center"/>
        <w:rPr>
          <w:rFonts w:hint="eastAsia" w:eastAsia="黑体"/>
          <w:b/>
          <w:bCs/>
          <w:sz w:val="28"/>
        </w:rPr>
      </w:pP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pPr>
              <w:jc w:val="center"/>
              <w:rPr>
                <w:rFonts w:hint="eastAsia"/>
              </w:rPr>
            </w:pPr>
            <w:r>
              <w:rPr>
                <w:rFonts w:hint="eastAsia"/>
              </w:rPr>
              <w:t>序号</w:t>
            </w:r>
          </w:p>
        </w:tc>
        <w:tc>
          <w:tcPr>
            <w:tcW w:w="4140" w:type="dxa"/>
            <w:gridSpan w:val="2"/>
            <w:noWrap w:val="0"/>
            <w:vAlign w:val="center"/>
          </w:tcPr>
          <w:p>
            <w:pPr>
              <w:jc w:val="center"/>
              <w:rPr>
                <w:rFonts w:hint="eastAsia"/>
              </w:rPr>
            </w:pPr>
            <w:r>
              <w:rPr>
                <w:rFonts w:hint="eastAsia"/>
              </w:rPr>
              <w:t>招标文件条款</w:t>
            </w:r>
          </w:p>
        </w:tc>
        <w:tc>
          <w:tcPr>
            <w:tcW w:w="3554" w:type="dxa"/>
            <w:vMerge w:val="restart"/>
            <w:noWrap w:val="0"/>
            <w:vAlign w:val="center"/>
          </w:tcPr>
          <w:p>
            <w:pPr>
              <w:jc w:val="center"/>
              <w:rPr>
                <w:rFonts w:hint="eastAsia"/>
              </w:rPr>
            </w:pPr>
            <w:r>
              <w:rPr>
                <w:rFonts w:hint="eastAsia"/>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pPr>
              <w:rPr>
                <w:rFonts w:hint="eastAsia"/>
              </w:rPr>
            </w:pPr>
          </w:p>
        </w:tc>
        <w:tc>
          <w:tcPr>
            <w:tcW w:w="1080" w:type="dxa"/>
            <w:noWrap w:val="0"/>
            <w:vAlign w:val="center"/>
          </w:tcPr>
          <w:p>
            <w:pPr>
              <w:jc w:val="center"/>
              <w:rPr>
                <w:rFonts w:hint="eastAsia"/>
              </w:rPr>
            </w:pPr>
            <w:r>
              <w:rPr>
                <w:rFonts w:hint="eastAsia"/>
              </w:rPr>
              <w:t>条款号</w:t>
            </w:r>
          </w:p>
        </w:tc>
        <w:tc>
          <w:tcPr>
            <w:tcW w:w="3060" w:type="dxa"/>
            <w:noWrap w:val="0"/>
            <w:vAlign w:val="center"/>
          </w:tcPr>
          <w:p>
            <w:pPr>
              <w:jc w:val="center"/>
              <w:rPr>
                <w:rFonts w:hint="eastAsia"/>
              </w:rPr>
            </w:pPr>
            <w:r>
              <w:rPr>
                <w:rFonts w:hint="eastAsia"/>
              </w:rPr>
              <w:t>条款要求</w:t>
            </w:r>
          </w:p>
        </w:tc>
        <w:tc>
          <w:tcPr>
            <w:tcW w:w="3554"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rPr>
            </w:pPr>
            <w:r>
              <w:rPr>
                <w:rFonts w:hint="eastAsia"/>
              </w:rPr>
              <w:t>1</w:t>
            </w:r>
          </w:p>
        </w:tc>
        <w:tc>
          <w:tcPr>
            <w:tcW w:w="1080" w:type="dxa"/>
            <w:noWrap w:val="0"/>
            <w:vAlign w:val="center"/>
          </w:tcPr>
          <w:p>
            <w:pPr>
              <w:rPr>
                <w:rFonts w:hint="eastAsia"/>
              </w:rPr>
            </w:pPr>
          </w:p>
        </w:tc>
        <w:tc>
          <w:tcPr>
            <w:tcW w:w="3060" w:type="dxa"/>
            <w:noWrap w:val="0"/>
            <w:vAlign w:val="center"/>
          </w:tcPr>
          <w:p>
            <w:pPr>
              <w:rPr>
                <w:rFonts w:hint="eastAsia"/>
              </w:rPr>
            </w:pPr>
          </w:p>
        </w:tc>
        <w:tc>
          <w:tcPr>
            <w:tcW w:w="355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rPr>
            </w:pPr>
            <w:r>
              <w:rPr>
                <w:rFonts w:hint="eastAsia"/>
              </w:rPr>
              <w:t>2</w:t>
            </w:r>
          </w:p>
        </w:tc>
        <w:tc>
          <w:tcPr>
            <w:tcW w:w="1080" w:type="dxa"/>
            <w:noWrap w:val="0"/>
            <w:vAlign w:val="center"/>
          </w:tcPr>
          <w:p>
            <w:pPr>
              <w:rPr>
                <w:rFonts w:hint="eastAsia"/>
              </w:rPr>
            </w:pPr>
          </w:p>
        </w:tc>
        <w:tc>
          <w:tcPr>
            <w:tcW w:w="3060" w:type="dxa"/>
            <w:noWrap w:val="0"/>
            <w:vAlign w:val="center"/>
          </w:tcPr>
          <w:p>
            <w:pPr>
              <w:rPr>
                <w:rFonts w:hint="eastAsia"/>
              </w:rPr>
            </w:pPr>
          </w:p>
        </w:tc>
        <w:tc>
          <w:tcPr>
            <w:tcW w:w="355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rPr>
            </w:pPr>
            <w:r>
              <w:rPr>
                <w:rFonts w:hint="eastAsia"/>
              </w:rPr>
              <w:t>3</w:t>
            </w:r>
          </w:p>
        </w:tc>
        <w:tc>
          <w:tcPr>
            <w:tcW w:w="1080" w:type="dxa"/>
            <w:noWrap w:val="0"/>
            <w:vAlign w:val="center"/>
          </w:tcPr>
          <w:p>
            <w:pPr>
              <w:rPr>
                <w:rFonts w:hint="eastAsia"/>
              </w:rPr>
            </w:pPr>
          </w:p>
        </w:tc>
        <w:tc>
          <w:tcPr>
            <w:tcW w:w="3060" w:type="dxa"/>
            <w:noWrap w:val="0"/>
            <w:vAlign w:val="center"/>
          </w:tcPr>
          <w:p>
            <w:pPr>
              <w:rPr>
                <w:rFonts w:hint="eastAsia"/>
              </w:rPr>
            </w:pPr>
          </w:p>
        </w:tc>
        <w:tc>
          <w:tcPr>
            <w:tcW w:w="355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rPr>
            </w:pPr>
            <w:r>
              <w:rPr>
                <w:rFonts w:hint="eastAsia"/>
              </w:rPr>
              <w:t>4</w:t>
            </w:r>
          </w:p>
        </w:tc>
        <w:tc>
          <w:tcPr>
            <w:tcW w:w="1080" w:type="dxa"/>
            <w:noWrap w:val="0"/>
            <w:vAlign w:val="center"/>
          </w:tcPr>
          <w:p>
            <w:pPr>
              <w:rPr>
                <w:rFonts w:hint="eastAsia"/>
              </w:rPr>
            </w:pPr>
          </w:p>
        </w:tc>
        <w:tc>
          <w:tcPr>
            <w:tcW w:w="3060" w:type="dxa"/>
            <w:noWrap w:val="0"/>
            <w:vAlign w:val="center"/>
          </w:tcPr>
          <w:p>
            <w:pPr>
              <w:rPr>
                <w:rFonts w:hint="eastAsia"/>
              </w:rPr>
            </w:pPr>
          </w:p>
        </w:tc>
        <w:tc>
          <w:tcPr>
            <w:tcW w:w="355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rPr>
            </w:pPr>
            <w:r>
              <w:rPr>
                <w:rFonts w:hint="eastAsia"/>
              </w:rPr>
              <w:t>5</w:t>
            </w:r>
          </w:p>
        </w:tc>
        <w:tc>
          <w:tcPr>
            <w:tcW w:w="1080" w:type="dxa"/>
            <w:noWrap w:val="0"/>
            <w:vAlign w:val="center"/>
          </w:tcPr>
          <w:p>
            <w:pPr>
              <w:rPr>
                <w:rFonts w:hint="eastAsia"/>
              </w:rPr>
            </w:pPr>
          </w:p>
        </w:tc>
        <w:tc>
          <w:tcPr>
            <w:tcW w:w="3060" w:type="dxa"/>
            <w:noWrap w:val="0"/>
            <w:vAlign w:val="center"/>
          </w:tcPr>
          <w:p>
            <w:pPr>
              <w:rPr>
                <w:rFonts w:hint="eastAsia"/>
              </w:rPr>
            </w:pPr>
          </w:p>
        </w:tc>
        <w:tc>
          <w:tcPr>
            <w:tcW w:w="355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rPr>
            </w:pPr>
            <w:r>
              <w:rPr>
                <w:rFonts w:hint="eastAsia"/>
              </w:rPr>
              <w:t>6</w:t>
            </w:r>
          </w:p>
        </w:tc>
        <w:tc>
          <w:tcPr>
            <w:tcW w:w="1080" w:type="dxa"/>
            <w:noWrap w:val="0"/>
            <w:vAlign w:val="center"/>
          </w:tcPr>
          <w:p>
            <w:pPr>
              <w:rPr>
                <w:rFonts w:hint="eastAsia"/>
              </w:rPr>
            </w:pPr>
          </w:p>
        </w:tc>
        <w:tc>
          <w:tcPr>
            <w:tcW w:w="3060" w:type="dxa"/>
            <w:noWrap w:val="0"/>
            <w:vAlign w:val="center"/>
          </w:tcPr>
          <w:p>
            <w:pPr>
              <w:rPr>
                <w:rFonts w:hint="eastAsia"/>
              </w:rPr>
            </w:pPr>
          </w:p>
        </w:tc>
        <w:tc>
          <w:tcPr>
            <w:tcW w:w="355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rPr>
            </w:pPr>
            <w:r>
              <w:rPr>
                <w:rFonts w:hint="eastAsia"/>
              </w:rPr>
              <w:t>7</w:t>
            </w:r>
          </w:p>
        </w:tc>
        <w:tc>
          <w:tcPr>
            <w:tcW w:w="1080" w:type="dxa"/>
            <w:noWrap w:val="0"/>
            <w:vAlign w:val="center"/>
          </w:tcPr>
          <w:p>
            <w:pPr>
              <w:rPr>
                <w:rFonts w:hint="eastAsia"/>
              </w:rPr>
            </w:pPr>
          </w:p>
        </w:tc>
        <w:tc>
          <w:tcPr>
            <w:tcW w:w="3060" w:type="dxa"/>
            <w:noWrap w:val="0"/>
            <w:vAlign w:val="center"/>
          </w:tcPr>
          <w:p>
            <w:pPr>
              <w:rPr>
                <w:rFonts w:hint="eastAsia"/>
              </w:rPr>
            </w:pPr>
          </w:p>
        </w:tc>
        <w:tc>
          <w:tcPr>
            <w:tcW w:w="355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rPr>
            </w:pPr>
            <w:r>
              <w:rPr>
                <w:rFonts w:hint="eastAsia"/>
              </w:rPr>
              <w:t>8</w:t>
            </w:r>
          </w:p>
        </w:tc>
        <w:tc>
          <w:tcPr>
            <w:tcW w:w="1080" w:type="dxa"/>
            <w:noWrap w:val="0"/>
            <w:vAlign w:val="center"/>
          </w:tcPr>
          <w:p>
            <w:pPr>
              <w:rPr>
                <w:rFonts w:hint="eastAsia"/>
              </w:rPr>
            </w:pPr>
          </w:p>
        </w:tc>
        <w:tc>
          <w:tcPr>
            <w:tcW w:w="3060" w:type="dxa"/>
            <w:noWrap w:val="0"/>
            <w:vAlign w:val="center"/>
          </w:tcPr>
          <w:p>
            <w:pPr>
              <w:rPr>
                <w:rFonts w:hint="eastAsia"/>
              </w:rPr>
            </w:pPr>
          </w:p>
        </w:tc>
        <w:tc>
          <w:tcPr>
            <w:tcW w:w="355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rPr>
            </w:pPr>
            <w:r>
              <w:rPr>
                <w:rFonts w:hint="eastAsia"/>
              </w:rPr>
              <w:t>9</w:t>
            </w:r>
          </w:p>
        </w:tc>
        <w:tc>
          <w:tcPr>
            <w:tcW w:w="1080" w:type="dxa"/>
            <w:noWrap w:val="0"/>
            <w:vAlign w:val="center"/>
          </w:tcPr>
          <w:p>
            <w:pPr>
              <w:rPr>
                <w:rFonts w:hint="eastAsia"/>
              </w:rPr>
            </w:pPr>
          </w:p>
        </w:tc>
        <w:tc>
          <w:tcPr>
            <w:tcW w:w="3060" w:type="dxa"/>
            <w:noWrap w:val="0"/>
            <w:vAlign w:val="center"/>
          </w:tcPr>
          <w:p>
            <w:pPr>
              <w:rPr>
                <w:rFonts w:hint="eastAsia"/>
              </w:rPr>
            </w:pPr>
          </w:p>
        </w:tc>
        <w:tc>
          <w:tcPr>
            <w:tcW w:w="355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rPr>
            </w:pPr>
            <w:r>
              <w:rPr>
                <w:rFonts w:hint="eastAsia"/>
              </w:rPr>
              <w:t>10</w:t>
            </w:r>
          </w:p>
        </w:tc>
        <w:tc>
          <w:tcPr>
            <w:tcW w:w="1080" w:type="dxa"/>
            <w:noWrap w:val="0"/>
            <w:vAlign w:val="center"/>
          </w:tcPr>
          <w:p>
            <w:pPr>
              <w:rPr>
                <w:rFonts w:hint="eastAsia"/>
              </w:rPr>
            </w:pPr>
          </w:p>
        </w:tc>
        <w:tc>
          <w:tcPr>
            <w:tcW w:w="3060" w:type="dxa"/>
            <w:noWrap w:val="0"/>
            <w:vAlign w:val="center"/>
          </w:tcPr>
          <w:p>
            <w:pPr>
              <w:rPr>
                <w:rFonts w:hint="eastAsia"/>
              </w:rPr>
            </w:pPr>
          </w:p>
        </w:tc>
        <w:tc>
          <w:tcPr>
            <w:tcW w:w="3554" w:type="dxa"/>
            <w:noWrap w:val="0"/>
            <w:vAlign w:val="center"/>
          </w:tcPr>
          <w:p>
            <w:pPr>
              <w:rPr>
                <w:rFonts w:hint="eastAsia"/>
              </w:rPr>
            </w:pPr>
          </w:p>
        </w:tc>
      </w:tr>
    </w:tbl>
    <w:p>
      <w:pPr>
        <w:rPr>
          <w:rFonts w:hint="eastAsia"/>
        </w:rPr>
      </w:pPr>
    </w:p>
    <w:p>
      <w:pPr>
        <w:rPr>
          <w:rFonts w:hint="eastAsia"/>
          <w:sz w:val="22"/>
          <w:szCs w:val="22"/>
        </w:rPr>
      </w:pPr>
      <w:r>
        <w:rPr>
          <w:rFonts w:hint="eastAsia"/>
          <w:szCs w:val="21"/>
        </w:rPr>
        <w:t xml:space="preserve">投标人名称：              </w:t>
      </w:r>
      <w:r>
        <w:rPr>
          <w:szCs w:val="21"/>
        </w:rPr>
        <w:t xml:space="preserve">            </w:t>
      </w:r>
      <w:r>
        <w:rPr>
          <w:rFonts w:hint="eastAsia"/>
          <w:szCs w:val="21"/>
        </w:rPr>
        <w:t xml:space="preserve"> 法定代表人或授权代表签字：</w:t>
      </w:r>
    </w:p>
    <w:p>
      <w:pPr>
        <w:rPr>
          <w:rFonts w:hint="eastAsia"/>
          <w:sz w:val="22"/>
          <w:szCs w:val="22"/>
        </w:rPr>
      </w:pPr>
    </w:p>
    <w:p>
      <w:pPr>
        <w:rPr>
          <w:rFonts w:hint="eastAsia"/>
          <w:sz w:val="22"/>
          <w:szCs w:val="22"/>
        </w:rPr>
      </w:pPr>
      <w:r>
        <w:rPr>
          <w:rFonts w:hint="eastAsia"/>
          <w:b/>
          <w:sz w:val="22"/>
          <w:szCs w:val="22"/>
        </w:rPr>
        <w:t>注：</w:t>
      </w:r>
      <w:r>
        <w:rPr>
          <w:rFonts w:hint="eastAsia"/>
          <w:sz w:val="22"/>
          <w:szCs w:val="22"/>
        </w:rPr>
        <w:t>为避免歧义，无偏离也应要提报该表，并注明“无”字。如无该表则即使在其它部分已反映，将也被视为“无偏离”。</w:t>
      </w:r>
    </w:p>
    <w:p>
      <w:pPr>
        <w:pStyle w:val="2"/>
      </w:pPr>
    </w:p>
    <w:p/>
    <w:p>
      <w:pPr>
        <w:pStyle w:val="2"/>
      </w:pPr>
    </w:p>
    <w:p/>
    <w:p>
      <w:pPr>
        <w:pStyle w:val="2"/>
      </w:pPr>
    </w:p>
    <w:p/>
    <w:p>
      <w:pPr>
        <w:pStyle w:val="2"/>
      </w:pPr>
    </w:p>
    <w:p>
      <w:pPr>
        <w:rPr>
          <w:rStyle w:val="144"/>
          <w:rFonts w:hint="eastAsia" w:ascii="黑体" w:hAnsi="黑体" w:eastAsia="黑体" w:cs="黑体"/>
          <w:kern w:val="0"/>
          <w:sz w:val="32"/>
          <w:lang w:val="en-US" w:eastAsia="zh-CN" w:bidi="ar-SA"/>
        </w:rPr>
      </w:pPr>
      <w:r>
        <w:rPr>
          <w:rStyle w:val="144"/>
          <w:rFonts w:hint="eastAsia" w:ascii="黑体" w:hAnsi="黑体" w:eastAsia="黑体" w:cs="黑体"/>
          <w:kern w:val="0"/>
          <w:sz w:val="32"/>
          <w:lang w:val="en-US" w:eastAsia="zh-CN" w:bidi="ar-SA"/>
        </w:rPr>
        <w:t>附件8</w:t>
      </w:r>
    </w:p>
    <w:p>
      <w:pPr>
        <w:rPr>
          <w:rFonts w:hint="eastAsia"/>
          <w:sz w:val="22"/>
          <w:szCs w:val="22"/>
        </w:rPr>
      </w:pPr>
      <w:r>
        <w:rPr>
          <w:rFonts w:hint="eastAsia"/>
          <w:sz w:val="22"/>
          <w:szCs w:val="22"/>
        </w:rPr>
        <w:t>招标项目名称：</w:t>
      </w:r>
      <w:r>
        <w:rPr>
          <w:rFonts w:hint="eastAsia"/>
          <w:color w:val="000000"/>
          <w:sz w:val="22"/>
          <w:szCs w:val="22"/>
        </w:rPr>
        <w:t>____________________</w:t>
      </w:r>
    </w:p>
    <w:p>
      <w:pPr>
        <w:spacing w:line="360" w:lineRule="auto"/>
        <w:rPr>
          <w:rFonts w:hint="eastAsia"/>
          <w:color w:val="000000"/>
          <w:sz w:val="22"/>
          <w:szCs w:val="22"/>
        </w:rPr>
      </w:pPr>
      <w:r>
        <w:rPr>
          <w:rFonts w:hint="eastAsia"/>
          <w:color w:val="000000"/>
          <w:sz w:val="22"/>
          <w:szCs w:val="22"/>
        </w:rPr>
        <w:t>招标编号：________________________</w:t>
      </w:r>
    </w:p>
    <w:p>
      <w:pPr>
        <w:spacing w:line="360" w:lineRule="auto"/>
        <w:rPr>
          <w:rFonts w:hint="eastAsia"/>
          <w:sz w:val="22"/>
          <w:szCs w:val="22"/>
        </w:rPr>
      </w:pPr>
      <w:r>
        <w:rPr>
          <w:rFonts w:hint="eastAsia"/>
          <w:sz w:val="22"/>
          <w:szCs w:val="22"/>
        </w:rPr>
        <w:t>日期：  年   月   日</w:t>
      </w:r>
    </w:p>
    <w:p>
      <w:pPr>
        <w:jc w:val="center"/>
        <w:rPr>
          <w:rFonts w:eastAsia="黑体"/>
          <w:b/>
          <w:bCs/>
          <w:sz w:val="28"/>
        </w:rPr>
      </w:pPr>
      <w:r>
        <w:rPr>
          <w:rFonts w:hint="eastAsia" w:eastAsia="黑体"/>
          <w:b/>
          <w:bCs/>
          <w:sz w:val="28"/>
        </w:rPr>
        <w:t>企业情况、从业经历、服务承诺一览表</w:t>
      </w:r>
    </w:p>
    <w:p>
      <w:pPr>
        <w:jc w:val="center"/>
        <w:rPr>
          <w:rFonts w:hint="eastAsia"/>
          <w:szCs w:val="21"/>
        </w:rPr>
      </w:pPr>
    </w:p>
    <w:tbl>
      <w:tblPr>
        <w:tblStyle w:val="76"/>
        <w:tblW w:w="10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44"/>
        <w:gridCol w:w="266"/>
        <w:gridCol w:w="797"/>
        <w:gridCol w:w="1460"/>
        <w:gridCol w:w="1462"/>
        <w:gridCol w:w="1063"/>
        <w:gridCol w:w="1062"/>
        <w:gridCol w:w="797"/>
        <w:gridCol w:w="797"/>
        <w:gridCol w:w="132"/>
        <w:gridCol w:w="1063"/>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51" w:hRule="atLeast"/>
          <w:jc w:val="center"/>
        </w:trPr>
        <w:tc>
          <w:tcPr>
            <w:tcW w:w="1010" w:type="dxa"/>
            <w:gridSpan w:val="2"/>
            <w:noWrap w:val="0"/>
            <w:vAlign w:val="center"/>
          </w:tcPr>
          <w:p>
            <w:pPr>
              <w:jc w:val="center"/>
              <w:rPr>
                <w:szCs w:val="21"/>
              </w:rPr>
            </w:pPr>
            <w:r>
              <w:rPr>
                <w:rFonts w:hint="eastAsia"/>
                <w:szCs w:val="21"/>
              </w:rPr>
              <w:t>单位名称</w:t>
            </w:r>
          </w:p>
        </w:tc>
        <w:tc>
          <w:tcPr>
            <w:tcW w:w="3719" w:type="dxa"/>
            <w:gridSpan w:val="3"/>
            <w:noWrap w:val="0"/>
            <w:vAlign w:val="center"/>
          </w:tcPr>
          <w:p>
            <w:pPr>
              <w:rPr>
                <w:szCs w:val="21"/>
              </w:rPr>
            </w:pPr>
          </w:p>
        </w:tc>
        <w:tc>
          <w:tcPr>
            <w:tcW w:w="1063" w:type="dxa"/>
            <w:noWrap w:val="0"/>
            <w:vAlign w:val="center"/>
          </w:tcPr>
          <w:p>
            <w:pPr>
              <w:jc w:val="center"/>
              <w:rPr>
                <w:szCs w:val="21"/>
              </w:rPr>
            </w:pPr>
            <w:r>
              <w:rPr>
                <w:rFonts w:hint="eastAsia"/>
                <w:szCs w:val="21"/>
              </w:rPr>
              <w:t>所属行业</w:t>
            </w:r>
          </w:p>
        </w:tc>
        <w:tc>
          <w:tcPr>
            <w:tcW w:w="1062" w:type="dxa"/>
            <w:noWrap w:val="0"/>
            <w:vAlign w:val="center"/>
          </w:tcPr>
          <w:p>
            <w:pPr>
              <w:jc w:val="center"/>
              <w:rPr>
                <w:szCs w:val="21"/>
              </w:rPr>
            </w:pPr>
          </w:p>
        </w:tc>
        <w:tc>
          <w:tcPr>
            <w:tcW w:w="797" w:type="dxa"/>
            <w:noWrap w:val="0"/>
            <w:vAlign w:val="center"/>
          </w:tcPr>
          <w:p>
            <w:pPr>
              <w:jc w:val="center"/>
              <w:rPr>
                <w:szCs w:val="21"/>
              </w:rPr>
            </w:pPr>
            <w:r>
              <w:rPr>
                <w:rFonts w:hint="eastAsia"/>
                <w:szCs w:val="21"/>
              </w:rPr>
              <w:t>电话</w:t>
            </w:r>
          </w:p>
        </w:tc>
        <w:tc>
          <w:tcPr>
            <w:tcW w:w="929" w:type="dxa"/>
            <w:gridSpan w:val="2"/>
            <w:noWrap w:val="0"/>
            <w:vAlign w:val="center"/>
          </w:tcPr>
          <w:p>
            <w:pPr>
              <w:jc w:val="center"/>
              <w:rPr>
                <w:szCs w:val="21"/>
              </w:rPr>
            </w:pPr>
          </w:p>
        </w:tc>
        <w:tc>
          <w:tcPr>
            <w:tcW w:w="1063" w:type="dxa"/>
            <w:noWrap w:val="0"/>
            <w:vAlign w:val="center"/>
          </w:tcPr>
          <w:p>
            <w:pPr>
              <w:jc w:val="center"/>
              <w:rPr>
                <w:szCs w:val="21"/>
              </w:rPr>
            </w:pPr>
            <w:r>
              <w:rPr>
                <w:rFonts w:hint="eastAsia"/>
                <w:szCs w:val="21"/>
              </w:rPr>
              <w:t>法定代表人</w:t>
            </w:r>
          </w:p>
        </w:tc>
        <w:tc>
          <w:tcPr>
            <w:tcW w:w="1118"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11" w:hRule="atLeast"/>
          <w:jc w:val="center"/>
        </w:trPr>
        <w:tc>
          <w:tcPr>
            <w:tcW w:w="1010" w:type="dxa"/>
            <w:gridSpan w:val="2"/>
            <w:noWrap w:val="0"/>
            <w:vAlign w:val="center"/>
          </w:tcPr>
          <w:p>
            <w:pPr>
              <w:jc w:val="center"/>
              <w:rPr>
                <w:szCs w:val="21"/>
              </w:rPr>
            </w:pPr>
            <w:r>
              <w:rPr>
                <w:rFonts w:hint="eastAsia"/>
                <w:szCs w:val="21"/>
              </w:rPr>
              <w:t>地址</w:t>
            </w:r>
          </w:p>
        </w:tc>
        <w:tc>
          <w:tcPr>
            <w:tcW w:w="3719" w:type="dxa"/>
            <w:gridSpan w:val="3"/>
            <w:noWrap w:val="0"/>
            <w:vAlign w:val="center"/>
          </w:tcPr>
          <w:p>
            <w:pPr>
              <w:jc w:val="center"/>
              <w:rPr>
                <w:szCs w:val="21"/>
              </w:rPr>
            </w:pPr>
          </w:p>
        </w:tc>
        <w:tc>
          <w:tcPr>
            <w:tcW w:w="1063" w:type="dxa"/>
            <w:noWrap w:val="0"/>
            <w:vAlign w:val="center"/>
          </w:tcPr>
          <w:p>
            <w:pPr>
              <w:jc w:val="center"/>
              <w:rPr>
                <w:szCs w:val="21"/>
              </w:rPr>
            </w:pPr>
            <w:r>
              <w:rPr>
                <w:rFonts w:hint="eastAsia"/>
                <w:szCs w:val="21"/>
              </w:rPr>
              <w:t>单位类型</w:t>
            </w:r>
          </w:p>
        </w:tc>
        <w:tc>
          <w:tcPr>
            <w:tcW w:w="1062" w:type="dxa"/>
            <w:noWrap w:val="0"/>
            <w:vAlign w:val="center"/>
          </w:tcPr>
          <w:p>
            <w:pPr>
              <w:jc w:val="center"/>
              <w:rPr>
                <w:szCs w:val="21"/>
              </w:rPr>
            </w:pPr>
          </w:p>
        </w:tc>
        <w:tc>
          <w:tcPr>
            <w:tcW w:w="797" w:type="dxa"/>
            <w:noWrap w:val="0"/>
            <w:vAlign w:val="center"/>
          </w:tcPr>
          <w:p>
            <w:pPr>
              <w:jc w:val="center"/>
              <w:rPr>
                <w:szCs w:val="21"/>
              </w:rPr>
            </w:pPr>
            <w:r>
              <w:rPr>
                <w:rFonts w:hint="eastAsia"/>
                <w:szCs w:val="21"/>
              </w:rPr>
              <w:t>传真</w:t>
            </w:r>
          </w:p>
        </w:tc>
        <w:tc>
          <w:tcPr>
            <w:tcW w:w="929" w:type="dxa"/>
            <w:gridSpan w:val="2"/>
            <w:noWrap w:val="0"/>
            <w:vAlign w:val="center"/>
          </w:tcPr>
          <w:p>
            <w:pPr>
              <w:jc w:val="center"/>
              <w:rPr>
                <w:szCs w:val="21"/>
              </w:rPr>
            </w:pPr>
          </w:p>
        </w:tc>
        <w:tc>
          <w:tcPr>
            <w:tcW w:w="1063" w:type="dxa"/>
            <w:noWrap w:val="0"/>
            <w:vAlign w:val="center"/>
          </w:tcPr>
          <w:p>
            <w:pPr>
              <w:jc w:val="center"/>
              <w:rPr>
                <w:szCs w:val="21"/>
              </w:rPr>
            </w:pPr>
            <w:r>
              <w:rPr>
                <w:rFonts w:hint="eastAsia"/>
                <w:szCs w:val="21"/>
              </w:rPr>
              <w:t>被授权人</w:t>
            </w:r>
          </w:p>
        </w:tc>
        <w:tc>
          <w:tcPr>
            <w:tcW w:w="1118"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493" w:hRule="atLeast"/>
          <w:jc w:val="center"/>
        </w:trPr>
        <w:tc>
          <w:tcPr>
            <w:tcW w:w="1807" w:type="dxa"/>
            <w:gridSpan w:val="3"/>
            <w:noWrap w:val="0"/>
            <w:vAlign w:val="center"/>
          </w:tcPr>
          <w:p>
            <w:pPr>
              <w:rPr>
                <w:szCs w:val="21"/>
              </w:rPr>
            </w:pPr>
            <w:r>
              <w:rPr>
                <w:rFonts w:hint="eastAsia"/>
                <w:szCs w:val="21"/>
              </w:rPr>
              <w:t>一、从事本投标项目经验及企业概况</w:t>
            </w:r>
          </w:p>
        </w:tc>
        <w:tc>
          <w:tcPr>
            <w:tcW w:w="3985" w:type="dxa"/>
            <w:gridSpan w:val="3"/>
            <w:noWrap w:val="0"/>
            <w:vAlign w:val="center"/>
          </w:tcPr>
          <w:p>
            <w:pPr>
              <w:rPr>
                <w:szCs w:val="21"/>
              </w:rPr>
            </w:pPr>
          </w:p>
        </w:tc>
        <w:tc>
          <w:tcPr>
            <w:tcW w:w="1062" w:type="dxa"/>
            <w:noWrap w:val="0"/>
            <w:vAlign w:val="center"/>
          </w:tcPr>
          <w:p>
            <w:pPr>
              <w:jc w:val="center"/>
              <w:rPr>
                <w:szCs w:val="21"/>
              </w:rPr>
            </w:pPr>
            <w:r>
              <w:rPr>
                <w:rFonts w:hint="eastAsia"/>
                <w:szCs w:val="21"/>
              </w:rPr>
              <w:t>投标人</w:t>
            </w:r>
          </w:p>
          <w:p>
            <w:pPr>
              <w:jc w:val="center"/>
              <w:rPr>
                <w:szCs w:val="21"/>
              </w:rPr>
            </w:pPr>
            <w:r>
              <w:rPr>
                <w:rFonts w:hint="eastAsia"/>
                <w:szCs w:val="21"/>
              </w:rPr>
              <w:t>声明</w:t>
            </w:r>
          </w:p>
        </w:tc>
        <w:tc>
          <w:tcPr>
            <w:tcW w:w="3907" w:type="dxa"/>
            <w:gridSpan w:val="5"/>
            <w:noWrap w:val="0"/>
            <w:vAlign w:val="center"/>
          </w:tcPr>
          <w:p>
            <w:pPr>
              <w:rPr>
                <w:szCs w:val="21"/>
              </w:rPr>
            </w:pPr>
            <w:r>
              <w:rPr>
                <w:rFonts w:hint="eastAsia"/>
                <w:szCs w:val="21"/>
              </w:rPr>
              <w:t>1.本声明中提供的情况和内容及我方提供的资格证明文件内容完全是真实的。</w:t>
            </w:r>
          </w:p>
          <w:p>
            <w:pPr>
              <w:rPr>
                <w:szCs w:val="21"/>
              </w:rPr>
            </w:pPr>
            <w:r>
              <w:rPr>
                <w:rFonts w:hint="eastAsia"/>
                <w:szCs w:val="21"/>
              </w:rPr>
              <w:t>2.我方承担因发标人查知因我方材料不实而造成本次招标失败的所有损失。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66" w:hRule="atLeast"/>
          <w:jc w:val="center"/>
        </w:trPr>
        <w:tc>
          <w:tcPr>
            <w:tcW w:w="744" w:type="dxa"/>
            <w:vMerge w:val="restart"/>
            <w:noWrap w:val="0"/>
            <w:vAlign w:val="center"/>
          </w:tcPr>
          <w:p>
            <w:pPr>
              <w:rPr>
                <w:szCs w:val="21"/>
              </w:rPr>
            </w:pPr>
            <w:r>
              <w:rPr>
                <w:rFonts w:hint="eastAsia"/>
                <w:szCs w:val="21"/>
              </w:rPr>
              <w:t>二、单位概况</w:t>
            </w:r>
          </w:p>
        </w:tc>
        <w:tc>
          <w:tcPr>
            <w:tcW w:w="2523" w:type="dxa"/>
            <w:gridSpan w:val="3"/>
            <w:noWrap w:val="0"/>
            <w:vAlign w:val="center"/>
          </w:tcPr>
          <w:p>
            <w:pPr>
              <w:jc w:val="center"/>
              <w:rPr>
                <w:szCs w:val="21"/>
              </w:rPr>
            </w:pPr>
            <w:r>
              <w:rPr>
                <w:rFonts w:hint="eastAsia"/>
                <w:szCs w:val="21"/>
              </w:rPr>
              <w:t>注册资金：         万元</w:t>
            </w:r>
          </w:p>
        </w:tc>
        <w:tc>
          <w:tcPr>
            <w:tcW w:w="1462" w:type="dxa"/>
            <w:vMerge w:val="restart"/>
            <w:noWrap w:val="0"/>
            <w:vAlign w:val="center"/>
          </w:tcPr>
          <w:p>
            <w:pPr>
              <w:jc w:val="center"/>
              <w:rPr>
                <w:szCs w:val="21"/>
              </w:rPr>
            </w:pPr>
            <w:r>
              <w:rPr>
                <w:rFonts w:hint="eastAsia"/>
                <w:szCs w:val="21"/>
              </w:rPr>
              <w:t>职工人数</w:t>
            </w:r>
          </w:p>
        </w:tc>
        <w:tc>
          <w:tcPr>
            <w:tcW w:w="1063" w:type="dxa"/>
            <w:vMerge w:val="restart"/>
            <w:noWrap w:val="0"/>
            <w:vAlign w:val="center"/>
          </w:tcPr>
          <w:p>
            <w:pPr>
              <w:jc w:val="right"/>
              <w:rPr>
                <w:rFonts w:hint="eastAsia"/>
                <w:szCs w:val="21"/>
              </w:rPr>
            </w:pPr>
            <w:r>
              <w:rPr>
                <w:rFonts w:hint="eastAsia"/>
                <w:szCs w:val="21"/>
              </w:rPr>
              <w:t>人</w:t>
            </w:r>
          </w:p>
        </w:tc>
        <w:tc>
          <w:tcPr>
            <w:tcW w:w="1062" w:type="dxa"/>
            <w:vMerge w:val="restart"/>
            <w:noWrap w:val="0"/>
            <w:vAlign w:val="center"/>
          </w:tcPr>
          <w:p>
            <w:pPr>
              <w:jc w:val="center"/>
              <w:rPr>
                <w:szCs w:val="21"/>
              </w:rPr>
            </w:pPr>
            <w:r>
              <w:rPr>
                <w:rFonts w:hint="eastAsia"/>
                <w:szCs w:val="21"/>
              </w:rPr>
              <w:t>上年主要经济指标</w:t>
            </w:r>
          </w:p>
        </w:tc>
        <w:tc>
          <w:tcPr>
            <w:tcW w:w="1726" w:type="dxa"/>
            <w:gridSpan w:val="3"/>
            <w:vMerge w:val="restart"/>
            <w:noWrap w:val="0"/>
            <w:vAlign w:val="center"/>
          </w:tcPr>
          <w:p>
            <w:pPr>
              <w:ind w:left="1320" w:hanging="1155" w:hangingChars="550"/>
              <w:rPr>
                <w:szCs w:val="21"/>
              </w:rPr>
            </w:pPr>
            <w:r>
              <w:rPr>
                <w:rFonts w:hint="eastAsia"/>
                <w:szCs w:val="21"/>
              </w:rPr>
              <w:t>营业总额：       万元</w:t>
            </w:r>
          </w:p>
        </w:tc>
        <w:tc>
          <w:tcPr>
            <w:tcW w:w="1063" w:type="dxa"/>
            <w:noWrap w:val="0"/>
            <w:vAlign w:val="center"/>
          </w:tcPr>
          <w:p>
            <w:pPr>
              <w:jc w:val="center"/>
              <w:rPr>
                <w:szCs w:val="21"/>
              </w:rPr>
            </w:pPr>
            <w:r>
              <w:rPr>
                <w:rFonts w:hint="eastAsia"/>
                <w:szCs w:val="21"/>
              </w:rPr>
              <w:t>主营收入</w:t>
            </w:r>
          </w:p>
        </w:tc>
        <w:tc>
          <w:tcPr>
            <w:tcW w:w="1118" w:type="dxa"/>
            <w:noWrap w:val="0"/>
            <w:vAlign w:val="center"/>
          </w:tcPr>
          <w:p>
            <w:pPr>
              <w:jc w:val="right"/>
              <w:rPr>
                <w:szCs w:val="21"/>
              </w:rPr>
            </w:pPr>
            <w:r>
              <w:rPr>
                <w:rFonts w:hint="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5" w:hRule="atLeast"/>
          <w:jc w:val="center"/>
        </w:trPr>
        <w:tc>
          <w:tcPr>
            <w:tcW w:w="744" w:type="dxa"/>
            <w:vMerge w:val="continue"/>
            <w:noWrap w:val="0"/>
            <w:vAlign w:val="top"/>
          </w:tcPr>
          <w:p>
            <w:pPr>
              <w:rPr>
                <w:szCs w:val="21"/>
              </w:rPr>
            </w:pPr>
          </w:p>
        </w:tc>
        <w:tc>
          <w:tcPr>
            <w:tcW w:w="2523" w:type="dxa"/>
            <w:gridSpan w:val="3"/>
            <w:noWrap w:val="0"/>
            <w:vAlign w:val="center"/>
          </w:tcPr>
          <w:p>
            <w:pPr>
              <w:jc w:val="center"/>
              <w:rPr>
                <w:szCs w:val="21"/>
              </w:rPr>
            </w:pPr>
            <w:r>
              <w:rPr>
                <w:rFonts w:hint="eastAsia"/>
                <w:szCs w:val="21"/>
              </w:rPr>
              <w:t>实缴资本：         万元</w:t>
            </w:r>
          </w:p>
        </w:tc>
        <w:tc>
          <w:tcPr>
            <w:tcW w:w="1462" w:type="dxa"/>
            <w:vMerge w:val="continue"/>
            <w:noWrap w:val="0"/>
            <w:vAlign w:val="center"/>
          </w:tcPr>
          <w:p>
            <w:pPr>
              <w:jc w:val="center"/>
              <w:rPr>
                <w:szCs w:val="21"/>
              </w:rPr>
            </w:pPr>
          </w:p>
        </w:tc>
        <w:tc>
          <w:tcPr>
            <w:tcW w:w="1063" w:type="dxa"/>
            <w:vMerge w:val="continue"/>
            <w:noWrap w:val="0"/>
            <w:vAlign w:val="center"/>
          </w:tcPr>
          <w:p>
            <w:pPr>
              <w:jc w:val="right"/>
              <w:rPr>
                <w:szCs w:val="21"/>
              </w:rPr>
            </w:pPr>
          </w:p>
        </w:tc>
        <w:tc>
          <w:tcPr>
            <w:tcW w:w="1062" w:type="dxa"/>
            <w:vMerge w:val="continue"/>
            <w:noWrap w:val="0"/>
            <w:vAlign w:val="top"/>
          </w:tcPr>
          <w:p>
            <w:pPr>
              <w:rPr>
                <w:szCs w:val="21"/>
              </w:rPr>
            </w:pPr>
          </w:p>
        </w:tc>
        <w:tc>
          <w:tcPr>
            <w:tcW w:w="1726" w:type="dxa"/>
            <w:gridSpan w:val="3"/>
            <w:vMerge w:val="continue"/>
            <w:noWrap w:val="0"/>
            <w:vAlign w:val="center"/>
          </w:tcPr>
          <w:p>
            <w:pPr>
              <w:rPr>
                <w:szCs w:val="21"/>
              </w:rPr>
            </w:pPr>
          </w:p>
        </w:tc>
        <w:tc>
          <w:tcPr>
            <w:tcW w:w="1063" w:type="dxa"/>
            <w:noWrap w:val="0"/>
            <w:vAlign w:val="center"/>
          </w:tcPr>
          <w:p>
            <w:pPr>
              <w:jc w:val="center"/>
              <w:rPr>
                <w:szCs w:val="21"/>
              </w:rPr>
            </w:pPr>
            <w:r>
              <w:rPr>
                <w:rFonts w:hint="eastAsia"/>
                <w:szCs w:val="21"/>
              </w:rPr>
              <w:t>其他</w:t>
            </w:r>
          </w:p>
        </w:tc>
        <w:tc>
          <w:tcPr>
            <w:tcW w:w="1118" w:type="dxa"/>
            <w:noWrap w:val="0"/>
            <w:vAlign w:val="center"/>
          </w:tcPr>
          <w:p>
            <w:pPr>
              <w:jc w:val="right"/>
              <w:rPr>
                <w:szCs w:val="21"/>
              </w:rPr>
            </w:pPr>
            <w:r>
              <w:rPr>
                <w:rFonts w:hint="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16" w:hRule="atLeast"/>
          <w:jc w:val="center"/>
        </w:trPr>
        <w:tc>
          <w:tcPr>
            <w:tcW w:w="744" w:type="dxa"/>
            <w:vMerge w:val="continue"/>
            <w:noWrap w:val="0"/>
            <w:vAlign w:val="top"/>
          </w:tcPr>
          <w:p>
            <w:pPr>
              <w:rPr>
                <w:szCs w:val="21"/>
              </w:rPr>
            </w:pPr>
          </w:p>
        </w:tc>
        <w:tc>
          <w:tcPr>
            <w:tcW w:w="1063" w:type="dxa"/>
            <w:gridSpan w:val="2"/>
            <w:vMerge w:val="restart"/>
            <w:noWrap w:val="0"/>
            <w:vAlign w:val="center"/>
          </w:tcPr>
          <w:p>
            <w:pPr>
              <w:jc w:val="center"/>
              <w:rPr>
                <w:szCs w:val="21"/>
              </w:rPr>
            </w:pPr>
            <w:r>
              <w:rPr>
                <w:rFonts w:hint="eastAsia"/>
                <w:szCs w:val="21"/>
              </w:rPr>
              <w:t>固定资产</w:t>
            </w:r>
          </w:p>
        </w:tc>
        <w:tc>
          <w:tcPr>
            <w:tcW w:w="1460" w:type="dxa"/>
            <w:noWrap w:val="0"/>
            <w:vAlign w:val="center"/>
          </w:tcPr>
          <w:p>
            <w:pPr>
              <w:jc w:val="center"/>
              <w:rPr>
                <w:szCs w:val="21"/>
              </w:rPr>
            </w:pPr>
            <w:r>
              <w:rPr>
                <w:rFonts w:hint="eastAsia"/>
                <w:szCs w:val="21"/>
              </w:rPr>
              <w:t>原值     万元</w:t>
            </w:r>
          </w:p>
        </w:tc>
        <w:tc>
          <w:tcPr>
            <w:tcW w:w="1462" w:type="dxa"/>
            <w:noWrap w:val="0"/>
            <w:vAlign w:val="center"/>
          </w:tcPr>
          <w:p>
            <w:pPr>
              <w:jc w:val="center"/>
              <w:rPr>
                <w:szCs w:val="21"/>
              </w:rPr>
            </w:pPr>
            <w:r>
              <w:rPr>
                <w:rFonts w:hint="eastAsia"/>
                <w:szCs w:val="21"/>
              </w:rPr>
              <w:t>长期负债</w:t>
            </w:r>
          </w:p>
        </w:tc>
        <w:tc>
          <w:tcPr>
            <w:tcW w:w="1063" w:type="dxa"/>
            <w:noWrap w:val="0"/>
            <w:vAlign w:val="center"/>
          </w:tcPr>
          <w:p>
            <w:pPr>
              <w:jc w:val="right"/>
              <w:rPr>
                <w:szCs w:val="21"/>
              </w:rPr>
            </w:pPr>
            <w:r>
              <w:rPr>
                <w:rFonts w:hint="eastAsia"/>
                <w:szCs w:val="21"/>
              </w:rPr>
              <w:t>万元</w:t>
            </w:r>
          </w:p>
        </w:tc>
        <w:tc>
          <w:tcPr>
            <w:tcW w:w="1062" w:type="dxa"/>
            <w:noWrap w:val="0"/>
            <w:vAlign w:val="top"/>
          </w:tcPr>
          <w:p>
            <w:pPr>
              <w:rPr>
                <w:szCs w:val="21"/>
              </w:rPr>
            </w:pPr>
          </w:p>
        </w:tc>
        <w:tc>
          <w:tcPr>
            <w:tcW w:w="797" w:type="dxa"/>
            <w:vMerge w:val="restart"/>
            <w:noWrap w:val="0"/>
            <w:vAlign w:val="center"/>
          </w:tcPr>
          <w:p>
            <w:pPr>
              <w:jc w:val="center"/>
              <w:rPr>
                <w:szCs w:val="21"/>
              </w:rPr>
            </w:pPr>
            <w:r>
              <w:rPr>
                <w:rFonts w:hint="eastAsia"/>
                <w:szCs w:val="21"/>
              </w:rPr>
              <w:t>主要</w:t>
            </w:r>
          </w:p>
          <w:p>
            <w:pPr>
              <w:jc w:val="center"/>
              <w:rPr>
                <w:szCs w:val="21"/>
              </w:rPr>
            </w:pPr>
            <w:r>
              <w:rPr>
                <w:rFonts w:hint="eastAsia"/>
                <w:szCs w:val="21"/>
              </w:rPr>
              <w:t>营业项目</w:t>
            </w:r>
          </w:p>
        </w:tc>
        <w:tc>
          <w:tcPr>
            <w:tcW w:w="3110" w:type="dxa"/>
            <w:gridSpan w:val="4"/>
            <w:noWrap w:val="0"/>
            <w:vAlign w:val="center"/>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2" w:hRule="atLeast"/>
          <w:jc w:val="center"/>
        </w:trPr>
        <w:tc>
          <w:tcPr>
            <w:tcW w:w="744" w:type="dxa"/>
            <w:vMerge w:val="continue"/>
            <w:noWrap w:val="0"/>
            <w:vAlign w:val="top"/>
          </w:tcPr>
          <w:p>
            <w:pPr>
              <w:rPr>
                <w:szCs w:val="21"/>
              </w:rPr>
            </w:pPr>
          </w:p>
        </w:tc>
        <w:tc>
          <w:tcPr>
            <w:tcW w:w="1063" w:type="dxa"/>
            <w:gridSpan w:val="2"/>
            <w:vMerge w:val="continue"/>
            <w:noWrap w:val="0"/>
            <w:vAlign w:val="center"/>
          </w:tcPr>
          <w:p>
            <w:pPr>
              <w:jc w:val="center"/>
              <w:rPr>
                <w:szCs w:val="21"/>
              </w:rPr>
            </w:pPr>
          </w:p>
        </w:tc>
        <w:tc>
          <w:tcPr>
            <w:tcW w:w="1460" w:type="dxa"/>
            <w:noWrap w:val="0"/>
            <w:vAlign w:val="center"/>
          </w:tcPr>
          <w:p>
            <w:pPr>
              <w:jc w:val="center"/>
              <w:rPr>
                <w:szCs w:val="21"/>
              </w:rPr>
            </w:pPr>
            <w:r>
              <w:rPr>
                <w:rFonts w:hint="eastAsia"/>
                <w:szCs w:val="21"/>
              </w:rPr>
              <w:t>净值     万元</w:t>
            </w:r>
          </w:p>
        </w:tc>
        <w:tc>
          <w:tcPr>
            <w:tcW w:w="1462" w:type="dxa"/>
            <w:noWrap w:val="0"/>
            <w:vAlign w:val="center"/>
          </w:tcPr>
          <w:p>
            <w:pPr>
              <w:jc w:val="center"/>
              <w:rPr>
                <w:szCs w:val="21"/>
              </w:rPr>
            </w:pPr>
            <w:r>
              <w:rPr>
                <w:rFonts w:hint="eastAsia"/>
                <w:szCs w:val="21"/>
              </w:rPr>
              <w:t>流动负债</w:t>
            </w:r>
          </w:p>
        </w:tc>
        <w:tc>
          <w:tcPr>
            <w:tcW w:w="1063" w:type="dxa"/>
            <w:noWrap w:val="0"/>
            <w:vAlign w:val="center"/>
          </w:tcPr>
          <w:p>
            <w:pPr>
              <w:jc w:val="right"/>
              <w:rPr>
                <w:szCs w:val="21"/>
              </w:rPr>
            </w:pPr>
            <w:r>
              <w:rPr>
                <w:rFonts w:hint="eastAsia"/>
                <w:szCs w:val="21"/>
              </w:rPr>
              <w:t>万元</w:t>
            </w:r>
          </w:p>
        </w:tc>
        <w:tc>
          <w:tcPr>
            <w:tcW w:w="1062" w:type="dxa"/>
            <w:noWrap w:val="0"/>
            <w:vAlign w:val="top"/>
          </w:tcPr>
          <w:p>
            <w:pPr>
              <w:rPr>
                <w:szCs w:val="21"/>
              </w:rPr>
            </w:pPr>
          </w:p>
        </w:tc>
        <w:tc>
          <w:tcPr>
            <w:tcW w:w="797" w:type="dxa"/>
            <w:vMerge w:val="continue"/>
            <w:noWrap w:val="0"/>
            <w:vAlign w:val="top"/>
          </w:tcPr>
          <w:p>
            <w:pPr>
              <w:rPr>
                <w:szCs w:val="21"/>
              </w:rPr>
            </w:pPr>
          </w:p>
        </w:tc>
        <w:tc>
          <w:tcPr>
            <w:tcW w:w="3110" w:type="dxa"/>
            <w:gridSpan w:val="4"/>
            <w:noWrap w:val="0"/>
            <w:vAlign w:val="center"/>
          </w:tcPr>
          <w:p>
            <w:pP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8" w:hRule="atLeast"/>
          <w:jc w:val="center"/>
        </w:trPr>
        <w:tc>
          <w:tcPr>
            <w:tcW w:w="744" w:type="dxa"/>
            <w:vMerge w:val="continue"/>
            <w:noWrap w:val="0"/>
            <w:vAlign w:val="top"/>
          </w:tcPr>
          <w:p>
            <w:pPr>
              <w:rPr>
                <w:szCs w:val="21"/>
              </w:rPr>
            </w:pPr>
          </w:p>
        </w:tc>
        <w:tc>
          <w:tcPr>
            <w:tcW w:w="2523" w:type="dxa"/>
            <w:gridSpan w:val="3"/>
            <w:vMerge w:val="restart"/>
            <w:noWrap w:val="0"/>
            <w:vAlign w:val="center"/>
          </w:tcPr>
          <w:p>
            <w:pPr>
              <w:jc w:val="center"/>
              <w:rPr>
                <w:szCs w:val="21"/>
              </w:rPr>
            </w:pPr>
            <w:r>
              <w:rPr>
                <w:rFonts w:hint="eastAsia"/>
                <w:szCs w:val="21"/>
              </w:rPr>
              <w:t>占地面积：         平方米</w:t>
            </w:r>
          </w:p>
        </w:tc>
        <w:tc>
          <w:tcPr>
            <w:tcW w:w="1462" w:type="dxa"/>
            <w:noWrap w:val="0"/>
            <w:vAlign w:val="center"/>
          </w:tcPr>
          <w:p>
            <w:pPr>
              <w:jc w:val="center"/>
              <w:rPr>
                <w:szCs w:val="21"/>
              </w:rPr>
            </w:pPr>
          </w:p>
        </w:tc>
        <w:tc>
          <w:tcPr>
            <w:tcW w:w="1063" w:type="dxa"/>
            <w:noWrap w:val="0"/>
            <w:vAlign w:val="center"/>
          </w:tcPr>
          <w:p>
            <w:pPr>
              <w:jc w:val="right"/>
              <w:rPr>
                <w:szCs w:val="21"/>
              </w:rPr>
            </w:pPr>
          </w:p>
        </w:tc>
        <w:tc>
          <w:tcPr>
            <w:tcW w:w="1062" w:type="dxa"/>
            <w:noWrap w:val="0"/>
            <w:vAlign w:val="top"/>
          </w:tcPr>
          <w:p>
            <w:pPr>
              <w:rPr>
                <w:szCs w:val="21"/>
              </w:rPr>
            </w:pPr>
          </w:p>
        </w:tc>
        <w:tc>
          <w:tcPr>
            <w:tcW w:w="797" w:type="dxa"/>
            <w:vMerge w:val="continue"/>
            <w:noWrap w:val="0"/>
            <w:vAlign w:val="top"/>
          </w:tcPr>
          <w:p>
            <w:pPr>
              <w:rPr>
                <w:szCs w:val="21"/>
              </w:rPr>
            </w:pPr>
          </w:p>
        </w:tc>
        <w:tc>
          <w:tcPr>
            <w:tcW w:w="3110" w:type="dxa"/>
            <w:gridSpan w:val="4"/>
            <w:noWrap w:val="0"/>
            <w:vAlign w:val="center"/>
          </w:tcPr>
          <w:p>
            <w:pP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1" w:hRule="atLeast"/>
          <w:jc w:val="center"/>
        </w:trPr>
        <w:tc>
          <w:tcPr>
            <w:tcW w:w="744" w:type="dxa"/>
            <w:vMerge w:val="continue"/>
            <w:noWrap w:val="0"/>
            <w:vAlign w:val="top"/>
          </w:tcPr>
          <w:p>
            <w:pPr>
              <w:rPr>
                <w:szCs w:val="21"/>
              </w:rPr>
            </w:pPr>
          </w:p>
        </w:tc>
        <w:tc>
          <w:tcPr>
            <w:tcW w:w="2523" w:type="dxa"/>
            <w:gridSpan w:val="3"/>
            <w:vMerge w:val="continue"/>
            <w:noWrap w:val="0"/>
            <w:vAlign w:val="center"/>
          </w:tcPr>
          <w:p>
            <w:pPr>
              <w:jc w:val="center"/>
              <w:rPr>
                <w:szCs w:val="21"/>
              </w:rPr>
            </w:pPr>
          </w:p>
        </w:tc>
        <w:tc>
          <w:tcPr>
            <w:tcW w:w="1462" w:type="dxa"/>
            <w:noWrap w:val="0"/>
            <w:vAlign w:val="center"/>
          </w:tcPr>
          <w:p>
            <w:pPr>
              <w:jc w:val="center"/>
              <w:rPr>
                <w:szCs w:val="21"/>
              </w:rPr>
            </w:pPr>
          </w:p>
        </w:tc>
        <w:tc>
          <w:tcPr>
            <w:tcW w:w="1063" w:type="dxa"/>
            <w:noWrap w:val="0"/>
            <w:vAlign w:val="center"/>
          </w:tcPr>
          <w:p>
            <w:pPr>
              <w:jc w:val="center"/>
              <w:rPr>
                <w:szCs w:val="21"/>
              </w:rPr>
            </w:pPr>
          </w:p>
        </w:tc>
        <w:tc>
          <w:tcPr>
            <w:tcW w:w="1062" w:type="dxa"/>
            <w:noWrap w:val="0"/>
            <w:vAlign w:val="top"/>
          </w:tcPr>
          <w:p>
            <w:pPr>
              <w:rPr>
                <w:szCs w:val="21"/>
              </w:rPr>
            </w:pPr>
          </w:p>
        </w:tc>
        <w:tc>
          <w:tcPr>
            <w:tcW w:w="797" w:type="dxa"/>
            <w:vMerge w:val="continue"/>
            <w:noWrap w:val="0"/>
            <w:vAlign w:val="top"/>
          </w:tcPr>
          <w:p>
            <w:pPr>
              <w:rPr>
                <w:szCs w:val="21"/>
              </w:rPr>
            </w:pPr>
          </w:p>
        </w:tc>
        <w:tc>
          <w:tcPr>
            <w:tcW w:w="3110" w:type="dxa"/>
            <w:gridSpan w:val="4"/>
            <w:noWrap w:val="0"/>
            <w:vAlign w:val="center"/>
          </w:tcPr>
          <w:p>
            <w:pP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10" w:hRule="atLeast"/>
          <w:jc w:val="center"/>
        </w:trPr>
        <w:tc>
          <w:tcPr>
            <w:tcW w:w="744" w:type="dxa"/>
            <w:vMerge w:val="restart"/>
            <w:noWrap w:val="0"/>
            <w:vAlign w:val="center"/>
          </w:tcPr>
          <w:p>
            <w:pPr>
              <w:jc w:val="center"/>
              <w:rPr>
                <w:szCs w:val="21"/>
              </w:rPr>
            </w:pPr>
            <w:r>
              <w:rPr>
                <w:rFonts w:hint="eastAsia"/>
                <w:szCs w:val="21"/>
              </w:rPr>
              <w:t>三、主要产能</w:t>
            </w:r>
          </w:p>
        </w:tc>
        <w:tc>
          <w:tcPr>
            <w:tcW w:w="1063" w:type="dxa"/>
            <w:gridSpan w:val="2"/>
            <w:noWrap w:val="0"/>
            <w:vAlign w:val="center"/>
          </w:tcPr>
          <w:p>
            <w:pPr>
              <w:jc w:val="center"/>
              <w:rPr>
                <w:szCs w:val="21"/>
              </w:rPr>
            </w:pPr>
            <w:r>
              <w:rPr>
                <w:rFonts w:hint="eastAsia"/>
                <w:szCs w:val="21"/>
              </w:rPr>
              <w:t>产品类型</w:t>
            </w:r>
          </w:p>
        </w:tc>
        <w:tc>
          <w:tcPr>
            <w:tcW w:w="1460" w:type="dxa"/>
            <w:noWrap w:val="0"/>
            <w:vAlign w:val="center"/>
          </w:tcPr>
          <w:p>
            <w:pPr>
              <w:jc w:val="center"/>
              <w:rPr>
                <w:szCs w:val="21"/>
              </w:rPr>
            </w:pPr>
            <w:r>
              <w:rPr>
                <w:rFonts w:hint="eastAsia"/>
                <w:szCs w:val="21"/>
              </w:rPr>
              <w:t>月产能力</w:t>
            </w:r>
          </w:p>
        </w:tc>
        <w:tc>
          <w:tcPr>
            <w:tcW w:w="1462" w:type="dxa"/>
            <w:noWrap w:val="0"/>
            <w:vAlign w:val="center"/>
          </w:tcPr>
          <w:p>
            <w:pPr>
              <w:jc w:val="center"/>
              <w:rPr>
                <w:szCs w:val="21"/>
              </w:rPr>
            </w:pPr>
            <w:r>
              <w:rPr>
                <w:rFonts w:hint="eastAsia"/>
                <w:szCs w:val="21"/>
              </w:rPr>
              <w:t>备注</w:t>
            </w:r>
          </w:p>
        </w:tc>
        <w:tc>
          <w:tcPr>
            <w:tcW w:w="1063" w:type="dxa"/>
            <w:noWrap w:val="0"/>
            <w:vAlign w:val="center"/>
          </w:tcPr>
          <w:p>
            <w:pPr>
              <w:jc w:val="center"/>
              <w:rPr>
                <w:szCs w:val="21"/>
                <w:highlight w:val="yellow"/>
              </w:rPr>
            </w:pPr>
          </w:p>
        </w:tc>
        <w:tc>
          <w:tcPr>
            <w:tcW w:w="1062" w:type="dxa"/>
            <w:vMerge w:val="restart"/>
            <w:noWrap w:val="0"/>
            <w:vAlign w:val="center"/>
          </w:tcPr>
          <w:p>
            <w:pPr>
              <w:rPr>
                <w:szCs w:val="21"/>
              </w:rPr>
            </w:pPr>
            <w:r>
              <w:rPr>
                <w:rFonts w:hint="eastAsia"/>
                <w:szCs w:val="21"/>
              </w:rPr>
              <w:t>四、</w:t>
            </w:r>
          </w:p>
          <w:p>
            <w:pPr>
              <w:rPr>
                <w:szCs w:val="21"/>
              </w:rPr>
            </w:pPr>
            <w:r>
              <w:rPr>
                <w:rFonts w:hint="eastAsia"/>
                <w:szCs w:val="21"/>
              </w:rPr>
              <w:t>既往业绩</w:t>
            </w:r>
          </w:p>
        </w:tc>
        <w:tc>
          <w:tcPr>
            <w:tcW w:w="1594" w:type="dxa"/>
            <w:gridSpan w:val="2"/>
            <w:noWrap w:val="0"/>
            <w:vAlign w:val="center"/>
          </w:tcPr>
          <w:p>
            <w:pPr>
              <w:jc w:val="center"/>
              <w:rPr>
                <w:szCs w:val="21"/>
              </w:rPr>
            </w:pPr>
            <w:r>
              <w:rPr>
                <w:rFonts w:hint="eastAsia"/>
                <w:szCs w:val="21"/>
              </w:rPr>
              <w:t>主要合作客户</w:t>
            </w:r>
          </w:p>
        </w:tc>
        <w:tc>
          <w:tcPr>
            <w:tcW w:w="2313" w:type="dxa"/>
            <w:gridSpan w:val="3"/>
            <w:noWrap w:val="0"/>
            <w:vAlign w:val="center"/>
          </w:tcPr>
          <w:p>
            <w:pPr>
              <w:rPr>
                <w:szCs w:val="21"/>
              </w:rPr>
            </w:pPr>
            <w:r>
              <w:rPr>
                <w:rFonts w:hint="eastAsia"/>
                <w:szCs w:val="21"/>
              </w:rPr>
              <w:t>合作产品及数量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34" w:hRule="atLeast"/>
          <w:jc w:val="center"/>
        </w:trPr>
        <w:tc>
          <w:tcPr>
            <w:tcW w:w="744" w:type="dxa"/>
            <w:vMerge w:val="continue"/>
            <w:noWrap w:val="0"/>
            <w:vAlign w:val="top"/>
          </w:tcPr>
          <w:p>
            <w:pPr>
              <w:jc w:val="center"/>
              <w:rPr>
                <w:szCs w:val="21"/>
              </w:rPr>
            </w:pPr>
          </w:p>
        </w:tc>
        <w:tc>
          <w:tcPr>
            <w:tcW w:w="1063" w:type="dxa"/>
            <w:gridSpan w:val="2"/>
            <w:noWrap w:val="0"/>
            <w:vAlign w:val="center"/>
          </w:tcPr>
          <w:p>
            <w:pPr>
              <w:jc w:val="center"/>
              <w:rPr>
                <w:szCs w:val="21"/>
              </w:rPr>
            </w:pPr>
          </w:p>
        </w:tc>
        <w:tc>
          <w:tcPr>
            <w:tcW w:w="1460" w:type="dxa"/>
            <w:noWrap w:val="0"/>
            <w:vAlign w:val="center"/>
          </w:tcPr>
          <w:p>
            <w:pPr>
              <w:jc w:val="center"/>
              <w:rPr>
                <w:szCs w:val="21"/>
              </w:rPr>
            </w:pPr>
          </w:p>
        </w:tc>
        <w:tc>
          <w:tcPr>
            <w:tcW w:w="1462" w:type="dxa"/>
            <w:noWrap w:val="0"/>
            <w:vAlign w:val="center"/>
          </w:tcPr>
          <w:p>
            <w:pPr>
              <w:jc w:val="center"/>
              <w:rPr>
                <w:szCs w:val="21"/>
              </w:rPr>
            </w:pPr>
          </w:p>
        </w:tc>
        <w:tc>
          <w:tcPr>
            <w:tcW w:w="1063" w:type="dxa"/>
            <w:noWrap w:val="0"/>
            <w:vAlign w:val="center"/>
          </w:tcPr>
          <w:p>
            <w:pPr>
              <w:jc w:val="center"/>
              <w:rPr>
                <w:szCs w:val="21"/>
                <w:highlight w:val="yellow"/>
              </w:rPr>
            </w:pPr>
          </w:p>
        </w:tc>
        <w:tc>
          <w:tcPr>
            <w:tcW w:w="1062" w:type="dxa"/>
            <w:vMerge w:val="continue"/>
            <w:noWrap w:val="0"/>
            <w:vAlign w:val="top"/>
          </w:tcPr>
          <w:p>
            <w:pPr>
              <w:rPr>
                <w:szCs w:val="21"/>
              </w:rPr>
            </w:pPr>
          </w:p>
        </w:tc>
        <w:tc>
          <w:tcPr>
            <w:tcW w:w="1594" w:type="dxa"/>
            <w:gridSpan w:val="2"/>
            <w:noWrap w:val="0"/>
            <w:vAlign w:val="center"/>
          </w:tcPr>
          <w:p>
            <w:pPr>
              <w:jc w:val="center"/>
              <w:rPr>
                <w:szCs w:val="21"/>
              </w:rPr>
            </w:pPr>
          </w:p>
        </w:tc>
        <w:tc>
          <w:tcPr>
            <w:tcW w:w="2313" w:type="dxa"/>
            <w:gridSpan w:val="3"/>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36" w:hRule="atLeast"/>
          <w:jc w:val="center"/>
        </w:trPr>
        <w:tc>
          <w:tcPr>
            <w:tcW w:w="744" w:type="dxa"/>
            <w:vMerge w:val="continue"/>
            <w:noWrap w:val="0"/>
            <w:vAlign w:val="top"/>
          </w:tcPr>
          <w:p>
            <w:pPr>
              <w:rPr>
                <w:szCs w:val="21"/>
                <w:highlight w:val="yellow"/>
              </w:rPr>
            </w:pPr>
          </w:p>
        </w:tc>
        <w:tc>
          <w:tcPr>
            <w:tcW w:w="1063" w:type="dxa"/>
            <w:gridSpan w:val="2"/>
            <w:noWrap w:val="0"/>
            <w:vAlign w:val="center"/>
          </w:tcPr>
          <w:p>
            <w:pPr>
              <w:jc w:val="center"/>
              <w:rPr>
                <w:szCs w:val="21"/>
                <w:highlight w:val="yellow"/>
              </w:rPr>
            </w:pPr>
          </w:p>
        </w:tc>
        <w:tc>
          <w:tcPr>
            <w:tcW w:w="1460" w:type="dxa"/>
            <w:noWrap w:val="0"/>
            <w:vAlign w:val="center"/>
          </w:tcPr>
          <w:p>
            <w:pPr>
              <w:jc w:val="center"/>
              <w:rPr>
                <w:szCs w:val="21"/>
                <w:highlight w:val="yellow"/>
              </w:rPr>
            </w:pPr>
          </w:p>
        </w:tc>
        <w:tc>
          <w:tcPr>
            <w:tcW w:w="1462" w:type="dxa"/>
            <w:noWrap w:val="0"/>
            <w:vAlign w:val="center"/>
          </w:tcPr>
          <w:p>
            <w:pPr>
              <w:jc w:val="center"/>
              <w:rPr>
                <w:szCs w:val="21"/>
                <w:highlight w:val="yellow"/>
              </w:rPr>
            </w:pPr>
          </w:p>
        </w:tc>
        <w:tc>
          <w:tcPr>
            <w:tcW w:w="1063" w:type="dxa"/>
            <w:noWrap w:val="0"/>
            <w:vAlign w:val="center"/>
          </w:tcPr>
          <w:p>
            <w:pPr>
              <w:jc w:val="center"/>
              <w:rPr>
                <w:szCs w:val="21"/>
                <w:highlight w:val="yellow"/>
              </w:rPr>
            </w:pPr>
          </w:p>
        </w:tc>
        <w:tc>
          <w:tcPr>
            <w:tcW w:w="1062" w:type="dxa"/>
            <w:vMerge w:val="continue"/>
            <w:noWrap w:val="0"/>
            <w:vAlign w:val="top"/>
          </w:tcPr>
          <w:p>
            <w:pPr>
              <w:rPr>
                <w:szCs w:val="21"/>
              </w:rPr>
            </w:pPr>
          </w:p>
        </w:tc>
        <w:tc>
          <w:tcPr>
            <w:tcW w:w="1594" w:type="dxa"/>
            <w:gridSpan w:val="2"/>
            <w:noWrap w:val="0"/>
            <w:vAlign w:val="center"/>
          </w:tcPr>
          <w:p>
            <w:pPr>
              <w:jc w:val="center"/>
              <w:rPr>
                <w:szCs w:val="21"/>
              </w:rPr>
            </w:pPr>
          </w:p>
        </w:tc>
        <w:tc>
          <w:tcPr>
            <w:tcW w:w="2313" w:type="dxa"/>
            <w:gridSpan w:val="3"/>
            <w:noWrap w:val="0"/>
            <w:vAlign w:val="center"/>
          </w:tcPr>
          <w:p>
            <w:pPr>
              <w:jc w:val="center"/>
              <w:rPr>
                <w:szCs w:val="21"/>
              </w:rPr>
            </w:pPr>
          </w:p>
        </w:tc>
      </w:tr>
    </w:tbl>
    <w:p>
      <w:pPr>
        <w:pStyle w:val="40"/>
        <w:spacing w:line="360" w:lineRule="auto"/>
        <w:ind w:left="648" w:leftChars="115" w:hanging="407" w:hangingChars="194"/>
        <w:rPr>
          <w:szCs w:val="21"/>
        </w:rPr>
      </w:pPr>
      <w:r>
        <w:rPr>
          <w:rFonts w:hint="eastAsia" w:hAnsi="宋体"/>
          <w:szCs w:val="21"/>
        </w:rPr>
        <w:t xml:space="preserve">投标人名称（盖章）：  </w:t>
      </w:r>
      <w:r>
        <w:rPr>
          <w:rFonts w:hint="eastAsia"/>
          <w:szCs w:val="21"/>
        </w:rPr>
        <w:t xml:space="preserve">            </w:t>
      </w:r>
      <w:r>
        <w:rPr>
          <w:szCs w:val="21"/>
        </w:rPr>
        <w:t xml:space="preserve">           </w:t>
      </w:r>
      <w:r>
        <w:rPr>
          <w:rFonts w:hint="eastAsia"/>
          <w:szCs w:val="21"/>
        </w:rPr>
        <w:t>法定代表人或授权代表签字：</w:t>
      </w:r>
    </w:p>
    <w:p>
      <w:pPr>
        <w:pStyle w:val="40"/>
        <w:spacing w:line="360" w:lineRule="auto"/>
        <w:ind w:left="592" w:leftChars="115" w:hanging="351" w:hangingChars="194"/>
        <w:rPr>
          <w:rFonts w:hAnsi="宋体"/>
          <w:sz w:val="18"/>
          <w:szCs w:val="18"/>
        </w:rPr>
      </w:pPr>
      <w:r>
        <w:rPr>
          <w:rFonts w:hint="eastAsia" w:hAnsi="宋体"/>
          <w:b/>
          <w:sz w:val="18"/>
          <w:szCs w:val="18"/>
        </w:rPr>
        <w:t>注：</w:t>
      </w:r>
      <w:r>
        <w:rPr>
          <w:rFonts w:hint="eastAsia" w:hAnsi="宋体"/>
          <w:sz w:val="18"/>
          <w:szCs w:val="18"/>
        </w:rPr>
        <w:t>1.投标人为满足本招标项目之需，需实际配置的、包含但不限于上述设备、人员及其他条目；</w:t>
      </w:r>
    </w:p>
    <w:p>
      <w:pPr>
        <w:pStyle w:val="40"/>
        <w:spacing w:line="360" w:lineRule="auto"/>
        <w:ind w:left="661" w:leftChars="315"/>
        <w:rPr>
          <w:rFonts w:hAnsi="宋体"/>
          <w:sz w:val="18"/>
          <w:szCs w:val="18"/>
        </w:rPr>
      </w:pPr>
      <w:r>
        <w:rPr>
          <w:rFonts w:hint="eastAsia" w:hAnsi="宋体"/>
          <w:sz w:val="18"/>
          <w:szCs w:val="18"/>
        </w:rPr>
        <w:t>2.投标人可在上表内容基础上，酌情自行增加相关条目，以便更好的满足项目开展之需要。</w:t>
      </w:r>
    </w:p>
    <w:p/>
    <w:p>
      <w:pPr>
        <w:pStyle w:val="2"/>
      </w:pPr>
    </w:p>
    <w:p/>
    <w:p>
      <w:pPr>
        <w:pStyle w:val="2"/>
      </w:pPr>
    </w:p>
    <w:p/>
    <w:p>
      <w:pPr>
        <w:pStyle w:val="2"/>
      </w:pPr>
    </w:p>
    <w:p/>
    <w:p>
      <w:pPr>
        <w:pStyle w:val="2"/>
      </w:pPr>
    </w:p>
    <w:p/>
    <w:p>
      <w:pPr>
        <w:pStyle w:val="2"/>
      </w:pPr>
    </w:p>
    <w:p/>
    <w:p>
      <w:pPr>
        <w:rPr>
          <w:rFonts w:hint="eastAsia" w:ascii="黑体" w:hAnsi="黑体" w:eastAsia="黑体" w:cs="黑体"/>
          <w:b/>
          <w:bCs/>
          <w:sz w:val="40"/>
          <w:szCs w:val="40"/>
          <w:lang w:val="en-US" w:eastAsia="zh-CN"/>
        </w:rPr>
      </w:pPr>
      <w:r>
        <w:rPr>
          <w:rStyle w:val="144"/>
          <w:rFonts w:hint="eastAsia" w:ascii="黑体" w:hAnsi="黑体" w:eastAsia="黑体" w:cs="黑体"/>
          <w:kern w:val="0"/>
          <w:sz w:val="32"/>
          <w:lang w:val="en-US" w:eastAsia="zh-CN" w:bidi="ar-SA"/>
        </w:rPr>
        <w:t>附件9</w:t>
      </w:r>
    </w:p>
    <w:p>
      <w:pPr>
        <w:rPr>
          <w:rFonts w:hint="eastAsia"/>
          <w:sz w:val="22"/>
          <w:szCs w:val="22"/>
        </w:rPr>
      </w:pPr>
      <w:r>
        <w:rPr>
          <w:rFonts w:hint="eastAsia"/>
          <w:sz w:val="22"/>
          <w:szCs w:val="22"/>
        </w:rPr>
        <w:t>招标项目名称：</w:t>
      </w:r>
      <w:r>
        <w:rPr>
          <w:rFonts w:hint="eastAsia"/>
          <w:color w:val="000000"/>
          <w:sz w:val="22"/>
          <w:szCs w:val="22"/>
        </w:rPr>
        <w:t>____________________</w:t>
      </w:r>
    </w:p>
    <w:p>
      <w:pPr>
        <w:spacing w:line="360" w:lineRule="auto"/>
        <w:rPr>
          <w:rFonts w:hint="eastAsia"/>
          <w:color w:val="000000"/>
          <w:sz w:val="22"/>
          <w:szCs w:val="22"/>
        </w:rPr>
      </w:pPr>
      <w:r>
        <w:rPr>
          <w:rFonts w:hint="eastAsia"/>
          <w:color w:val="000000"/>
          <w:sz w:val="22"/>
          <w:szCs w:val="22"/>
        </w:rPr>
        <w:t>招标编号：________________________</w:t>
      </w:r>
    </w:p>
    <w:p>
      <w:pPr>
        <w:spacing w:line="360" w:lineRule="auto"/>
        <w:rPr>
          <w:rFonts w:hint="eastAsia"/>
          <w:sz w:val="22"/>
          <w:szCs w:val="22"/>
        </w:rPr>
      </w:pPr>
      <w:r>
        <w:rPr>
          <w:rFonts w:hint="eastAsia"/>
          <w:sz w:val="22"/>
          <w:szCs w:val="22"/>
        </w:rPr>
        <w:t>日期：  年   月   日</w:t>
      </w:r>
    </w:p>
    <w:p>
      <w:pPr>
        <w:pStyle w:val="2"/>
        <w:ind w:left="0" w:leftChars="0" w:firstLine="0" w:firstLineChars="0"/>
        <w:rPr>
          <w:rFonts w:hint="eastAsia"/>
          <w:b/>
          <w:bCs/>
          <w:lang w:val="en-US" w:eastAsia="zh-CN"/>
        </w:rPr>
      </w:pPr>
      <w:r>
        <w:rPr>
          <w:rFonts w:hint="eastAsia"/>
          <w:b/>
          <w:bCs/>
          <w:lang w:val="en-US" w:eastAsia="zh-CN"/>
        </w:rPr>
        <w:t>商用车板车运输经验（合同或发票复印件）</w:t>
      </w:r>
    </w:p>
    <w:p>
      <w:pPr>
        <w:rPr>
          <w:rFonts w:hint="eastAsia"/>
          <w:b/>
          <w:bCs/>
          <w:lang w:val="en-US" w:eastAsia="zh-CN"/>
        </w:rPr>
      </w:pPr>
    </w:p>
    <w:p>
      <w:pPr>
        <w:pStyle w:val="2"/>
        <w:rPr>
          <w:rFonts w:hint="eastAsia"/>
          <w:b/>
          <w:bCs/>
          <w:lang w:val="en-US" w:eastAsia="zh-CN"/>
        </w:rPr>
      </w:pPr>
    </w:p>
    <w:p>
      <w:pPr>
        <w:rPr>
          <w:rFonts w:hint="eastAsia"/>
          <w:b/>
          <w:bCs/>
          <w:lang w:val="en-US" w:eastAsia="zh-CN"/>
        </w:rPr>
      </w:pPr>
    </w:p>
    <w:p>
      <w:pPr>
        <w:pStyle w:val="2"/>
        <w:rPr>
          <w:rFonts w:hint="eastAsia"/>
          <w:b/>
          <w:bCs/>
          <w:lang w:val="en-US" w:eastAsia="zh-CN"/>
        </w:rPr>
      </w:pPr>
    </w:p>
    <w:p>
      <w:pPr>
        <w:rPr>
          <w:rStyle w:val="144"/>
          <w:rFonts w:hint="default" w:ascii="黑体" w:hAnsi="黑体" w:eastAsia="黑体" w:cs="黑体"/>
          <w:kern w:val="0"/>
          <w:sz w:val="32"/>
          <w:lang w:val="en-US" w:eastAsia="zh-CN" w:bidi="ar-SA"/>
        </w:rPr>
      </w:pPr>
      <w:r>
        <w:rPr>
          <w:rStyle w:val="144"/>
          <w:rFonts w:hint="eastAsia" w:ascii="黑体" w:hAnsi="黑体" w:eastAsia="黑体" w:cs="黑体"/>
          <w:kern w:val="0"/>
          <w:sz w:val="32"/>
          <w:lang w:val="en-US" w:eastAsia="zh-CN" w:bidi="ar-SA"/>
        </w:rPr>
        <w:t>附件10</w:t>
      </w:r>
    </w:p>
    <w:p>
      <w:pPr>
        <w:rPr>
          <w:rFonts w:hint="eastAsia"/>
          <w:sz w:val="22"/>
          <w:szCs w:val="22"/>
        </w:rPr>
      </w:pPr>
      <w:r>
        <w:rPr>
          <w:rFonts w:hint="eastAsia"/>
          <w:sz w:val="22"/>
          <w:szCs w:val="22"/>
        </w:rPr>
        <w:t>招标项目名称：</w:t>
      </w:r>
      <w:r>
        <w:rPr>
          <w:rFonts w:hint="eastAsia"/>
          <w:color w:val="000000"/>
          <w:sz w:val="22"/>
          <w:szCs w:val="22"/>
        </w:rPr>
        <w:t>____________________</w:t>
      </w:r>
    </w:p>
    <w:p>
      <w:pPr>
        <w:spacing w:line="360" w:lineRule="auto"/>
        <w:rPr>
          <w:rFonts w:hint="eastAsia"/>
          <w:color w:val="000000"/>
          <w:sz w:val="22"/>
          <w:szCs w:val="22"/>
        </w:rPr>
      </w:pPr>
      <w:r>
        <w:rPr>
          <w:rFonts w:hint="eastAsia"/>
          <w:color w:val="000000"/>
          <w:sz w:val="22"/>
          <w:szCs w:val="22"/>
        </w:rPr>
        <w:t>招标编号：________________________</w:t>
      </w:r>
    </w:p>
    <w:p>
      <w:pPr>
        <w:spacing w:line="360" w:lineRule="auto"/>
        <w:rPr>
          <w:rFonts w:hint="eastAsia"/>
          <w:sz w:val="22"/>
          <w:szCs w:val="22"/>
        </w:rPr>
      </w:pPr>
      <w:r>
        <w:rPr>
          <w:rFonts w:hint="eastAsia"/>
          <w:sz w:val="22"/>
          <w:szCs w:val="22"/>
        </w:rPr>
        <w:t>日期：  年   月   日</w:t>
      </w:r>
    </w:p>
    <w:p>
      <w:pPr>
        <w:pStyle w:val="2"/>
        <w:ind w:left="0" w:leftChars="0" w:firstLine="0" w:firstLineChars="0"/>
        <w:rPr>
          <w:rFonts w:hint="eastAsia"/>
          <w:b/>
          <w:bCs/>
          <w:lang w:val="en-US" w:eastAsia="zh-CN"/>
        </w:rPr>
      </w:pPr>
      <w:r>
        <w:rPr>
          <w:rFonts w:hint="eastAsia"/>
          <w:b/>
          <w:bCs/>
          <w:lang w:val="en-US" w:eastAsia="zh-CN"/>
        </w:rPr>
        <w:t>与重汽合作年限（合同或发票复印件）</w:t>
      </w:r>
    </w:p>
    <w:p>
      <w:pPr>
        <w:rPr>
          <w:rFonts w:hint="eastAsia"/>
          <w:b/>
          <w:bCs/>
          <w:lang w:val="en-US" w:eastAsia="zh-CN"/>
        </w:rPr>
      </w:pPr>
    </w:p>
    <w:p>
      <w:pPr>
        <w:pStyle w:val="2"/>
        <w:rPr>
          <w:rFonts w:hint="eastAsia"/>
          <w:b/>
          <w:bCs/>
          <w:lang w:val="en-US" w:eastAsia="zh-CN"/>
        </w:rPr>
      </w:pPr>
    </w:p>
    <w:p>
      <w:pPr>
        <w:rPr>
          <w:rFonts w:hint="eastAsia"/>
          <w:b/>
          <w:bCs/>
          <w:lang w:val="en-US" w:eastAsia="zh-CN"/>
        </w:rPr>
      </w:pPr>
    </w:p>
    <w:p>
      <w:pPr>
        <w:pStyle w:val="2"/>
        <w:rPr>
          <w:rFonts w:hint="eastAsia"/>
          <w:b/>
          <w:bCs/>
          <w:lang w:val="en-US" w:eastAsia="zh-CN"/>
        </w:rPr>
      </w:pPr>
    </w:p>
    <w:p>
      <w:pPr>
        <w:rPr>
          <w:rStyle w:val="144"/>
          <w:rFonts w:hint="default" w:ascii="黑体" w:hAnsi="黑体" w:eastAsia="黑体" w:cs="黑体"/>
          <w:kern w:val="0"/>
          <w:sz w:val="32"/>
          <w:lang w:val="en-US" w:eastAsia="zh-CN" w:bidi="ar-SA"/>
        </w:rPr>
      </w:pPr>
      <w:r>
        <w:rPr>
          <w:rStyle w:val="144"/>
          <w:rFonts w:hint="eastAsia" w:ascii="黑体" w:hAnsi="黑体" w:eastAsia="黑体" w:cs="黑体"/>
          <w:kern w:val="0"/>
          <w:sz w:val="32"/>
          <w:lang w:val="en-US" w:eastAsia="zh-CN" w:bidi="ar-SA"/>
        </w:rPr>
        <w:t>附件11</w:t>
      </w:r>
    </w:p>
    <w:p>
      <w:pPr>
        <w:rPr>
          <w:rFonts w:hint="eastAsia"/>
          <w:sz w:val="22"/>
          <w:szCs w:val="22"/>
        </w:rPr>
      </w:pPr>
      <w:r>
        <w:rPr>
          <w:rFonts w:hint="eastAsia"/>
          <w:sz w:val="22"/>
          <w:szCs w:val="22"/>
        </w:rPr>
        <w:t>招标项目名称：</w:t>
      </w:r>
      <w:r>
        <w:rPr>
          <w:rFonts w:hint="eastAsia"/>
          <w:color w:val="000000"/>
          <w:sz w:val="22"/>
          <w:szCs w:val="22"/>
        </w:rPr>
        <w:t>____________________</w:t>
      </w:r>
    </w:p>
    <w:p>
      <w:pPr>
        <w:spacing w:line="360" w:lineRule="auto"/>
        <w:rPr>
          <w:rFonts w:hint="eastAsia"/>
          <w:color w:val="000000"/>
          <w:sz w:val="22"/>
          <w:szCs w:val="22"/>
        </w:rPr>
      </w:pPr>
      <w:r>
        <w:rPr>
          <w:rFonts w:hint="eastAsia"/>
          <w:color w:val="000000"/>
          <w:sz w:val="22"/>
          <w:szCs w:val="22"/>
        </w:rPr>
        <w:t>招标编号：________________________</w:t>
      </w:r>
    </w:p>
    <w:p>
      <w:pPr>
        <w:spacing w:line="360" w:lineRule="auto"/>
        <w:rPr>
          <w:rFonts w:hint="eastAsia"/>
          <w:sz w:val="22"/>
          <w:szCs w:val="22"/>
        </w:rPr>
      </w:pPr>
      <w:r>
        <w:rPr>
          <w:rFonts w:hint="eastAsia"/>
          <w:sz w:val="22"/>
          <w:szCs w:val="22"/>
        </w:rPr>
        <w:t>日期：  年   月   日</w:t>
      </w:r>
    </w:p>
    <w:p>
      <w:pPr>
        <w:pStyle w:val="2"/>
        <w:ind w:left="0" w:leftChars="0" w:firstLine="0" w:firstLineChars="0"/>
        <w:rPr>
          <w:rFonts w:hint="default" w:eastAsia="宋体"/>
          <w:lang w:val="en-US" w:eastAsia="zh-CN"/>
        </w:rPr>
      </w:pPr>
      <w:r>
        <w:rPr>
          <w:rFonts w:hint="eastAsia"/>
          <w:b/>
          <w:bCs/>
          <w:lang w:val="en-US" w:eastAsia="zh-CN"/>
        </w:rPr>
        <w:t>自有牵引车数量（车辆行驶证）</w:t>
      </w:r>
    </w:p>
    <w:p>
      <w:pPr>
        <w:rPr>
          <w:rFonts w:hint="default"/>
          <w:lang w:val="en-US" w:eastAsia="zh-CN"/>
        </w:rPr>
      </w:pPr>
    </w:p>
    <w:p>
      <w:pPr>
        <w:rPr>
          <w:rFonts w:hint="default"/>
          <w:lang w:val="en-US" w:eastAsia="zh-CN"/>
        </w:rPr>
      </w:pPr>
    </w:p>
    <w:sectPr>
      <w:footerReference r:id="rId8" w:type="default"/>
      <w:pgSz w:w="11907" w:h="16840"/>
      <w:pgMar w:top="1025" w:right="1418" w:bottom="1418" w:left="1418" w:header="724" w:footer="851" w:gutter="0"/>
      <w:pgBorders>
        <w:top w:val="none" w:sz="0" w:space="0"/>
        <w:left w:val="none" w:sz="0" w:space="0"/>
        <w:bottom w:val="none" w:sz="0" w:space="0"/>
        <w:right w:val="none" w:sz="0" w:space="0"/>
      </w:pgBorders>
      <w:pgNumType w:fmt="decimal"/>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p>
  <w:p>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8"/>
                            <w:rPr>
                              <w:rStyle w:val="123"/>
                            </w:rPr>
                          </w:pPr>
                          <w:r>
                            <w:fldChar w:fldCharType="begin"/>
                          </w:r>
                          <w:r>
                            <w:rPr>
                              <w:rStyle w:val="123"/>
                            </w:rPr>
                            <w:instrText xml:space="preserve">PAGE  </w:instrText>
                          </w:r>
                          <w:r>
                            <w:fldChar w:fldCharType="separate"/>
                          </w:r>
                          <w:r>
                            <w:rPr>
                              <w:rStyle w:val="123"/>
                            </w:rPr>
                            <w:t>- 3 -</w:t>
                          </w:r>
                          <w: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48"/>
                      <w:rPr>
                        <w:rStyle w:val="123"/>
                      </w:rPr>
                    </w:pPr>
                    <w:r>
                      <w:fldChar w:fldCharType="begin"/>
                    </w:r>
                    <w:r>
                      <w:rPr>
                        <w:rStyle w:val="123"/>
                      </w:rPr>
                      <w:instrText xml:space="preserve">PAGE  </w:instrText>
                    </w:r>
                    <w:r>
                      <w:fldChar w:fldCharType="separate"/>
                    </w:r>
                    <w:r>
                      <w:rPr>
                        <w:rStyle w:val="123"/>
                      </w:rPr>
                      <w:t>- 3 -</w:t>
                    </w:r>
                    <w: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8"/>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8"/>
                    </w:pPr>
                    <w:r>
                      <w:fldChar w:fldCharType="begin"/>
                    </w:r>
                    <w:r>
                      <w:instrText xml:space="preserve"> PAGE  \* MERGEFORMAT </w:instrText>
                    </w:r>
                    <w:r>
                      <w:fldChar w:fldCharType="separate"/>
                    </w:r>
                    <w:r>
                      <w:t>1</w:t>
                    </w:r>
                    <w:r>
                      <w:fldChar w:fldCharType="end"/>
                    </w:r>
                  </w:p>
                </w:txbxContent>
              </v:textbox>
            </v:shape>
          </w:pict>
        </mc:Fallback>
      </mc:AlternateContent>
    </w:r>
  </w:p>
  <w:p>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933AF"/>
    <w:multiLevelType w:val="multilevel"/>
    <w:tmpl w:val="047933AF"/>
    <w:lvl w:ilvl="0" w:tentative="0">
      <w:start w:val="1"/>
      <w:numFmt w:val="decimal"/>
      <w:pStyle w:val="72"/>
      <w:lvlText w:val="第%1章"/>
      <w:lvlJc w:val="left"/>
      <w:pPr>
        <w:ind w:left="538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9F5DE5"/>
    <w:multiLevelType w:val="multilevel"/>
    <w:tmpl w:val="229F5DE5"/>
    <w:lvl w:ilvl="0" w:tentative="0">
      <w:start w:val="3"/>
      <w:numFmt w:val="decimal"/>
      <w:pStyle w:val="42"/>
      <w:lvlText w:val="%1．"/>
      <w:lvlJc w:val="left"/>
      <w:pPr>
        <w:tabs>
          <w:tab w:val="left" w:pos="360"/>
        </w:tabs>
        <w:ind w:left="360" w:hanging="360"/>
      </w:pPr>
      <w:rPr>
        <w:rFonts w:hint="default" w:cs="Times New Roman"/>
      </w:rPr>
    </w:lvl>
    <w:lvl w:ilvl="1" w:tentative="0">
      <w:start w:val="1"/>
      <w:numFmt w:val="lowerLetter"/>
      <w:pStyle w:val="315"/>
      <w:lvlText w:val="%2)"/>
      <w:lvlJc w:val="left"/>
      <w:pPr>
        <w:tabs>
          <w:tab w:val="left" w:pos="840"/>
        </w:tabs>
        <w:ind w:left="840" w:hanging="420"/>
      </w:pPr>
      <w:rPr>
        <w:rFonts w:cs="Times New Roman"/>
      </w:rPr>
    </w:lvl>
    <w:lvl w:ilvl="2" w:tentative="0">
      <w:start w:val="1"/>
      <w:numFmt w:val="lowerRoman"/>
      <w:pStyle w:val="329"/>
      <w:lvlText w:val="%3."/>
      <w:lvlJc w:val="right"/>
      <w:pPr>
        <w:tabs>
          <w:tab w:val="left" w:pos="1260"/>
        </w:tabs>
        <w:ind w:left="1260" w:hanging="420"/>
      </w:pPr>
      <w:rPr>
        <w:rFonts w:cs="Times New Roman"/>
      </w:rPr>
    </w:lvl>
    <w:lvl w:ilvl="3" w:tentative="0">
      <w:start w:val="1"/>
      <w:numFmt w:val="decimal"/>
      <w:pStyle w:val="319"/>
      <w:lvlText w:val="%4."/>
      <w:lvlJc w:val="left"/>
      <w:pPr>
        <w:tabs>
          <w:tab w:val="left" w:pos="1680"/>
        </w:tabs>
        <w:ind w:left="1680" w:hanging="420"/>
      </w:pPr>
      <w:rPr>
        <w:rFonts w:cs="Times New Roman"/>
      </w:rPr>
    </w:lvl>
    <w:lvl w:ilvl="4" w:tentative="0">
      <w:start w:val="1"/>
      <w:numFmt w:val="lowerLetter"/>
      <w:pStyle w:val="318"/>
      <w:lvlText w:val="%5)"/>
      <w:lvlJc w:val="left"/>
      <w:pPr>
        <w:tabs>
          <w:tab w:val="left" w:pos="2100"/>
        </w:tabs>
        <w:ind w:left="2100" w:hanging="420"/>
      </w:pPr>
      <w:rPr>
        <w:rFonts w:cs="Times New Roman"/>
      </w:rPr>
    </w:lvl>
    <w:lvl w:ilvl="5" w:tentative="0">
      <w:start w:val="1"/>
      <w:numFmt w:val="lowerRoman"/>
      <w:pStyle w:val="291"/>
      <w:lvlText w:val="%6."/>
      <w:lvlJc w:val="right"/>
      <w:pPr>
        <w:tabs>
          <w:tab w:val="left" w:pos="2520"/>
        </w:tabs>
        <w:ind w:left="2520" w:hanging="420"/>
      </w:pPr>
      <w:rPr>
        <w:rFonts w:cs="Times New Roman"/>
      </w:rPr>
    </w:lvl>
    <w:lvl w:ilvl="6" w:tentative="0">
      <w:start w:val="1"/>
      <w:numFmt w:val="decimal"/>
      <w:pStyle w:val="232"/>
      <w:lvlText w:val="%7."/>
      <w:lvlJc w:val="left"/>
      <w:pPr>
        <w:tabs>
          <w:tab w:val="left" w:pos="2940"/>
        </w:tabs>
        <w:ind w:left="2940" w:hanging="420"/>
      </w:pPr>
      <w:rPr>
        <w:rFonts w:cs="Times New Roman"/>
      </w:rPr>
    </w:lvl>
    <w:lvl w:ilvl="7" w:tentative="0">
      <w:start w:val="1"/>
      <w:numFmt w:val="lowerLetter"/>
      <w:pStyle w:val="234"/>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25031649"/>
    <w:multiLevelType w:val="multilevel"/>
    <w:tmpl w:val="25031649"/>
    <w:lvl w:ilvl="0" w:tentative="0">
      <w:start w:val="1"/>
      <w:numFmt w:val="bullet"/>
      <w:pStyle w:val="32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6071288"/>
    <w:multiLevelType w:val="multilevel"/>
    <w:tmpl w:val="2607128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default"/>
        <w:sz w:val="28"/>
        <w:szCs w:val="28"/>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3281DC21"/>
    <w:multiLevelType w:val="multilevel"/>
    <w:tmpl w:val="3281DC21"/>
    <w:lvl w:ilvl="0" w:tentative="0">
      <w:start w:val="1"/>
      <w:numFmt w:val="decimal"/>
      <w:pStyle w:val="3"/>
      <w:lvlText w:val="%1"/>
      <w:lvlJc w:val="left"/>
      <w:pPr>
        <w:ind w:left="432" w:hanging="432"/>
      </w:pPr>
      <w:rPr>
        <w:rFonts w:hint="eastAsia"/>
      </w:rPr>
    </w:lvl>
    <w:lvl w:ilvl="1" w:tentative="0">
      <w:start w:val="1"/>
      <w:numFmt w:val="decimal"/>
      <w:pStyle w:val="4"/>
      <w:lvlText w:val="%1.%2"/>
      <w:lvlJc w:val="left"/>
      <w:pPr>
        <w:ind w:left="576" w:hanging="576"/>
      </w:pPr>
      <w:rPr>
        <w:rFonts w:hint="default"/>
        <w:i w:val="0"/>
        <w:iCs w:val="0"/>
        <w:sz w:val="28"/>
        <w:szCs w:val="28"/>
      </w:r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5">
    <w:nsid w:val="32D71598"/>
    <w:multiLevelType w:val="multilevel"/>
    <w:tmpl w:val="32D71598"/>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default"/>
        <w:i w:val="0"/>
        <w:iCs w:val="0"/>
        <w:sz w:val="28"/>
        <w:szCs w:val="28"/>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5CBF4B38"/>
    <w:multiLevelType w:val="singleLevel"/>
    <w:tmpl w:val="5CBF4B38"/>
    <w:lvl w:ilvl="0" w:tentative="0">
      <w:start w:val="1"/>
      <w:numFmt w:val="bullet"/>
      <w:pStyle w:val="261"/>
      <w:lvlText w:val="-"/>
      <w:lvlJc w:val="left"/>
      <w:pPr>
        <w:tabs>
          <w:tab w:val="left" w:pos="360"/>
        </w:tabs>
        <w:ind w:left="360" w:hanging="360"/>
      </w:pPr>
      <w:rPr>
        <w:sz w:val="16"/>
      </w:rPr>
    </w:lvl>
  </w:abstractNum>
  <w:abstractNum w:abstractNumId="7">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320"/>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61B40391"/>
    <w:multiLevelType w:val="multilevel"/>
    <w:tmpl w:val="61B40391"/>
    <w:lvl w:ilvl="0" w:tentative="0">
      <w:start w:val="1"/>
      <w:numFmt w:val="lowerLetter"/>
      <w:lvlText w:val="%1."/>
      <w:lvlJc w:val="left"/>
      <w:pPr>
        <w:ind w:left="991" w:hanging="420"/>
      </w:pPr>
      <w:rPr>
        <w:rFonts w:hint="eastAsia"/>
      </w:rPr>
    </w:lvl>
    <w:lvl w:ilvl="1" w:tentative="0">
      <w:start w:val="1"/>
      <w:numFmt w:val="lowerLetter"/>
      <w:lvlText w:val="%2)"/>
      <w:lvlJc w:val="left"/>
      <w:pPr>
        <w:ind w:left="1411" w:hanging="420"/>
      </w:pPr>
    </w:lvl>
    <w:lvl w:ilvl="2" w:tentative="0">
      <w:start w:val="1"/>
      <w:numFmt w:val="lowerRoman"/>
      <w:lvlText w:val="%3."/>
      <w:lvlJc w:val="right"/>
      <w:pPr>
        <w:ind w:left="1831" w:hanging="420"/>
      </w:pPr>
    </w:lvl>
    <w:lvl w:ilvl="3" w:tentative="0">
      <w:start w:val="1"/>
      <w:numFmt w:val="decimal"/>
      <w:lvlText w:val="%4."/>
      <w:lvlJc w:val="left"/>
      <w:pPr>
        <w:ind w:left="2251" w:hanging="420"/>
      </w:pPr>
    </w:lvl>
    <w:lvl w:ilvl="4" w:tentative="0">
      <w:start w:val="1"/>
      <w:numFmt w:val="lowerLetter"/>
      <w:lvlText w:val="%5)"/>
      <w:lvlJc w:val="left"/>
      <w:pPr>
        <w:ind w:left="2671" w:hanging="420"/>
      </w:pPr>
    </w:lvl>
    <w:lvl w:ilvl="5" w:tentative="0">
      <w:start w:val="1"/>
      <w:numFmt w:val="lowerRoman"/>
      <w:lvlText w:val="%6."/>
      <w:lvlJc w:val="right"/>
      <w:pPr>
        <w:ind w:left="3091" w:hanging="420"/>
      </w:pPr>
    </w:lvl>
    <w:lvl w:ilvl="6" w:tentative="0">
      <w:start w:val="1"/>
      <w:numFmt w:val="decimal"/>
      <w:lvlText w:val="%7."/>
      <w:lvlJc w:val="left"/>
      <w:pPr>
        <w:ind w:left="3511" w:hanging="420"/>
      </w:pPr>
    </w:lvl>
    <w:lvl w:ilvl="7" w:tentative="0">
      <w:start w:val="1"/>
      <w:numFmt w:val="lowerLetter"/>
      <w:lvlText w:val="%8)"/>
      <w:lvlJc w:val="left"/>
      <w:pPr>
        <w:ind w:left="3931" w:hanging="420"/>
      </w:pPr>
    </w:lvl>
    <w:lvl w:ilvl="8" w:tentative="0">
      <w:start w:val="1"/>
      <w:numFmt w:val="lowerRoman"/>
      <w:lvlText w:val="%9."/>
      <w:lvlJc w:val="right"/>
      <w:pPr>
        <w:ind w:left="4351" w:hanging="420"/>
      </w:pPr>
    </w:lvl>
  </w:abstractNum>
  <w:num w:numId="1">
    <w:abstractNumId w:val="4"/>
  </w:num>
  <w:num w:numId="2">
    <w:abstractNumId w:val="1"/>
  </w:num>
  <w:num w:numId="3">
    <w:abstractNumId w:val="0"/>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wZTM3OTQ5YzAyNmYyNDQ4NmJmOTkxNDEzNzYxODAifQ=="/>
  </w:docVars>
  <w:rsids>
    <w:rsidRoot w:val="00B9162F"/>
    <w:rsid w:val="000009EA"/>
    <w:rsid w:val="00002009"/>
    <w:rsid w:val="00002033"/>
    <w:rsid w:val="00002350"/>
    <w:rsid w:val="000027CE"/>
    <w:rsid w:val="00003D85"/>
    <w:rsid w:val="00006123"/>
    <w:rsid w:val="000066A8"/>
    <w:rsid w:val="00007080"/>
    <w:rsid w:val="00007373"/>
    <w:rsid w:val="00007867"/>
    <w:rsid w:val="00007958"/>
    <w:rsid w:val="00007F75"/>
    <w:rsid w:val="0001010F"/>
    <w:rsid w:val="000107DF"/>
    <w:rsid w:val="00010B83"/>
    <w:rsid w:val="00010C65"/>
    <w:rsid w:val="00012350"/>
    <w:rsid w:val="00012AD5"/>
    <w:rsid w:val="00012F69"/>
    <w:rsid w:val="0001316F"/>
    <w:rsid w:val="000132D4"/>
    <w:rsid w:val="00013F12"/>
    <w:rsid w:val="00013F6C"/>
    <w:rsid w:val="000145E7"/>
    <w:rsid w:val="000146C2"/>
    <w:rsid w:val="00015085"/>
    <w:rsid w:val="00015188"/>
    <w:rsid w:val="000154D7"/>
    <w:rsid w:val="00015F0B"/>
    <w:rsid w:val="000168D6"/>
    <w:rsid w:val="00016B7F"/>
    <w:rsid w:val="00016FD9"/>
    <w:rsid w:val="00016FFA"/>
    <w:rsid w:val="00017221"/>
    <w:rsid w:val="0001728C"/>
    <w:rsid w:val="00017880"/>
    <w:rsid w:val="000202C1"/>
    <w:rsid w:val="0002130D"/>
    <w:rsid w:val="0002169C"/>
    <w:rsid w:val="000222A2"/>
    <w:rsid w:val="000222C4"/>
    <w:rsid w:val="00022410"/>
    <w:rsid w:val="000230FC"/>
    <w:rsid w:val="00023291"/>
    <w:rsid w:val="000233AD"/>
    <w:rsid w:val="0002350F"/>
    <w:rsid w:val="00023610"/>
    <w:rsid w:val="00023ED5"/>
    <w:rsid w:val="00024366"/>
    <w:rsid w:val="0002456C"/>
    <w:rsid w:val="0002479A"/>
    <w:rsid w:val="00024840"/>
    <w:rsid w:val="00024AB5"/>
    <w:rsid w:val="00024EE4"/>
    <w:rsid w:val="0002506A"/>
    <w:rsid w:val="00025542"/>
    <w:rsid w:val="00026173"/>
    <w:rsid w:val="00026290"/>
    <w:rsid w:val="0002649B"/>
    <w:rsid w:val="00026871"/>
    <w:rsid w:val="00027BB0"/>
    <w:rsid w:val="00031311"/>
    <w:rsid w:val="00031679"/>
    <w:rsid w:val="000318B5"/>
    <w:rsid w:val="000319A9"/>
    <w:rsid w:val="00031F00"/>
    <w:rsid w:val="000329A4"/>
    <w:rsid w:val="00032B55"/>
    <w:rsid w:val="00032BAF"/>
    <w:rsid w:val="00033020"/>
    <w:rsid w:val="00033562"/>
    <w:rsid w:val="00034C7F"/>
    <w:rsid w:val="00034D65"/>
    <w:rsid w:val="00034DD1"/>
    <w:rsid w:val="00034DE1"/>
    <w:rsid w:val="000350C2"/>
    <w:rsid w:val="000352BA"/>
    <w:rsid w:val="0003571A"/>
    <w:rsid w:val="00035833"/>
    <w:rsid w:val="00035CEB"/>
    <w:rsid w:val="0003624D"/>
    <w:rsid w:val="00036624"/>
    <w:rsid w:val="00036707"/>
    <w:rsid w:val="0003772C"/>
    <w:rsid w:val="00037A2B"/>
    <w:rsid w:val="00037B8E"/>
    <w:rsid w:val="00040F52"/>
    <w:rsid w:val="00041249"/>
    <w:rsid w:val="00041C7D"/>
    <w:rsid w:val="000426F9"/>
    <w:rsid w:val="00042716"/>
    <w:rsid w:val="00042F7C"/>
    <w:rsid w:val="000434AA"/>
    <w:rsid w:val="000435A1"/>
    <w:rsid w:val="00043EA2"/>
    <w:rsid w:val="00043F53"/>
    <w:rsid w:val="0004438B"/>
    <w:rsid w:val="00045274"/>
    <w:rsid w:val="00045404"/>
    <w:rsid w:val="00045774"/>
    <w:rsid w:val="00046208"/>
    <w:rsid w:val="000469FF"/>
    <w:rsid w:val="00046A50"/>
    <w:rsid w:val="00046D8A"/>
    <w:rsid w:val="00046F00"/>
    <w:rsid w:val="00046F1B"/>
    <w:rsid w:val="0004719A"/>
    <w:rsid w:val="000471EC"/>
    <w:rsid w:val="00047582"/>
    <w:rsid w:val="000478F5"/>
    <w:rsid w:val="000503C1"/>
    <w:rsid w:val="000508F9"/>
    <w:rsid w:val="0005095A"/>
    <w:rsid w:val="00050C78"/>
    <w:rsid w:val="000519AB"/>
    <w:rsid w:val="000524A5"/>
    <w:rsid w:val="000525EB"/>
    <w:rsid w:val="00052AAC"/>
    <w:rsid w:val="000533A2"/>
    <w:rsid w:val="00053C01"/>
    <w:rsid w:val="00054386"/>
    <w:rsid w:val="000544A9"/>
    <w:rsid w:val="000546B1"/>
    <w:rsid w:val="0005471B"/>
    <w:rsid w:val="0005476E"/>
    <w:rsid w:val="000549AA"/>
    <w:rsid w:val="00054E4D"/>
    <w:rsid w:val="00054E7E"/>
    <w:rsid w:val="00055043"/>
    <w:rsid w:val="000557E4"/>
    <w:rsid w:val="000557FE"/>
    <w:rsid w:val="000559CF"/>
    <w:rsid w:val="00055BF8"/>
    <w:rsid w:val="00056BAC"/>
    <w:rsid w:val="00056C57"/>
    <w:rsid w:val="00056E33"/>
    <w:rsid w:val="00060555"/>
    <w:rsid w:val="0006100D"/>
    <w:rsid w:val="0006144D"/>
    <w:rsid w:val="00061AB5"/>
    <w:rsid w:val="00062007"/>
    <w:rsid w:val="0006264A"/>
    <w:rsid w:val="00062ADB"/>
    <w:rsid w:val="00063C89"/>
    <w:rsid w:val="0006425C"/>
    <w:rsid w:val="00064C64"/>
    <w:rsid w:val="000651F7"/>
    <w:rsid w:val="000653D3"/>
    <w:rsid w:val="00065ED1"/>
    <w:rsid w:val="00066261"/>
    <w:rsid w:val="0006648F"/>
    <w:rsid w:val="000668CA"/>
    <w:rsid w:val="00066DEF"/>
    <w:rsid w:val="00067165"/>
    <w:rsid w:val="00067AEC"/>
    <w:rsid w:val="00070205"/>
    <w:rsid w:val="000703B4"/>
    <w:rsid w:val="000706CC"/>
    <w:rsid w:val="00070D6B"/>
    <w:rsid w:val="00070F07"/>
    <w:rsid w:val="000716E2"/>
    <w:rsid w:val="0007186A"/>
    <w:rsid w:val="000719ED"/>
    <w:rsid w:val="00071A6C"/>
    <w:rsid w:val="00072497"/>
    <w:rsid w:val="0007255D"/>
    <w:rsid w:val="00072965"/>
    <w:rsid w:val="00073178"/>
    <w:rsid w:val="000731EE"/>
    <w:rsid w:val="0007345D"/>
    <w:rsid w:val="00073758"/>
    <w:rsid w:val="000737CF"/>
    <w:rsid w:val="00073D5A"/>
    <w:rsid w:val="000749FA"/>
    <w:rsid w:val="0007590B"/>
    <w:rsid w:val="00075D21"/>
    <w:rsid w:val="0007642E"/>
    <w:rsid w:val="0007697F"/>
    <w:rsid w:val="000769BA"/>
    <w:rsid w:val="00076C5A"/>
    <w:rsid w:val="00077566"/>
    <w:rsid w:val="0007764A"/>
    <w:rsid w:val="0007775E"/>
    <w:rsid w:val="00077888"/>
    <w:rsid w:val="0008005E"/>
    <w:rsid w:val="00081462"/>
    <w:rsid w:val="00081F56"/>
    <w:rsid w:val="00081FE6"/>
    <w:rsid w:val="000822B6"/>
    <w:rsid w:val="000823AA"/>
    <w:rsid w:val="000823C8"/>
    <w:rsid w:val="00082719"/>
    <w:rsid w:val="000827EC"/>
    <w:rsid w:val="00082A06"/>
    <w:rsid w:val="0008312C"/>
    <w:rsid w:val="000835DC"/>
    <w:rsid w:val="00083B66"/>
    <w:rsid w:val="00083C98"/>
    <w:rsid w:val="00083E13"/>
    <w:rsid w:val="00084395"/>
    <w:rsid w:val="0008495C"/>
    <w:rsid w:val="0008520E"/>
    <w:rsid w:val="00085895"/>
    <w:rsid w:val="0008607A"/>
    <w:rsid w:val="00086F32"/>
    <w:rsid w:val="00087790"/>
    <w:rsid w:val="00087A0D"/>
    <w:rsid w:val="00087EDB"/>
    <w:rsid w:val="0009000E"/>
    <w:rsid w:val="00090ECE"/>
    <w:rsid w:val="0009162A"/>
    <w:rsid w:val="00092581"/>
    <w:rsid w:val="00093A61"/>
    <w:rsid w:val="000943A0"/>
    <w:rsid w:val="0009481E"/>
    <w:rsid w:val="00094F8C"/>
    <w:rsid w:val="000955F3"/>
    <w:rsid w:val="00095E42"/>
    <w:rsid w:val="000974FB"/>
    <w:rsid w:val="000A0038"/>
    <w:rsid w:val="000A01B4"/>
    <w:rsid w:val="000A0933"/>
    <w:rsid w:val="000A0AC8"/>
    <w:rsid w:val="000A0D1E"/>
    <w:rsid w:val="000A0EDF"/>
    <w:rsid w:val="000A1162"/>
    <w:rsid w:val="000A11F7"/>
    <w:rsid w:val="000A123A"/>
    <w:rsid w:val="000A153B"/>
    <w:rsid w:val="000A1957"/>
    <w:rsid w:val="000A1A28"/>
    <w:rsid w:val="000A1D61"/>
    <w:rsid w:val="000A22DD"/>
    <w:rsid w:val="000A3066"/>
    <w:rsid w:val="000A30DF"/>
    <w:rsid w:val="000A4279"/>
    <w:rsid w:val="000A43CC"/>
    <w:rsid w:val="000A4E21"/>
    <w:rsid w:val="000A5966"/>
    <w:rsid w:val="000A59D6"/>
    <w:rsid w:val="000A5B54"/>
    <w:rsid w:val="000A6404"/>
    <w:rsid w:val="000A6D07"/>
    <w:rsid w:val="000A738D"/>
    <w:rsid w:val="000A7A27"/>
    <w:rsid w:val="000A7B1B"/>
    <w:rsid w:val="000B05E1"/>
    <w:rsid w:val="000B0837"/>
    <w:rsid w:val="000B0DC1"/>
    <w:rsid w:val="000B15E3"/>
    <w:rsid w:val="000B1AE1"/>
    <w:rsid w:val="000B1E62"/>
    <w:rsid w:val="000B2160"/>
    <w:rsid w:val="000B22F9"/>
    <w:rsid w:val="000B235B"/>
    <w:rsid w:val="000B2D0E"/>
    <w:rsid w:val="000B31E3"/>
    <w:rsid w:val="000B32ED"/>
    <w:rsid w:val="000B33BA"/>
    <w:rsid w:val="000B3B4F"/>
    <w:rsid w:val="000B3C69"/>
    <w:rsid w:val="000B403D"/>
    <w:rsid w:val="000B4242"/>
    <w:rsid w:val="000B4320"/>
    <w:rsid w:val="000B4653"/>
    <w:rsid w:val="000B46A8"/>
    <w:rsid w:val="000B47E5"/>
    <w:rsid w:val="000B499E"/>
    <w:rsid w:val="000B5380"/>
    <w:rsid w:val="000B5F78"/>
    <w:rsid w:val="000B68A8"/>
    <w:rsid w:val="000B6CFE"/>
    <w:rsid w:val="000B6F17"/>
    <w:rsid w:val="000B796D"/>
    <w:rsid w:val="000C0035"/>
    <w:rsid w:val="000C013C"/>
    <w:rsid w:val="000C0C09"/>
    <w:rsid w:val="000C147E"/>
    <w:rsid w:val="000C1482"/>
    <w:rsid w:val="000C176E"/>
    <w:rsid w:val="000C18F5"/>
    <w:rsid w:val="000C2810"/>
    <w:rsid w:val="000C290D"/>
    <w:rsid w:val="000C29D9"/>
    <w:rsid w:val="000C2C3A"/>
    <w:rsid w:val="000C321A"/>
    <w:rsid w:val="000C4FDF"/>
    <w:rsid w:val="000C570B"/>
    <w:rsid w:val="000C5CF9"/>
    <w:rsid w:val="000C5F02"/>
    <w:rsid w:val="000C6059"/>
    <w:rsid w:val="000C646F"/>
    <w:rsid w:val="000C6631"/>
    <w:rsid w:val="000C69EA"/>
    <w:rsid w:val="000C6C70"/>
    <w:rsid w:val="000C6C9A"/>
    <w:rsid w:val="000C722B"/>
    <w:rsid w:val="000C7332"/>
    <w:rsid w:val="000C7362"/>
    <w:rsid w:val="000C749A"/>
    <w:rsid w:val="000C771F"/>
    <w:rsid w:val="000C773F"/>
    <w:rsid w:val="000C7D3D"/>
    <w:rsid w:val="000C7D67"/>
    <w:rsid w:val="000C7E61"/>
    <w:rsid w:val="000D04BD"/>
    <w:rsid w:val="000D05AB"/>
    <w:rsid w:val="000D1FBB"/>
    <w:rsid w:val="000D2114"/>
    <w:rsid w:val="000D2284"/>
    <w:rsid w:val="000D2D73"/>
    <w:rsid w:val="000D3C96"/>
    <w:rsid w:val="000D568C"/>
    <w:rsid w:val="000D58DE"/>
    <w:rsid w:val="000D59D3"/>
    <w:rsid w:val="000D688A"/>
    <w:rsid w:val="000D6999"/>
    <w:rsid w:val="000D7221"/>
    <w:rsid w:val="000D7987"/>
    <w:rsid w:val="000E0831"/>
    <w:rsid w:val="000E0C5A"/>
    <w:rsid w:val="000E1280"/>
    <w:rsid w:val="000E1775"/>
    <w:rsid w:val="000E1A51"/>
    <w:rsid w:val="000E2110"/>
    <w:rsid w:val="000E2215"/>
    <w:rsid w:val="000E2509"/>
    <w:rsid w:val="000E2F0D"/>
    <w:rsid w:val="000E30FB"/>
    <w:rsid w:val="000E3179"/>
    <w:rsid w:val="000E3DCB"/>
    <w:rsid w:val="000E402C"/>
    <w:rsid w:val="000E41B2"/>
    <w:rsid w:val="000E446E"/>
    <w:rsid w:val="000E4631"/>
    <w:rsid w:val="000E4698"/>
    <w:rsid w:val="000E4F3D"/>
    <w:rsid w:val="000E512D"/>
    <w:rsid w:val="000E5658"/>
    <w:rsid w:val="000E5982"/>
    <w:rsid w:val="000E60B9"/>
    <w:rsid w:val="000E62A5"/>
    <w:rsid w:val="000E6470"/>
    <w:rsid w:val="000E6715"/>
    <w:rsid w:val="000E6C2C"/>
    <w:rsid w:val="000E72F4"/>
    <w:rsid w:val="000F0B7A"/>
    <w:rsid w:val="000F0DF8"/>
    <w:rsid w:val="000F0E1F"/>
    <w:rsid w:val="000F12D9"/>
    <w:rsid w:val="000F2474"/>
    <w:rsid w:val="000F2666"/>
    <w:rsid w:val="000F2A9B"/>
    <w:rsid w:val="000F2C66"/>
    <w:rsid w:val="000F3224"/>
    <w:rsid w:val="000F329D"/>
    <w:rsid w:val="000F35ED"/>
    <w:rsid w:val="000F36F5"/>
    <w:rsid w:val="000F3A6A"/>
    <w:rsid w:val="000F4A24"/>
    <w:rsid w:val="000F4FD5"/>
    <w:rsid w:val="000F5110"/>
    <w:rsid w:val="000F5767"/>
    <w:rsid w:val="000F5887"/>
    <w:rsid w:val="000F678D"/>
    <w:rsid w:val="000F6E4D"/>
    <w:rsid w:val="000F70F6"/>
    <w:rsid w:val="000F761F"/>
    <w:rsid w:val="000F7936"/>
    <w:rsid w:val="000F7AF9"/>
    <w:rsid w:val="000F7D31"/>
    <w:rsid w:val="000F7E96"/>
    <w:rsid w:val="001001DD"/>
    <w:rsid w:val="00100B8B"/>
    <w:rsid w:val="00100C4E"/>
    <w:rsid w:val="001010D2"/>
    <w:rsid w:val="0010134B"/>
    <w:rsid w:val="0010249F"/>
    <w:rsid w:val="00102687"/>
    <w:rsid w:val="00102AC1"/>
    <w:rsid w:val="00102DD1"/>
    <w:rsid w:val="0010375E"/>
    <w:rsid w:val="00103CD6"/>
    <w:rsid w:val="0010473F"/>
    <w:rsid w:val="00104C7A"/>
    <w:rsid w:val="00104DCF"/>
    <w:rsid w:val="00105030"/>
    <w:rsid w:val="00105095"/>
    <w:rsid w:val="001057FF"/>
    <w:rsid w:val="00105D64"/>
    <w:rsid w:val="00105DFD"/>
    <w:rsid w:val="00106FEC"/>
    <w:rsid w:val="00107135"/>
    <w:rsid w:val="0010722E"/>
    <w:rsid w:val="001077B8"/>
    <w:rsid w:val="0010799E"/>
    <w:rsid w:val="0011018F"/>
    <w:rsid w:val="00110694"/>
    <w:rsid w:val="00110774"/>
    <w:rsid w:val="0011095D"/>
    <w:rsid w:val="00110C5A"/>
    <w:rsid w:val="00111282"/>
    <w:rsid w:val="00111C97"/>
    <w:rsid w:val="00111CE0"/>
    <w:rsid w:val="00111FDB"/>
    <w:rsid w:val="001123B3"/>
    <w:rsid w:val="001125DB"/>
    <w:rsid w:val="001133A6"/>
    <w:rsid w:val="00113636"/>
    <w:rsid w:val="00113767"/>
    <w:rsid w:val="0011397C"/>
    <w:rsid w:val="001139C1"/>
    <w:rsid w:val="00113B8A"/>
    <w:rsid w:val="00113F6B"/>
    <w:rsid w:val="001152B2"/>
    <w:rsid w:val="001157D9"/>
    <w:rsid w:val="00115FCD"/>
    <w:rsid w:val="00116101"/>
    <w:rsid w:val="00116BA9"/>
    <w:rsid w:val="00116CA9"/>
    <w:rsid w:val="0011731A"/>
    <w:rsid w:val="0011740B"/>
    <w:rsid w:val="00117859"/>
    <w:rsid w:val="00117982"/>
    <w:rsid w:val="00117D06"/>
    <w:rsid w:val="00117DC0"/>
    <w:rsid w:val="00120B4D"/>
    <w:rsid w:val="00120FD8"/>
    <w:rsid w:val="001213E1"/>
    <w:rsid w:val="001218A2"/>
    <w:rsid w:val="00121F15"/>
    <w:rsid w:val="001221B5"/>
    <w:rsid w:val="001228D9"/>
    <w:rsid w:val="00122D7E"/>
    <w:rsid w:val="001233F4"/>
    <w:rsid w:val="00123851"/>
    <w:rsid w:val="00123868"/>
    <w:rsid w:val="00123DEE"/>
    <w:rsid w:val="0012413C"/>
    <w:rsid w:val="001241BC"/>
    <w:rsid w:val="00124260"/>
    <w:rsid w:val="00124649"/>
    <w:rsid w:val="001246EC"/>
    <w:rsid w:val="001247C0"/>
    <w:rsid w:val="001247C3"/>
    <w:rsid w:val="00124BA4"/>
    <w:rsid w:val="00125452"/>
    <w:rsid w:val="00125724"/>
    <w:rsid w:val="00125778"/>
    <w:rsid w:val="0012583B"/>
    <w:rsid w:val="001261B5"/>
    <w:rsid w:val="001261C1"/>
    <w:rsid w:val="00126510"/>
    <w:rsid w:val="001265BF"/>
    <w:rsid w:val="0012679D"/>
    <w:rsid w:val="00126A07"/>
    <w:rsid w:val="001270D7"/>
    <w:rsid w:val="00127B8D"/>
    <w:rsid w:val="00130D1B"/>
    <w:rsid w:val="00131599"/>
    <w:rsid w:val="001315AB"/>
    <w:rsid w:val="00131AA2"/>
    <w:rsid w:val="00131DD7"/>
    <w:rsid w:val="0013224E"/>
    <w:rsid w:val="001322AA"/>
    <w:rsid w:val="00132491"/>
    <w:rsid w:val="0013283F"/>
    <w:rsid w:val="00132A51"/>
    <w:rsid w:val="00132ACC"/>
    <w:rsid w:val="00133114"/>
    <w:rsid w:val="00134044"/>
    <w:rsid w:val="001345AC"/>
    <w:rsid w:val="00134C7A"/>
    <w:rsid w:val="001351CB"/>
    <w:rsid w:val="001352DE"/>
    <w:rsid w:val="00135B5E"/>
    <w:rsid w:val="001362D5"/>
    <w:rsid w:val="00137DB6"/>
    <w:rsid w:val="00140C6D"/>
    <w:rsid w:val="00140E98"/>
    <w:rsid w:val="001413D7"/>
    <w:rsid w:val="00141888"/>
    <w:rsid w:val="00141C46"/>
    <w:rsid w:val="00142789"/>
    <w:rsid w:val="0014283F"/>
    <w:rsid w:val="00142A40"/>
    <w:rsid w:val="00142B0C"/>
    <w:rsid w:val="001435FA"/>
    <w:rsid w:val="00143881"/>
    <w:rsid w:val="001438CA"/>
    <w:rsid w:val="001449BD"/>
    <w:rsid w:val="001450D8"/>
    <w:rsid w:val="0014535E"/>
    <w:rsid w:val="001455A5"/>
    <w:rsid w:val="00145D2C"/>
    <w:rsid w:val="0014619D"/>
    <w:rsid w:val="0014628E"/>
    <w:rsid w:val="00146504"/>
    <w:rsid w:val="00146C64"/>
    <w:rsid w:val="00146F57"/>
    <w:rsid w:val="00146F63"/>
    <w:rsid w:val="00147FDB"/>
    <w:rsid w:val="00150206"/>
    <w:rsid w:val="001513CC"/>
    <w:rsid w:val="00152328"/>
    <w:rsid w:val="0015252B"/>
    <w:rsid w:val="00152AF2"/>
    <w:rsid w:val="00152E30"/>
    <w:rsid w:val="00153775"/>
    <w:rsid w:val="00154064"/>
    <w:rsid w:val="001547FE"/>
    <w:rsid w:val="00156E9B"/>
    <w:rsid w:val="00157AFB"/>
    <w:rsid w:val="00160808"/>
    <w:rsid w:val="00160C5D"/>
    <w:rsid w:val="00160E55"/>
    <w:rsid w:val="0016100E"/>
    <w:rsid w:val="001622AC"/>
    <w:rsid w:val="00162486"/>
    <w:rsid w:val="00162772"/>
    <w:rsid w:val="001629A6"/>
    <w:rsid w:val="0016303B"/>
    <w:rsid w:val="00163172"/>
    <w:rsid w:val="00163459"/>
    <w:rsid w:val="00163628"/>
    <w:rsid w:val="00163B49"/>
    <w:rsid w:val="00163C04"/>
    <w:rsid w:val="00163D37"/>
    <w:rsid w:val="00163E90"/>
    <w:rsid w:val="001640C7"/>
    <w:rsid w:val="001644C7"/>
    <w:rsid w:val="00164A47"/>
    <w:rsid w:val="00164B1B"/>
    <w:rsid w:val="00164EDE"/>
    <w:rsid w:val="00164F10"/>
    <w:rsid w:val="0016641A"/>
    <w:rsid w:val="001665C5"/>
    <w:rsid w:val="001666F2"/>
    <w:rsid w:val="001667A8"/>
    <w:rsid w:val="001669F3"/>
    <w:rsid w:val="00167550"/>
    <w:rsid w:val="00167B95"/>
    <w:rsid w:val="00167F50"/>
    <w:rsid w:val="00170C08"/>
    <w:rsid w:val="00170EF6"/>
    <w:rsid w:val="00171070"/>
    <w:rsid w:val="00171326"/>
    <w:rsid w:val="0017209C"/>
    <w:rsid w:val="00172C8F"/>
    <w:rsid w:val="00173066"/>
    <w:rsid w:val="00173077"/>
    <w:rsid w:val="001737E0"/>
    <w:rsid w:val="0017531D"/>
    <w:rsid w:val="00175D31"/>
    <w:rsid w:val="001762F8"/>
    <w:rsid w:val="00176E34"/>
    <w:rsid w:val="00177455"/>
    <w:rsid w:val="001776E3"/>
    <w:rsid w:val="00180F32"/>
    <w:rsid w:val="0018150E"/>
    <w:rsid w:val="001817D9"/>
    <w:rsid w:val="001822BB"/>
    <w:rsid w:val="00182A99"/>
    <w:rsid w:val="00182CEF"/>
    <w:rsid w:val="00183428"/>
    <w:rsid w:val="00183B7B"/>
    <w:rsid w:val="00183ED5"/>
    <w:rsid w:val="00183F47"/>
    <w:rsid w:val="00184740"/>
    <w:rsid w:val="00185BF7"/>
    <w:rsid w:val="00185C3F"/>
    <w:rsid w:val="00185D32"/>
    <w:rsid w:val="00185E6A"/>
    <w:rsid w:val="00186A6E"/>
    <w:rsid w:val="0018747B"/>
    <w:rsid w:val="00187783"/>
    <w:rsid w:val="00190AFD"/>
    <w:rsid w:val="00190C6A"/>
    <w:rsid w:val="001913C7"/>
    <w:rsid w:val="00191858"/>
    <w:rsid w:val="00192745"/>
    <w:rsid w:val="001932E2"/>
    <w:rsid w:val="001940C8"/>
    <w:rsid w:val="00194199"/>
    <w:rsid w:val="001949C5"/>
    <w:rsid w:val="00194A8C"/>
    <w:rsid w:val="001952DE"/>
    <w:rsid w:val="001961D2"/>
    <w:rsid w:val="001963DF"/>
    <w:rsid w:val="001968D0"/>
    <w:rsid w:val="00196BEF"/>
    <w:rsid w:val="0019702D"/>
    <w:rsid w:val="00197062"/>
    <w:rsid w:val="001977E1"/>
    <w:rsid w:val="001978C1"/>
    <w:rsid w:val="0019799C"/>
    <w:rsid w:val="00197D63"/>
    <w:rsid w:val="00197F5B"/>
    <w:rsid w:val="001A0275"/>
    <w:rsid w:val="001A073F"/>
    <w:rsid w:val="001A1268"/>
    <w:rsid w:val="001A12CC"/>
    <w:rsid w:val="001A151A"/>
    <w:rsid w:val="001A17DB"/>
    <w:rsid w:val="001A24BD"/>
    <w:rsid w:val="001A26F4"/>
    <w:rsid w:val="001A281C"/>
    <w:rsid w:val="001A29CD"/>
    <w:rsid w:val="001A2C60"/>
    <w:rsid w:val="001A3453"/>
    <w:rsid w:val="001A3E4D"/>
    <w:rsid w:val="001A4145"/>
    <w:rsid w:val="001A4A08"/>
    <w:rsid w:val="001A4E1E"/>
    <w:rsid w:val="001A528B"/>
    <w:rsid w:val="001A5629"/>
    <w:rsid w:val="001A5B04"/>
    <w:rsid w:val="001A5D71"/>
    <w:rsid w:val="001A60E7"/>
    <w:rsid w:val="001B035E"/>
    <w:rsid w:val="001B06A9"/>
    <w:rsid w:val="001B0A67"/>
    <w:rsid w:val="001B0B34"/>
    <w:rsid w:val="001B0CD1"/>
    <w:rsid w:val="001B0EF8"/>
    <w:rsid w:val="001B14B7"/>
    <w:rsid w:val="001B1BF3"/>
    <w:rsid w:val="001B2220"/>
    <w:rsid w:val="001B2A48"/>
    <w:rsid w:val="001B33D2"/>
    <w:rsid w:val="001B3E92"/>
    <w:rsid w:val="001B3F1E"/>
    <w:rsid w:val="001B4407"/>
    <w:rsid w:val="001B47AE"/>
    <w:rsid w:val="001B49D5"/>
    <w:rsid w:val="001B50E3"/>
    <w:rsid w:val="001B50E7"/>
    <w:rsid w:val="001B53D4"/>
    <w:rsid w:val="001B5AF3"/>
    <w:rsid w:val="001B5E0B"/>
    <w:rsid w:val="001B65B8"/>
    <w:rsid w:val="001B6B8F"/>
    <w:rsid w:val="001B6B9E"/>
    <w:rsid w:val="001B7537"/>
    <w:rsid w:val="001B7DE3"/>
    <w:rsid w:val="001C021C"/>
    <w:rsid w:val="001C035C"/>
    <w:rsid w:val="001C0403"/>
    <w:rsid w:val="001C08ED"/>
    <w:rsid w:val="001C0ED3"/>
    <w:rsid w:val="001C0F5D"/>
    <w:rsid w:val="001C1689"/>
    <w:rsid w:val="001C253E"/>
    <w:rsid w:val="001C2565"/>
    <w:rsid w:val="001C2F7A"/>
    <w:rsid w:val="001C3504"/>
    <w:rsid w:val="001C3E1F"/>
    <w:rsid w:val="001C3F85"/>
    <w:rsid w:val="001C3FC6"/>
    <w:rsid w:val="001C4120"/>
    <w:rsid w:val="001C44AC"/>
    <w:rsid w:val="001C457E"/>
    <w:rsid w:val="001C4BA9"/>
    <w:rsid w:val="001C4C0C"/>
    <w:rsid w:val="001C4E33"/>
    <w:rsid w:val="001C62C3"/>
    <w:rsid w:val="001C6606"/>
    <w:rsid w:val="001C7789"/>
    <w:rsid w:val="001C7A11"/>
    <w:rsid w:val="001C7C53"/>
    <w:rsid w:val="001C7F81"/>
    <w:rsid w:val="001D051A"/>
    <w:rsid w:val="001D082C"/>
    <w:rsid w:val="001D0EFE"/>
    <w:rsid w:val="001D0FCC"/>
    <w:rsid w:val="001D11C3"/>
    <w:rsid w:val="001D15AA"/>
    <w:rsid w:val="001D1B0C"/>
    <w:rsid w:val="001D22D8"/>
    <w:rsid w:val="001D29B4"/>
    <w:rsid w:val="001D2B40"/>
    <w:rsid w:val="001D34E4"/>
    <w:rsid w:val="001D37AF"/>
    <w:rsid w:val="001D3C19"/>
    <w:rsid w:val="001D411C"/>
    <w:rsid w:val="001D4198"/>
    <w:rsid w:val="001D537F"/>
    <w:rsid w:val="001D5948"/>
    <w:rsid w:val="001D5AF2"/>
    <w:rsid w:val="001D6139"/>
    <w:rsid w:val="001D61E8"/>
    <w:rsid w:val="001D664D"/>
    <w:rsid w:val="001D6C2F"/>
    <w:rsid w:val="001D6EF1"/>
    <w:rsid w:val="001D757E"/>
    <w:rsid w:val="001D79C1"/>
    <w:rsid w:val="001D7FBA"/>
    <w:rsid w:val="001E033E"/>
    <w:rsid w:val="001E052A"/>
    <w:rsid w:val="001E0800"/>
    <w:rsid w:val="001E151A"/>
    <w:rsid w:val="001E1909"/>
    <w:rsid w:val="001E1918"/>
    <w:rsid w:val="001E2183"/>
    <w:rsid w:val="001E24E9"/>
    <w:rsid w:val="001E2C9A"/>
    <w:rsid w:val="001E312A"/>
    <w:rsid w:val="001E3550"/>
    <w:rsid w:val="001E37E0"/>
    <w:rsid w:val="001E37E2"/>
    <w:rsid w:val="001E383E"/>
    <w:rsid w:val="001E3C69"/>
    <w:rsid w:val="001E44B8"/>
    <w:rsid w:val="001E4A64"/>
    <w:rsid w:val="001E5366"/>
    <w:rsid w:val="001E5590"/>
    <w:rsid w:val="001E5AD2"/>
    <w:rsid w:val="001E6265"/>
    <w:rsid w:val="001E656B"/>
    <w:rsid w:val="001E6707"/>
    <w:rsid w:val="001E6816"/>
    <w:rsid w:val="001E6AB5"/>
    <w:rsid w:val="001E77F5"/>
    <w:rsid w:val="001E78C2"/>
    <w:rsid w:val="001F0C63"/>
    <w:rsid w:val="001F1267"/>
    <w:rsid w:val="001F1369"/>
    <w:rsid w:val="001F1496"/>
    <w:rsid w:val="001F14AB"/>
    <w:rsid w:val="001F1EF0"/>
    <w:rsid w:val="001F26FF"/>
    <w:rsid w:val="001F2996"/>
    <w:rsid w:val="001F2FC0"/>
    <w:rsid w:val="001F38E5"/>
    <w:rsid w:val="001F39B8"/>
    <w:rsid w:val="001F4B19"/>
    <w:rsid w:val="001F50D4"/>
    <w:rsid w:val="001F51BA"/>
    <w:rsid w:val="001F5486"/>
    <w:rsid w:val="001F57EA"/>
    <w:rsid w:val="001F5CB8"/>
    <w:rsid w:val="001F5CEA"/>
    <w:rsid w:val="001F5FEE"/>
    <w:rsid w:val="001F6285"/>
    <w:rsid w:val="001F630E"/>
    <w:rsid w:val="001F63CF"/>
    <w:rsid w:val="001F66CC"/>
    <w:rsid w:val="001F6BBD"/>
    <w:rsid w:val="001F6D65"/>
    <w:rsid w:val="001F726F"/>
    <w:rsid w:val="001F7A29"/>
    <w:rsid w:val="001F7BE0"/>
    <w:rsid w:val="002000BE"/>
    <w:rsid w:val="00200377"/>
    <w:rsid w:val="00200570"/>
    <w:rsid w:val="002005CD"/>
    <w:rsid w:val="00201B14"/>
    <w:rsid w:val="00201BEA"/>
    <w:rsid w:val="00201F59"/>
    <w:rsid w:val="00202071"/>
    <w:rsid w:val="00202134"/>
    <w:rsid w:val="0020226E"/>
    <w:rsid w:val="002028F3"/>
    <w:rsid w:val="00202ED1"/>
    <w:rsid w:val="00202F96"/>
    <w:rsid w:val="00203736"/>
    <w:rsid w:val="002039E1"/>
    <w:rsid w:val="00203B27"/>
    <w:rsid w:val="0020430B"/>
    <w:rsid w:val="0020474D"/>
    <w:rsid w:val="0020498A"/>
    <w:rsid w:val="00204DB0"/>
    <w:rsid w:val="0020580B"/>
    <w:rsid w:val="002063A2"/>
    <w:rsid w:val="00206784"/>
    <w:rsid w:val="002067C6"/>
    <w:rsid w:val="00207560"/>
    <w:rsid w:val="00207B53"/>
    <w:rsid w:val="00207DF9"/>
    <w:rsid w:val="00210160"/>
    <w:rsid w:val="00210305"/>
    <w:rsid w:val="002107C3"/>
    <w:rsid w:val="00211418"/>
    <w:rsid w:val="0021144A"/>
    <w:rsid w:val="00211D13"/>
    <w:rsid w:val="0021232A"/>
    <w:rsid w:val="00213274"/>
    <w:rsid w:val="002134B5"/>
    <w:rsid w:val="002138A2"/>
    <w:rsid w:val="00213A15"/>
    <w:rsid w:val="00213DBB"/>
    <w:rsid w:val="00213E5D"/>
    <w:rsid w:val="00214B0F"/>
    <w:rsid w:val="00214C0F"/>
    <w:rsid w:val="0021578F"/>
    <w:rsid w:val="00216087"/>
    <w:rsid w:val="00216C80"/>
    <w:rsid w:val="00216F39"/>
    <w:rsid w:val="002173F2"/>
    <w:rsid w:val="00217439"/>
    <w:rsid w:val="002176D7"/>
    <w:rsid w:val="00217BBC"/>
    <w:rsid w:val="00220680"/>
    <w:rsid w:val="00220AEE"/>
    <w:rsid w:val="00220B53"/>
    <w:rsid w:val="00220ECE"/>
    <w:rsid w:val="0022102D"/>
    <w:rsid w:val="0022269B"/>
    <w:rsid w:val="002235C1"/>
    <w:rsid w:val="002236BA"/>
    <w:rsid w:val="00223A59"/>
    <w:rsid w:val="0022424E"/>
    <w:rsid w:val="0022503A"/>
    <w:rsid w:val="00225628"/>
    <w:rsid w:val="00226485"/>
    <w:rsid w:val="0022662A"/>
    <w:rsid w:val="002266A4"/>
    <w:rsid w:val="00226D27"/>
    <w:rsid w:val="00226EAF"/>
    <w:rsid w:val="00226F6F"/>
    <w:rsid w:val="0022719F"/>
    <w:rsid w:val="002271A9"/>
    <w:rsid w:val="002273C2"/>
    <w:rsid w:val="00227433"/>
    <w:rsid w:val="0022769C"/>
    <w:rsid w:val="00227EB6"/>
    <w:rsid w:val="002300D5"/>
    <w:rsid w:val="002302C1"/>
    <w:rsid w:val="00231D4F"/>
    <w:rsid w:val="00232E5A"/>
    <w:rsid w:val="002336E3"/>
    <w:rsid w:val="00233D86"/>
    <w:rsid w:val="00234096"/>
    <w:rsid w:val="00234180"/>
    <w:rsid w:val="002343FE"/>
    <w:rsid w:val="00234AC7"/>
    <w:rsid w:val="00234BFC"/>
    <w:rsid w:val="00234E2B"/>
    <w:rsid w:val="00234F47"/>
    <w:rsid w:val="00235220"/>
    <w:rsid w:val="00235B45"/>
    <w:rsid w:val="00235D4A"/>
    <w:rsid w:val="00235F99"/>
    <w:rsid w:val="002363CD"/>
    <w:rsid w:val="00236A00"/>
    <w:rsid w:val="0023724C"/>
    <w:rsid w:val="00237336"/>
    <w:rsid w:val="0023788A"/>
    <w:rsid w:val="00237B4C"/>
    <w:rsid w:val="0024004B"/>
    <w:rsid w:val="0024042D"/>
    <w:rsid w:val="0024043A"/>
    <w:rsid w:val="00240CAE"/>
    <w:rsid w:val="00240D0D"/>
    <w:rsid w:val="00241B37"/>
    <w:rsid w:val="002431F3"/>
    <w:rsid w:val="00243AE4"/>
    <w:rsid w:val="00243CC4"/>
    <w:rsid w:val="002442F1"/>
    <w:rsid w:val="002447E4"/>
    <w:rsid w:val="00244DB5"/>
    <w:rsid w:val="00246B7E"/>
    <w:rsid w:val="00246BC1"/>
    <w:rsid w:val="00246C87"/>
    <w:rsid w:val="00246C91"/>
    <w:rsid w:val="00246CB7"/>
    <w:rsid w:val="0024742B"/>
    <w:rsid w:val="002478FA"/>
    <w:rsid w:val="00247981"/>
    <w:rsid w:val="00247E56"/>
    <w:rsid w:val="00247E9B"/>
    <w:rsid w:val="00250688"/>
    <w:rsid w:val="00250BFB"/>
    <w:rsid w:val="00250E7F"/>
    <w:rsid w:val="00251103"/>
    <w:rsid w:val="0025124C"/>
    <w:rsid w:val="00251759"/>
    <w:rsid w:val="00251FB3"/>
    <w:rsid w:val="002520F4"/>
    <w:rsid w:val="0025230F"/>
    <w:rsid w:val="0025237F"/>
    <w:rsid w:val="00252453"/>
    <w:rsid w:val="00252A31"/>
    <w:rsid w:val="00252E84"/>
    <w:rsid w:val="00253166"/>
    <w:rsid w:val="002535F9"/>
    <w:rsid w:val="00253E0D"/>
    <w:rsid w:val="00254292"/>
    <w:rsid w:val="00254949"/>
    <w:rsid w:val="00254BA1"/>
    <w:rsid w:val="00255136"/>
    <w:rsid w:val="00255506"/>
    <w:rsid w:val="002557DF"/>
    <w:rsid w:val="00255845"/>
    <w:rsid w:val="00255C87"/>
    <w:rsid w:val="002561E7"/>
    <w:rsid w:val="002562D8"/>
    <w:rsid w:val="00256CC4"/>
    <w:rsid w:val="0025744E"/>
    <w:rsid w:val="00257548"/>
    <w:rsid w:val="002575A0"/>
    <w:rsid w:val="00257631"/>
    <w:rsid w:val="002605CA"/>
    <w:rsid w:val="0026065A"/>
    <w:rsid w:val="00260A68"/>
    <w:rsid w:val="00260DD3"/>
    <w:rsid w:val="00260E32"/>
    <w:rsid w:val="00261181"/>
    <w:rsid w:val="00261219"/>
    <w:rsid w:val="00261596"/>
    <w:rsid w:val="0026167A"/>
    <w:rsid w:val="00261C91"/>
    <w:rsid w:val="0026210B"/>
    <w:rsid w:val="002627A4"/>
    <w:rsid w:val="002628F2"/>
    <w:rsid w:val="00262D3B"/>
    <w:rsid w:val="00262D5A"/>
    <w:rsid w:val="00262E1D"/>
    <w:rsid w:val="00262F07"/>
    <w:rsid w:val="0026318A"/>
    <w:rsid w:val="00263232"/>
    <w:rsid w:val="0026437A"/>
    <w:rsid w:val="00264D14"/>
    <w:rsid w:val="00265738"/>
    <w:rsid w:val="00265B94"/>
    <w:rsid w:val="00266318"/>
    <w:rsid w:val="0026679A"/>
    <w:rsid w:val="00270141"/>
    <w:rsid w:val="0027042A"/>
    <w:rsid w:val="002705BC"/>
    <w:rsid w:val="00270EC3"/>
    <w:rsid w:val="002714DE"/>
    <w:rsid w:val="0027155E"/>
    <w:rsid w:val="00271688"/>
    <w:rsid w:val="002726D9"/>
    <w:rsid w:val="0027301B"/>
    <w:rsid w:val="0027378A"/>
    <w:rsid w:val="0027382D"/>
    <w:rsid w:val="00273B74"/>
    <w:rsid w:val="00273DDE"/>
    <w:rsid w:val="00273EA1"/>
    <w:rsid w:val="002744D1"/>
    <w:rsid w:val="00274552"/>
    <w:rsid w:val="00274FB7"/>
    <w:rsid w:val="00275D73"/>
    <w:rsid w:val="00275F0B"/>
    <w:rsid w:val="00276186"/>
    <w:rsid w:val="002800B2"/>
    <w:rsid w:val="002800FD"/>
    <w:rsid w:val="002804F5"/>
    <w:rsid w:val="002805E8"/>
    <w:rsid w:val="00280B45"/>
    <w:rsid w:val="002817EC"/>
    <w:rsid w:val="00281842"/>
    <w:rsid w:val="00281B95"/>
    <w:rsid w:val="00281CD0"/>
    <w:rsid w:val="00281E03"/>
    <w:rsid w:val="00282C40"/>
    <w:rsid w:val="00283598"/>
    <w:rsid w:val="00283AEB"/>
    <w:rsid w:val="00283ECE"/>
    <w:rsid w:val="00284142"/>
    <w:rsid w:val="00284199"/>
    <w:rsid w:val="0028427C"/>
    <w:rsid w:val="00284BC2"/>
    <w:rsid w:val="00285703"/>
    <w:rsid w:val="0028702F"/>
    <w:rsid w:val="002872F0"/>
    <w:rsid w:val="00287408"/>
    <w:rsid w:val="002878F2"/>
    <w:rsid w:val="00287B6C"/>
    <w:rsid w:val="00290040"/>
    <w:rsid w:val="002907F4"/>
    <w:rsid w:val="00290A6C"/>
    <w:rsid w:val="0029101A"/>
    <w:rsid w:val="002912AE"/>
    <w:rsid w:val="0029135F"/>
    <w:rsid w:val="002913D6"/>
    <w:rsid w:val="00291921"/>
    <w:rsid w:val="00291E5F"/>
    <w:rsid w:val="0029236F"/>
    <w:rsid w:val="00292DAA"/>
    <w:rsid w:val="00292EFF"/>
    <w:rsid w:val="00294522"/>
    <w:rsid w:val="002954B5"/>
    <w:rsid w:val="00295DCA"/>
    <w:rsid w:val="00295E1B"/>
    <w:rsid w:val="0029788B"/>
    <w:rsid w:val="002979AC"/>
    <w:rsid w:val="00297B35"/>
    <w:rsid w:val="00297D12"/>
    <w:rsid w:val="002A06A6"/>
    <w:rsid w:val="002A0DDB"/>
    <w:rsid w:val="002A120F"/>
    <w:rsid w:val="002A13A3"/>
    <w:rsid w:val="002A186D"/>
    <w:rsid w:val="002A2135"/>
    <w:rsid w:val="002A2318"/>
    <w:rsid w:val="002A2C00"/>
    <w:rsid w:val="002A41BF"/>
    <w:rsid w:val="002A4226"/>
    <w:rsid w:val="002A47CB"/>
    <w:rsid w:val="002A48D3"/>
    <w:rsid w:val="002A4995"/>
    <w:rsid w:val="002A4B9E"/>
    <w:rsid w:val="002A4F22"/>
    <w:rsid w:val="002A55FD"/>
    <w:rsid w:val="002A5D00"/>
    <w:rsid w:val="002A6D30"/>
    <w:rsid w:val="002A6E12"/>
    <w:rsid w:val="002A72D4"/>
    <w:rsid w:val="002A7A48"/>
    <w:rsid w:val="002B0015"/>
    <w:rsid w:val="002B1052"/>
    <w:rsid w:val="002B1D5B"/>
    <w:rsid w:val="002B2087"/>
    <w:rsid w:val="002B27FB"/>
    <w:rsid w:val="002B2D2E"/>
    <w:rsid w:val="002B3378"/>
    <w:rsid w:val="002B415D"/>
    <w:rsid w:val="002B44DB"/>
    <w:rsid w:val="002B47BD"/>
    <w:rsid w:val="002B4852"/>
    <w:rsid w:val="002B4FD4"/>
    <w:rsid w:val="002B51F3"/>
    <w:rsid w:val="002B51F7"/>
    <w:rsid w:val="002B58E4"/>
    <w:rsid w:val="002B5CC6"/>
    <w:rsid w:val="002B6244"/>
    <w:rsid w:val="002B643B"/>
    <w:rsid w:val="002B6567"/>
    <w:rsid w:val="002B68E3"/>
    <w:rsid w:val="002B6BB2"/>
    <w:rsid w:val="002B71BA"/>
    <w:rsid w:val="002B7F28"/>
    <w:rsid w:val="002C02A8"/>
    <w:rsid w:val="002C15A3"/>
    <w:rsid w:val="002C1BB2"/>
    <w:rsid w:val="002C2074"/>
    <w:rsid w:val="002C20B5"/>
    <w:rsid w:val="002C2157"/>
    <w:rsid w:val="002C21D2"/>
    <w:rsid w:val="002C22CF"/>
    <w:rsid w:val="002C265D"/>
    <w:rsid w:val="002C2AA3"/>
    <w:rsid w:val="002C3D0B"/>
    <w:rsid w:val="002C3F37"/>
    <w:rsid w:val="002C4143"/>
    <w:rsid w:val="002C42A3"/>
    <w:rsid w:val="002C4344"/>
    <w:rsid w:val="002C4376"/>
    <w:rsid w:val="002C4C6C"/>
    <w:rsid w:val="002C4E58"/>
    <w:rsid w:val="002C504E"/>
    <w:rsid w:val="002C5A87"/>
    <w:rsid w:val="002C5D1C"/>
    <w:rsid w:val="002C6590"/>
    <w:rsid w:val="002C68E7"/>
    <w:rsid w:val="002C6921"/>
    <w:rsid w:val="002C6937"/>
    <w:rsid w:val="002C70D9"/>
    <w:rsid w:val="002C795D"/>
    <w:rsid w:val="002C7BA6"/>
    <w:rsid w:val="002C7FC4"/>
    <w:rsid w:val="002D016F"/>
    <w:rsid w:val="002D03EE"/>
    <w:rsid w:val="002D0F97"/>
    <w:rsid w:val="002D1692"/>
    <w:rsid w:val="002D1720"/>
    <w:rsid w:val="002D23B8"/>
    <w:rsid w:val="002D3D57"/>
    <w:rsid w:val="002D43B5"/>
    <w:rsid w:val="002D4F03"/>
    <w:rsid w:val="002D5DE9"/>
    <w:rsid w:val="002D6005"/>
    <w:rsid w:val="002D606F"/>
    <w:rsid w:val="002D61F6"/>
    <w:rsid w:val="002D652C"/>
    <w:rsid w:val="002D6719"/>
    <w:rsid w:val="002D6CE6"/>
    <w:rsid w:val="002D7084"/>
    <w:rsid w:val="002D7668"/>
    <w:rsid w:val="002D779E"/>
    <w:rsid w:val="002E0291"/>
    <w:rsid w:val="002E08F6"/>
    <w:rsid w:val="002E10C5"/>
    <w:rsid w:val="002E1435"/>
    <w:rsid w:val="002E26B8"/>
    <w:rsid w:val="002E3027"/>
    <w:rsid w:val="002E356E"/>
    <w:rsid w:val="002E3D2C"/>
    <w:rsid w:val="002E444A"/>
    <w:rsid w:val="002E5119"/>
    <w:rsid w:val="002E52DE"/>
    <w:rsid w:val="002E54CF"/>
    <w:rsid w:val="002E55F7"/>
    <w:rsid w:val="002E583E"/>
    <w:rsid w:val="002E5A27"/>
    <w:rsid w:val="002E714A"/>
    <w:rsid w:val="002E79F8"/>
    <w:rsid w:val="002E7AA0"/>
    <w:rsid w:val="002E7BC9"/>
    <w:rsid w:val="002F0B18"/>
    <w:rsid w:val="002F1133"/>
    <w:rsid w:val="002F1736"/>
    <w:rsid w:val="002F1F0C"/>
    <w:rsid w:val="002F21AD"/>
    <w:rsid w:val="002F22EF"/>
    <w:rsid w:val="002F33EF"/>
    <w:rsid w:val="002F355C"/>
    <w:rsid w:val="002F3E02"/>
    <w:rsid w:val="002F42C9"/>
    <w:rsid w:val="002F4446"/>
    <w:rsid w:val="002F50F0"/>
    <w:rsid w:val="002F5200"/>
    <w:rsid w:val="002F5557"/>
    <w:rsid w:val="002F578B"/>
    <w:rsid w:val="002F5A1A"/>
    <w:rsid w:val="002F5D49"/>
    <w:rsid w:val="002F61A9"/>
    <w:rsid w:val="002F6314"/>
    <w:rsid w:val="002F648E"/>
    <w:rsid w:val="002F712D"/>
    <w:rsid w:val="002F72BC"/>
    <w:rsid w:val="002F7E71"/>
    <w:rsid w:val="0030018E"/>
    <w:rsid w:val="00300333"/>
    <w:rsid w:val="00300579"/>
    <w:rsid w:val="00300ABE"/>
    <w:rsid w:val="00300CB9"/>
    <w:rsid w:val="003016F4"/>
    <w:rsid w:val="0030190D"/>
    <w:rsid w:val="00301D91"/>
    <w:rsid w:val="00302258"/>
    <w:rsid w:val="00302848"/>
    <w:rsid w:val="00302BDA"/>
    <w:rsid w:val="00302E6C"/>
    <w:rsid w:val="00304B27"/>
    <w:rsid w:val="00304F46"/>
    <w:rsid w:val="00305193"/>
    <w:rsid w:val="00306069"/>
    <w:rsid w:val="00306423"/>
    <w:rsid w:val="00307130"/>
    <w:rsid w:val="00307A48"/>
    <w:rsid w:val="00307DF2"/>
    <w:rsid w:val="00310027"/>
    <w:rsid w:val="0031079E"/>
    <w:rsid w:val="00310969"/>
    <w:rsid w:val="00310EB7"/>
    <w:rsid w:val="00311055"/>
    <w:rsid w:val="003114A7"/>
    <w:rsid w:val="00311698"/>
    <w:rsid w:val="003116FE"/>
    <w:rsid w:val="003125BF"/>
    <w:rsid w:val="0031280D"/>
    <w:rsid w:val="00312F4A"/>
    <w:rsid w:val="0031347A"/>
    <w:rsid w:val="00313907"/>
    <w:rsid w:val="00313E0D"/>
    <w:rsid w:val="00313F08"/>
    <w:rsid w:val="003147DA"/>
    <w:rsid w:val="003159D9"/>
    <w:rsid w:val="00315CE0"/>
    <w:rsid w:val="00316070"/>
    <w:rsid w:val="0031658A"/>
    <w:rsid w:val="00316A44"/>
    <w:rsid w:val="003172EF"/>
    <w:rsid w:val="00317C5F"/>
    <w:rsid w:val="00317C9C"/>
    <w:rsid w:val="00320373"/>
    <w:rsid w:val="0032069B"/>
    <w:rsid w:val="00321080"/>
    <w:rsid w:val="0032138D"/>
    <w:rsid w:val="003214D3"/>
    <w:rsid w:val="0032154E"/>
    <w:rsid w:val="00321641"/>
    <w:rsid w:val="003219AA"/>
    <w:rsid w:val="00321FAB"/>
    <w:rsid w:val="003227B7"/>
    <w:rsid w:val="003229D0"/>
    <w:rsid w:val="00322A0E"/>
    <w:rsid w:val="00323F4A"/>
    <w:rsid w:val="003243D2"/>
    <w:rsid w:val="003243FF"/>
    <w:rsid w:val="0032467F"/>
    <w:rsid w:val="00324C4F"/>
    <w:rsid w:val="00324F3A"/>
    <w:rsid w:val="00325400"/>
    <w:rsid w:val="003256B1"/>
    <w:rsid w:val="00325939"/>
    <w:rsid w:val="00325BFF"/>
    <w:rsid w:val="00325ED7"/>
    <w:rsid w:val="00326258"/>
    <w:rsid w:val="00327A6B"/>
    <w:rsid w:val="00327B84"/>
    <w:rsid w:val="00327F2C"/>
    <w:rsid w:val="00330E47"/>
    <w:rsid w:val="00330F0A"/>
    <w:rsid w:val="003312C2"/>
    <w:rsid w:val="00331EEA"/>
    <w:rsid w:val="0033284F"/>
    <w:rsid w:val="00332900"/>
    <w:rsid w:val="00332F77"/>
    <w:rsid w:val="00333500"/>
    <w:rsid w:val="00333803"/>
    <w:rsid w:val="00333EAF"/>
    <w:rsid w:val="00334653"/>
    <w:rsid w:val="003347BB"/>
    <w:rsid w:val="00334854"/>
    <w:rsid w:val="00334A0C"/>
    <w:rsid w:val="00335094"/>
    <w:rsid w:val="0033520C"/>
    <w:rsid w:val="0033549E"/>
    <w:rsid w:val="003359D4"/>
    <w:rsid w:val="00335B1C"/>
    <w:rsid w:val="0033611F"/>
    <w:rsid w:val="00336C6C"/>
    <w:rsid w:val="00337216"/>
    <w:rsid w:val="0033737B"/>
    <w:rsid w:val="003375F9"/>
    <w:rsid w:val="003409F2"/>
    <w:rsid w:val="0034107E"/>
    <w:rsid w:val="00341689"/>
    <w:rsid w:val="003416F4"/>
    <w:rsid w:val="00341831"/>
    <w:rsid w:val="00341CE1"/>
    <w:rsid w:val="00341EE1"/>
    <w:rsid w:val="00341EE6"/>
    <w:rsid w:val="003426C6"/>
    <w:rsid w:val="00342D16"/>
    <w:rsid w:val="00343C96"/>
    <w:rsid w:val="00344029"/>
    <w:rsid w:val="00344136"/>
    <w:rsid w:val="003445AF"/>
    <w:rsid w:val="003447F9"/>
    <w:rsid w:val="003449A5"/>
    <w:rsid w:val="00345334"/>
    <w:rsid w:val="003453D2"/>
    <w:rsid w:val="0034553C"/>
    <w:rsid w:val="00345CDC"/>
    <w:rsid w:val="00345D26"/>
    <w:rsid w:val="00345FFF"/>
    <w:rsid w:val="00346A2F"/>
    <w:rsid w:val="00346D01"/>
    <w:rsid w:val="00347775"/>
    <w:rsid w:val="0034790C"/>
    <w:rsid w:val="00347D1C"/>
    <w:rsid w:val="00350289"/>
    <w:rsid w:val="003505D3"/>
    <w:rsid w:val="00350E65"/>
    <w:rsid w:val="00350F71"/>
    <w:rsid w:val="003512BF"/>
    <w:rsid w:val="0035297A"/>
    <w:rsid w:val="00352D9D"/>
    <w:rsid w:val="003531E6"/>
    <w:rsid w:val="00353A9F"/>
    <w:rsid w:val="00353E41"/>
    <w:rsid w:val="00355029"/>
    <w:rsid w:val="00355331"/>
    <w:rsid w:val="003558A2"/>
    <w:rsid w:val="003558CB"/>
    <w:rsid w:val="00355A8D"/>
    <w:rsid w:val="00355D8B"/>
    <w:rsid w:val="00355FAD"/>
    <w:rsid w:val="0035622D"/>
    <w:rsid w:val="0035639A"/>
    <w:rsid w:val="003563BF"/>
    <w:rsid w:val="00356C67"/>
    <w:rsid w:val="00356F36"/>
    <w:rsid w:val="00357A41"/>
    <w:rsid w:val="00357B85"/>
    <w:rsid w:val="00357EE5"/>
    <w:rsid w:val="00360678"/>
    <w:rsid w:val="0036122E"/>
    <w:rsid w:val="00361381"/>
    <w:rsid w:val="0036157F"/>
    <w:rsid w:val="00361765"/>
    <w:rsid w:val="003620FA"/>
    <w:rsid w:val="00362D65"/>
    <w:rsid w:val="00363075"/>
    <w:rsid w:val="00363499"/>
    <w:rsid w:val="0036381F"/>
    <w:rsid w:val="0036391E"/>
    <w:rsid w:val="00363A9B"/>
    <w:rsid w:val="00363DDC"/>
    <w:rsid w:val="00364655"/>
    <w:rsid w:val="00364D0E"/>
    <w:rsid w:val="00364DEC"/>
    <w:rsid w:val="00365553"/>
    <w:rsid w:val="0036590D"/>
    <w:rsid w:val="00366515"/>
    <w:rsid w:val="00366C50"/>
    <w:rsid w:val="00367461"/>
    <w:rsid w:val="00367535"/>
    <w:rsid w:val="00367595"/>
    <w:rsid w:val="003677C2"/>
    <w:rsid w:val="00367F2A"/>
    <w:rsid w:val="00370177"/>
    <w:rsid w:val="0037024E"/>
    <w:rsid w:val="003706FE"/>
    <w:rsid w:val="00370797"/>
    <w:rsid w:val="00370B2F"/>
    <w:rsid w:val="0037162B"/>
    <w:rsid w:val="003721D3"/>
    <w:rsid w:val="003731C4"/>
    <w:rsid w:val="003733C6"/>
    <w:rsid w:val="00374131"/>
    <w:rsid w:val="00374343"/>
    <w:rsid w:val="00374445"/>
    <w:rsid w:val="00374584"/>
    <w:rsid w:val="00374629"/>
    <w:rsid w:val="00374657"/>
    <w:rsid w:val="00374827"/>
    <w:rsid w:val="003748E5"/>
    <w:rsid w:val="00374D51"/>
    <w:rsid w:val="00375A6E"/>
    <w:rsid w:val="00375DB4"/>
    <w:rsid w:val="003762A6"/>
    <w:rsid w:val="00376984"/>
    <w:rsid w:val="00376AAC"/>
    <w:rsid w:val="00376B13"/>
    <w:rsid w:val="003775FC"/>
    <w:rsid w:val="0037786C"/>
    <w:rsid w:val="003779FF"/>
    <w:rsid w:val="00377D56"/>
    <w:rsid w:val="003807B9"/>
    <w:rsid w:val="00380928"/>
    <w:rsid w:val="00380CAC"/>
    <w:rsid w:val="00380E73"/>
    <w:rsid w:val="003819C0"/>
    <w:rsid w:val="00381C7E"/>
    <w:rsid w:val="00381FAF"/>
    <w:rsid w:val="0038214B"/>
    <w:rsid w:val="00382192"/>
    <w:rsid w:val="003832BC"/>
    <w:rsid w:val="0038337A"/>
    <w:rsid w:val="00383766"/>
    <w:rsid w:val="003839A2"/>
    <w:rsid w:val="003847B0"/>
    <w:rsid w:val="00384DFB"/>
    <w:rsid w:val="00385DF1"/>
    <w:rsid w:val="0038616A"/>
    <w:rsid w:val="00386464"/>
    <w:rsid w:val="00386A77"/>
    <w:rsid w:val="00386B56"/>
    <w:rsid w:val="00386D17"/>
    <w:rsid w:val="00387003"/>
    <w:rsid w:val="00387A8C"/>
    <w:rsid w:val="00387B23"/>
    <w:rsid w:val="00387F8D"/>
    <w:rsid w:val="003906C3"/>
    <w:rsid w:val="00390B46"/>
    <w:rsid w:val="0039148A"/>
    <w:rsid w:val="00391593"/>
    <w:rsid w:val="003923B0"/>
    <w:rsid w:val="0039241D"/>
    <w:rsid w:val="0039268E"/>
    <w:rsid w:val="00392D7A"/>
    <w:rsid w:val="00392FAE"/>
    <w:rsid w:val="003935F8"/>
    <w:rsid w:val="003938FF"/>
    <w:rsid w:val="00393C99"/>
    <w:rsid w:val="00393D21"/>
    <w:rsid w:val="00394C6D"/>
    <w:rsid w:val="00394C8F"/>
    <w:rsid w:val="00395A73"/>
    <w:rsid w:val="00395B63"/>
    <w:rsid w:val="00395B84"/>
    <w:rsid w:val="00396237"/>
    <w:rsid w:val="00396309"/>
    <w:rsid w:val="003A0192"/>
    <w:rsid w:val="003A0B45"/>
    <w:rsid w:val="003A0D68"/>
    <w:rsid w:val="003A0FFE"/>
    <w:rsid w:val="003A1758"/>
    <w:rsid w:val="003A2527"/>
    <w:rsid w:val="003A257C"/>
    <w:rsid w:val="003A2725"/>
    <w:rsid w:val="003A4E3E"/>
    <w:rsid w:val="003A4E76"/>
    <w:rsid w:val="003A5DDB"/>
    <w:rsid w:val="003A5F29"/>
    <w:rsid w:val="003A61B9"/>
    <w:rsid w:val="003A62A6"/>
    <w:rsid w:val="003A6977"/>
    <w:rsid w:val="003A6BC0"/>
    <w:rsid w:val="003A6EB3"/>
    <w:rsid w:val="003A6F60"/>
    <w:rsid w:val="003A71A8"/>
    <w:rsid w:val="003A741A"/>
    <w:rsid w:val="003A77BA"/>
    <w:rsid w:val="003A77E4"/>
    <w:rsid w:val="003A7A06"/>
    <w:rsid w:val="003A7B86"/>
    <w:rsid w:val="003B009D"/>
    <w:rsid w:val="003B0AB1"/>
    <w:rsid w:val="003B0DCC"/>
    <w:rsid w:val="003B0EFE"/>
    <w:rsid w:val="003B1411"/>
    <w:rsid w:val="003B1E0E"/>
    <w:rsid w:val="003B21E0"/>
    <w:rsid w:val="003B2ACA"/>
    <w:rsid w:val="003B332A"/>
    <w:rsid w:val="003B3FB1"/>
    <w:rsid w:val="003B4055"/>
    <w:rsid w:val="003B4A54"/>
    <w:rsid w:val="003B4ACE"/>
    <w:rsid w:val="003B4BA0"/>
    <w:rsid w:val="003B5259"/>
    <w:rsid w:val="003B5405"/>
    <w:rsid w:val="003B5E1F"/>
    <w:rsid w:val="003B5E42"/>
    <w:rsid w:val="003B60BA"/>
    <w:rsid w:val="003B6B86"/>
    <w:rsid w:val="003B6F42"/>
    <w:rsid w:val="003B7222"/>
    <w:rsid w:val="003B7586"/>
    <w:rsid w:val="003B77EA"/>
    <w:rsid w:val="003C0CB0"/>
    <w:rsid w:val="003C0DC0"/>
    <w:rsid w:val="003C0FD0"/>
    <w:rsid w:val="003C1037"/>
    <w:rsid w:val="003C1F8B"/>
    <w:rsid w:val="003C2440"/>
    <w:rsid w:val="003C2AAE"/>
    <w:rsid w:val="003C3028"/>
    <w:rsid w:val="003C3488"/>
    <w:rsid w:val="003C3698"/>
    <w:rsid w:val="003C3AE5"/>
    <w:rsid w:val="003C3CDF"/>
    <w:rsid w:val="003C4199"/>
    <w:rsid w:val="003C41D3"/>
    <w:rsid w:val="003C448D"/>
    <w:rsid w:val="003C44A1"/>
    <w:rsid w:val="003C45E7"/>
    <w:rsid w:val="003C48C0"/>
    <w:rsid w:val="003C5690"/>
    <w:rsid w:val="003C674F"/>
    <w:rsid w:val="003C6E06"/>
    <w:rsid w:val="003C7A25"/>
    <w:rsid w:val="003D08D2"/>
    <w:rsid w:val="003D18D2"/>
    <w:rsid w:val="003D233D"/>
    <w:rsid w:val="003D2785"/>
    <w:rsid w:val="003D2BFD"/>
    <w:rsid w:val="003D3653"/>
    <w:rsid w:val="003D37FA"/>
    <w:rsid w:val="003D3E40"/>
    <w:rsid w:val="003D41CF"/>
    <w:rsid w:val="003D4801"/>
    <w:rsid w:val="003D5199"/>
    <w:rsid w:val="003D54E0"/>
    <w:rsid w:val="003D56BC"/>
    <w:rsid w:val="003D5756"/>
    <w:rsid w:val="003D5F84"/>
    <w:rsid w:val="003D6599"/>
    <w:rsid w:val="003D6C0B"/>
    <w:rsid w:val="003D7062"/>
    <w:rsid w:val="003D71B3"/>
    <w:rsid w:val="003D76B5"/>
    <w:rsid w:val="003D795B"/>
    <w:rsid w:val="003E0015"/>
    <w:rsid w:val="003E0391"/>
    <w:rsid w:val="003E03C2"/>
    <w:rsid w:val="003E054E"/>
    <w:rsid w:val="003E06A9"/>
    <w:rsid w:val="003E0873"/>
    <w:rsid w:val="003E0974"/>
    <w:rsid w:val="003E0A69"/>
    <w:rsid w:val="003E15EE"/>
    <w:rsid w:val="003E1674"/>
    <w:rsid w:val="003E1710"/>
    <w:rsid w:val="003E2214"/>
    <w:rsid w:val="003E25F3"/>
    <w:rsid w:val="003E261D"/>
    <w:rsid w:val="003E2A00"/>
    <w:rsid w:val="003E3355"/>
    <w:rsid w:val="003E339F"/>
    <w:rsid w:val="003E43DD"/>
    <w:rsid w:val="003E4563"/>
    <w:rsid w:val="003E477E"/>
    <w:rsid w:val="003E4DDE"/>
    <w:rsid w:val="003E50B6"/>
    <w:rsid w:val="003E5746"/>
    <w:rsid w:val="003E5FC9"/>
    <w:rsid w:val="003E611C"/>
    <w:rsid w:val="003E61CA"/>
    <w:rsid w:val="003E65E7"/>
    <w:rsid w:val="003E6690"/>
    <w:rsid w:val="003E66E5"/>
    <w:rsid w:val="003E6AB2"/>
    <w:rsid w:val="003E6F5E"/>
    <w:rsid w:val="003E6F6B"/>
    <w:rsid w:val="003E7295"/>
    <w:rsid w:val="003E7A54"/>
    <w:rsid w:val="003E7B25"/>
    <w:rsid w:val="003F01B2"/>
    <w:rsid w:val="003F03A4"/>
    <w:rsid w:val="003F0541"/>
    <w:rsid w:val="003F15E4"/>
    <w:rsid w:val="003F1712"/>
    <w:rsid w:val="003F1774"/>
    <w:rsid w:val="003F1784"/>
    <w:rsid w:val="003F181C"/>
    <w:rsid w:val="003F1F61"/>
    <w:rsid w:val="003F253B"/>
    <w:rsid w:val="003F2805"/>
    <w:rsid w:val="003F2C0E"/>
    <w:rsid w:val="003F33BC"/>
    <w:rsid w:val="003F3821"/>
    <w:rsid w:val="003F3CA6"/>
    <w:rsid w:val="003F4243"/>
    <w:rsid w:val="003F4330"/>
    <w:rsid w:val="003F44FE"/>
    <w:rsid w:val="003F530B"/>
    <w:rsid w:val="003F534E"/>
    <w:rsid w:val="003F5C80"/>
    <w:rsid w:val="003F5FED"/>
    <w:rsid w:val="003F64E7"/>
    <w:rsid w:val="003F66C8"/>
    <w:rsid w:val="003F68CF"/>
    <w:rsid w:val="003F736B"/>
    <w:rsid w:val="003F7377"/>
    <w:rsid w:val="003F73AF"/>
    <w:rsid w:val="003F76F4"/>
    <w:rsid w:val="004003FA"/>
    <w:rsid w:val="00400A4D"/>
    <w:rsid w:val="00400EB7"/>
    <w:rsid w:val="00400F9D"/>
    <w:rsid w:val="00401387"/>
    <w:rsid w:val="004025C2"/>
    <w:rsid w:val="004026DE"/>
    <w:rsid w:val="00402B7B"/>
    <w:rsid w:val="00402E54"/>
    <w:rsid w:val="00403645"/>
    <w:rsid w:val="0040402B"/>
    <w:rsid w:val="0040412A"/>
    <w:rsid w:val="004041B5"/>
    <w:rsid w:val="00404428"/>
    <w:rsid w:val="004046F8"/>
    <w:rsid w:val="00404994"/>
    <w:rsid w:val="00405930"/>
    <w:rsid w:val="00405A2D"/>
    <w:rsid w:val="00405FE3"/>
    <w:rsid w:val="00407072"/>
    <w:rsid w:val="004071C0"/>
    <w:rsid w:val="00407874"/>
    <w:rsid w:val="0040797B"/>
    <w:rsid w:val="00407B07"/>
    <w:rsid w:val="004108E5"/>
    <w:rsid w:val="004119B8"/>
    <w:rsid w:val="00411A0F"/>
    <w:rsid w:val="00411CE0"/>
    <w:rsid w:val="00411F80"/>
    <w:rsid w:val="00412036"/>
    <w:rsid w:val="00412DA1"/>
    <w:rsid w:val="004146E2"/>
    <w:rsid w:val="00414B01"/>
    <w:rsid w:val="00414F1F"/>
    <w:rsid w:val="00415BEA"/>
    <w:rsid w:val="00415CE5"/>
    <w:rsid w:val="00416141"/>
    <w:rsid w:val="00416A0B"/>
    <w:rsid w:val="00416FC1"/>
    <w:rsid w:val="00417C44"/>
    <w:rsid w:val="00417CD7"/>
    <w:rsid w:val="00417EB7"/>
    <w:rsid w:val="004205F1"/>
    <w:rsid w:val="00420849"/>
    <w:rsid w:val="00420A2E"/>
    <w:rsid w:val="00421232"/>
    <w:rsid w:val="004217E0"/>
    <w:rsid w:val="00421D5E"/>
    <w:rsid w:val="00422208"/>
    <w:rsid w:val="00422907"/>
    <w:rsid w:val="004229A5"/>
    <w:rsid w:val="00422DBF"/>
    <w:rsid w:val="004231CC"/>
    <w:rsid w:val="004234EF"/>
    <w:rsid w:val="00423F6C"/>
    <w:rsid w:val="00424094"/>
    <w:rsid w:val="0042513A"/>
    <w:rsid w:val="004251CF"/>
    <w:rsid w:val="004258D9"/>
    <w:rsid w:val="00425B14"/>
    <w:rsid w:val="00425EAC"/>
    <w:rsid w:val="0042608B"/>
    <w:rsid w:val="00427553"/>
    <w:rsid w:val="004277BB"/>
    <w:rsid w:val="0043035C"/>
    <w:rsid w:val="00431439"/>
    <w:rsid w:val="004317C8"/>
    <w:rsid w:val="00431EB5"/>
    <w:rsid w:val="00431F2C"/>
    <w:rsid w:val="004321C3"/>
    <w:rsid w:val="004325E4"/>
    <w:rsid w:val="0043267E"/>
    <w:rsid w:val="004326B3"/>
    <w:rsid w:val="00432E69"/>
    <w:rsid w:val="00433AA5"/>
    <w:rsid w:val="00433F10"/>
    <w:rsid w:val="00434C58"/>
    <w:rsid w:val="00434E65"/>
    <w:rsid w:val="00434FC5"/>
    <w:rsid w:val="004356E4"/>
    <w:rsid w:val="00435D7A"/>
    <w:rsid w:val="00436011"/>
    <w:rsid w:val="00436228"/>
    <w:rsid w:val="004367E1"/>
    <w:rsid w:val="0043797E"/>
    <w:rsid w:val="00437D15"/>
    <w:rsid w:val="00437F9D"/>
    <w:rsid w:val="00440739"/>
    <w:rsid w:val="004409AC"/>
    <w:rsid w:val="00440A45"/>
    <w:rsid w:val="00440D89"/>
    <w:rsid w:val="00440ED6"/>
    <w:rsid w:val="0044162C"/>
    <w:rsid w:val="00441826"/>
    <w:rsid w:val="00441867"/>
    <w:rsid w:val="0044195F"/>
    <w:rsid w:val="00441E1E"/>
    <w:rsid w:val="00441FBF"/>
    <w:rsid w:val="0044289D"/>
    <w:rsid w:val="004434A5"/>
    <w:rsid w:val="004436BD"/>
    <w:rsid w:val="004437F9"/>
    <w:rsid w:val="0044386E"/>
    <w:rsid w:val="004438B2"/>
    <w:rsid w:val="00443A0B"/>
    <w:rsid w:val="00443A0F"/>
    <w:rsid w:val="00443FA9"/>
    <w:rsid w:val="0044490C"/>
    <w:rsid w:val="00445D2D"/>
    <w:rsid w:val="00446D17"/>
    <w:rsid w:val="00446E24"/>
    <w:rsid w:val="00447B84"/>
    <w:rsid w:val="00447EA5"/>
    <w:rsid w:val="00447F8F"/>
    <w:rsid w:val="004500A3"/>
    <w:rsid w:val="00450BCA"/>
    <w:rsid w:val="00450DD8"/>
    <w:rsid w:val="0045137E"/>
    <w:rsid w:val="00451B60"/>
    <w:rsid w:val="00451C31"/>
    <w:rsid w:val="00451D27"/>
    <w:rsid w:val="0045206B"/>
    <w:rsid w:val="004522AE"/>
    <w:rsid w:val="004524C5"/>
    <w:rsid w:val="0045260D"/>
    <w:rsid w:val="004526CA"/>
    <w:rsid w:val="0045281E"/>
    <w:rsid w:val="004529AA"/>
    <w:rsid w:val="004529E9"/>
    <w:rsid w:val="00452F48"/>
    <w:rsid w:val="00452FD0"/>
    <w:rsid w:val="004534A0"/>
    <w:rsid w:val="00454D86"/>
    <w:rsid w:val="00454E6A"/>
    <w:rsid w:val="004559C7"/>
    <w:rsid w:val="00456825"/>
    <w:rsid w:val="00456C53"/>
    <w:rsid w:val="0045715A"/>
    <w:rsid w:val="00457513"/>
    <w:rsid w:val="00457B45"/>
    <w:rsid w:val="00457C0E"/>
    <w:rsid w:val="004608B2"/>
    <w:rsid w:val="00460AC4"/>
    <w:rsid w:val="00461A07"/>
    <w:rsid w:val="00461E88"/>
    <w:rsid w:val="004627C9"/>
    <w:rsid w:val="00462CCF"/>
    <w:rsid w:val="00463443"/>
    <w:rsid w:val="004646C3"/>
    <w:rsid w:val="00464752"/>
    <w:rsid w:val="00465A23"/>
    <w:rsid w:val="00465F5A"/>
    <w:rsid w:val="00466297"/>
    <w:rsid w:val="00466620"/>
    <w:rsid w:val="00466A38"/>
    <w:rsid w:val="00466C07"/>
    <w:rsid w:val="00467054"/>
    <w:rsid w:val="004713F1"/>
    <w:rsid w:val="004715E5"/>
    <w:rsid w:val="0047160E"/>
    <w:rsid w:val="0047212E"/>
    <w:rsid w:val="0047278B"/>
    <w:rsid w:val="00472862"/>
    <w:rsid w:val="00472D31"/>
    <w:rsid w:val="004730CC"/>
    <w:rsid w:val="004736A2"/>
    <w:rsid w:val="00473A59"/>
    <w:rsid w:val="00473D8E"/>
    <w:rsid w:val="00474157"/>
    <w:rsid w:val="00474EB2"/>
    <w:rsid w:val="00475401"/>
    <w:rsid w:val="00475D65"/>
    <w:rsid w:val="00476090"/>
    <w:rsid w:val="00476467"/>
    <w:rsid w:val="00476AD7"/>
    <w:rsid w:val="00476DB6"/>
    <w:rsid w:val="0047709B"/>
    <w:rsid w:val="00477C56"/>
    <w:rsid w:val="00480472"/>
    <w:rsid w:val="00480A45"/>
    <w:rsid w:val="00480F7E"/>
    <w:rsid w:val="00481342"/>
    <w:rsid w:val="004816F4"/>
    <w:rsid w:val="00482738"/>
    <w:rsid w:val="00482CF0"/>
    <w:rsid w:val="00482F81"/>
    <w:rsid w:val="0048398A"/>
    <w:rsid w:val="00483EEE"/>
    <w:rsid w:val="004846D4"/>
    <w:rsid w:val="00484FA1"/>
    <w:rsid w:val="00485206"/>
    <w:rsid w:val="0048579A"/>
    <w:rsid w:val="004857FB"/>
    <w:rsid w:val="00486890"/>
    <w:rsid w:val="00486B40"/>
    <w:rsid w:val="00486DE5"/>
    <w:rsid w:val="004871FB"/>
    <w:rsid w:val="00487595"/>
    <w:rsid w:val="004879CD"/>
    <w:rsid w:val="00487CF8"/>
    <w:rsid w:val="00487E5B"/>
    <w:rsid w:val="00490528"/>
    <w:rsid w:val="00490703"/>
    <w:rsid w:val="004908EC"/>
    <w:rsid w:val="004913CA"/>
    <w:rsid w:val="004916B1"/>
    <w:rsid w:val="00492109"/>
    <w:rsid w:val="00492608"/>
    <w:rsid w:val="00492814"/>
    <w:rsid w:val="00493149"/>
    <w:rsid w:val="004931AB"/>
    <w:rsid w:val="00494B70"/>
    <w:rsid w:val="00495226"/>
    <w:rsid w:val="00496275"/>
    <w:rsid w:val="004965D6"/>
    <w:rsid w:val="00496ABF"/>
    <w:rsid w:val="004974E2"/>
    <w:rsid w:val="004976B0"/>
    <w:rsid w:val="004978DD"/>
    <w:rsid w:val="0049793F"/>
    <w:rsid w:val="00497945"/>
    <w:rsid w:val="004A10FF"/>
    <w:rsid w:val="004A1319"/>
    <w:rsid w:val="004A1472"/>
    <w:rsid w:val="004A167F"/>
    <w:rsid w:val="004A16A3"/>
    <w:rsid w:val="004A1853"/>
    <w:rsid w:val="004A1B63"/>
    <w:rsid w:val="004A1D42"/>
    <w:rsid w:val="004A1F15"/>
    <w:rsid w:val="004A2024"/>
    <w:rsid w:val="004A23CC"/>
    <w:rsid w:val="004A25CB"/>
    <w:rsid w:val="004A2F96"/>
    <w:rsid w:val="004A3030"/>
    <w:rsid w:val="004A3277"/>
    <w:rsid w:val="004A3768"/>
    <w:rsid w:val="004A3AF8"/>
    <w:rsid w:val="004A3B24"/>
    <w:rsid w:val="004A3D2F"/>
    <w:rsid w:val="004A4337"/>
    <w:rsid w:val="004A44E1"/>
    <w:rsid w:val="004A450E"/>
    <w:rsid w:val="004A5015"/>
    <w:rsid w:val="004A5286"/>
    <w:rsid w:val="004A5A37"/>
    <w:rsid w:val="004A745D"/>
    <w:rsid w:val="004A7744"/>
    <w:rsid w:val="004B00C8"/>
    <w:rsid w:val="004B011E"/>
    <w:rsid w:val="004B0411"/>
    <w:rsid w:val="004B0422"/>
    <w:rsid w:val="004B0F39"/>
    <w:rsid w:val="004B1309"/>
    <w:rsid w:val="004B22BA"/>
    <w:rsid w:val="004B2AE7"/>
    <w:rsid w:val="004B2F2F"/>
    <w:rsid w:val="004B327B"/>
    <w:rsid w:val="004B3A77"/>
    <w:rsid w:val="004B3EB7"/>
    <w:rsid w:val="004B40F6"/>
    <w:rsid w:val="004B411F"/>
    <w:rsid w:val="004B4135"/>
    <w:rsid w:val="004B475D"/>
    <w:rsid w:val="004B4CFF"/>
    <w:rsid w:val="004B5172"/>
    <w:rsid w:val="004B53CE"/>
    <w:rsid w:val="004B5F5D"/>
    <w:rsid w:val="004B6094"/>
    <w:rsid w:val="004B6355"/>
    <w:rsid w:val="004B6AB2"/>
    <w:rsid w:val="004B7127"/>
    <w:rsid w:val="004B732D"/>
    <w:rsid w:val="004B7A79"/>
    <w:rsid w:val="004B7B65"/>
    <w:rsid w:val="004C01A4"/>
    <w:rsid w:val="004C0A91"/>
    <w:rsid w:val="004C0D30"/>
    <w:rsid w:val="004C0D36"/>
    <w:rsid w:val="004C12BE"/>
    <w:rsid w:val="004C1A5C"/>
    <w:rsid w:val="004C2553"/>
    <w:rsid w:val="004C2648"/>
    <w:rsid w:val="004C27DE"/>
    <w:rsid w:val="004C2A67"/>
    <w:rsid w:val="004C2DE1"/>
    <w:rsid w:val="004C2EFD"/>
    <w:rsid w:val="004C4367"/>
    <w:rsid w:val="004C4377"/>
    <w:rsid w:val="004C49D5"/>
    <w:rsid w:val="004C52EF"/>
    <w:rsid w:val="004C5E67"/>
    <w:rsid w:val="004C6098"/>
    <w:rsid w:val="004C61FF"/>
    <w:rsid w:val="004C623F"/>
    <w:rsid w:val="004C65B8"/>
    <w:rsid w:val="004C6BE1"/>
    <w:rsid w:val="004C6FCF"/>
    <w:rsid w:val="004C70DA"/>
    <w:rsid w:val="004C7FAC"/>
    <w:rsid w:val="004D03EA"/>
    <w:rsid w:val="004D14FA"/>
    <w:rsid w:val="004D1645"/>
    <w:rsid w:val="004D1744"/>
    <w:rsid w:val="004D3A1F"/>
    <w:rsid w:val="004D4160"/>
    <w:rsid w:val="004D5332"/>
    <w:rsid w:val="004D63D6"/>
    <w:rsid w:val="004D64CC"/>
    <w:rsid w:val="004D6587"/>
    <w:rsid w:val="004D6A5C"/>
    <w:rsid w:val="004D6EB4"/>
    <w:rsid w:val="004D776F"/>
    <w:rsid w:val="004E0BA3"/>
    <w:rsid w:val="004E0CD0"/>
    <w:rsid w:val="004E0E1A"/>
    <w:rsid w:val="004E0EFD"/>
    <w:rsid w:val="004E0F86"/>
    <w:rsid w:val="004E10BE"/>
    <w:rsid w:val="004E136B"/>
    <w:rsid w:val="004E20D2"/>
    <w:rsid w:val="004E2181"/>
    <w:rsid w:val="004E258F"/>
    <w:rsid w:val="004E2ACC"/>
    <w:rsid w:val="004E30F8"/>
    <w:rsid w:val="004E3771"/>
    <w:rsid w:val="004E3CF9"/>
    <w:rsid w:val="004E470A"/>
    <w:rsid w:val="004E4B28"/>
    <w:rsid w:val="004E53BB"/>
    <w:rsid w:val="004E5739"/>
    <w:rsid w:val="004E5A10"/>
    <w:rsid w:val="004E5C0F"/>
    <w:rsid w:val="004E6B70"/>
    <w:rsid w:val="004E6E7C"/>
    <w:rsid w:val="004F1283"/>
    <w:rsid w:val="004F13C2"/>
    <w:rsid w:val="004F1A18"/>
    <w:rsid w:val="004F330C"/>
    <w:rsid w:val="004F3354"/>
    <w:rsid w:val="004F33C0"/>
    <w:rsid w:val="004F3DFE"/>
    <w:rsid w:val="004F3F89"/>
    <w:rsid w:val="004F422A"/>
    <w:rsid w:val="004F42C5"/>
    <w:rsid w:val="004F4633"/>
    <w:rsid w:val="004F4999"/>
    <w:rsid w:val="004F499C"/>
    <w:rsid w:val="004F4A4C"/>
    <w:rsid w:val="004F4D5B"/>
    <w:rsid w:val="004F4E41"/>
    <w:rsid w:val="004F567A"/>
    <w:rsid w:val="004F5BC4"/>
    <w:rsid w:val="004F61C6"/>
    <w:rsid w:val="004F677B"/>
    <w:rsid w:val="004F7B30"/>
    <w:rsid w:val="004F7CF8"/>
    <w:rsid w:val="005001B1"/>
    <w:rsid w:val="005004A5"/>
    <w:rsid w:val="005004CD"/>
    <w:rsid w:val="00500623"/>
    <w:rsid w:val="00500675"/>
    <w:rsid w:val="00500AB6"/>
    <w:rsid w:val="005018A5"/>
    <w:rsid w:val="00501AB0"/>
    <w:rsid w:val="00501D14"/>
    <w:rsid w:val="00502225"/>
    <w:rsid w:val="005026D3"/>
    <w:rsid w:val="00502CF4"/>
    <w:rsid w:val="0050311A"/>
    <w:rsid w:val="00503840"/>
    <w:rsid w:val="00503BE5"/>
    <w:rsid w:val="00503D05"/>
    <w:rsid w:val="00503EF1"/>
    <w:rsid w:val="00504187"/>
    <w:rsid w:val="00504450"/>
    <w:rsid w:val="0050455A"/>
    <w:rsid w:val="005046CA"/>
    <w:rsid w:val="005049E6"/>
    <w:rsid w:val="00504BB1"/>
    <w:rsid w:val="00505054"/>
    <w:rsid w:val="005057FE"/>
    <w:rsid w:val="00505AB0"/>
    <w:rsid w:val="00505ECD"/>
    <w:rsid w:val="00506F8A"/>
    <w:rsid w:val="005076A8"/>
    <w:rsid w:val="0050793A"/>
    <w:rsid w:val="00507F26"/>
    <w:rsid w:val="005102BD"/>
    <w:rsid w:val="00510B09"/>
    <w:rsid w:val="005114E6"/>
    <w:rsid w:val="0051176F"/>
    <w:rsid w:val="005122B2"/>
    <w:rsid w:val="005123AC"/>
    <w:rsid w:val="005126CF"/>
    <w:rsid w:val="00512A48"/>
    <w:rsid w:val="00512D0D"/>
    <w:rsid w:val="00513BCA"/>
    <w:rsid w:val="0051413C"/>
    <w:rsid w:val="00514181"/>
    <w:rsid w:val="00514E7C"/>
    <w:rsid w:val="005153E5"/>
    <w:rsid w:val="00515A96"/>
    <w:rsid w:val="00515DD4"/>
    <w:rsid w:val="00515E74"/>
    <w:rsid w:val="005164EA"/>
    <w:rsid w:val="005169CC"/>
    <w:rsid w:val="00516BBF"/>
    <w:rsid w:val="00516BE3"/>
    <w:rsid w:val="00516C6D"/>
    <w:rsid w:val="00516E1C"/>
    <w:rsid w:val="00516F9A"/>
    <w:rsid w:val="00517908"/>
    <w:rsid w:val="00520164"/>
    <w:rsid w:val="00520170"/>
    <w:rsid w:val="00521126"/>
    <w:rsid w:val="005212A5"/>
    <w:rsid w:val="005216AC"/>
    <w:rsid w:val="00521A3A"/>
    <w:rsid w:val="00521B3C"/>
    <w:rsid w:val="00522AED"/>
    <w:rsid w:val="005231B0"/>
    <w:rsid w:val="00523A09"/>
    <w:rsid w:val="00523CD8"/>
    <w:rsid w:val="005241AC"/>
    <w:rsid w:val="0052426F"/>
    <w:rsid w:val="00524477"/>
    <w:rsid w:val="00524651"/>
    <w:rsid w:val="00524E76"/>
    <w:rsid w:val="00524ED2"/>
    <w:rsid w:val="00524EE6"/>
    <w:rsid w:val="005251E4"/>
    <w:rsid w:val="0052530F"/>
    <w:rsid w:val="00525D05"/>
    <w:rsid w:val="00525F1D"/>
    <w:rsid w:val="00526D8F"/>
    <w:rsid w:val="00526ED3"/>
    <w:rsid w:val="00526F7B"/>
    <w:rsid w:val="0052763A"/>
    <w:rsid w:val="00527888"/>
    <w:rsid w:val="005301AA"/>
    <w:rsid w:val="005302BF"/>
    <w:rsid w:val="00530466"/>
    <w:rsid w:val="005309F1"/>
    <w:rsid w:val="00530C7E"/>
    <w:rsid w:val="00530E10"/>
    <w:rsid w:val="00530E55"/>
    <w:rsid w:val="00531555"/>
    <w:rsid w:val="00531B9A"/>
    <w:rsid w:val="005320CF"/>
    <w:rsid w:val="005325CD"/>
    <w:rsid w:val="0053384F"/>
    <w:rsid w:val="00534456"/>
    <w:rsid w:val="005345B1"/>
    <w:rsid w:val="00534EAF"/>
    <w:rsid w:val="00535BCC"/>
    <w:rsid w:val="00535D00"/>
    <w:rsid w:val="00536043"/>
    <w:rsid w:val="00536726"/>
    <w:rsid w:val="00536DDB"/>
    <w:rsid w:val="0053735B"/>
    <w:rsid w:val="005374D3"/>
    <w:rsid w:val="00537AFA"/>
    <w:rsid w:val="005400ED"/>
    <w:rsid w:val="00540286"/>
    <w:rsid w:val="00540518"/>
    <w:rsid w:val="00540A71"/>
    <w:rsid w:val="0054100C"/>
    <w:rsid w:val="00541D40"/>
    <w:rsid w:val="00542808"/>
    <w:rsid w:val="00542BA4"/>
    <w:rsid w:val="00543AD8"/>
    <w:rsid w:val="00543B7F"/>
    <w:rsid w:val="00543F04"/>
    <w:rsid w:val="00544035"/>
    <w:rsid w:val="00544083"/>
    <w:rsid w:val="00544ECE"/>
    <w:rsid w:val="00545754"/>
    <w:rsid w:val="00545823"/>
    <w:rsid w:val="005465D6"/>
    <w:rsid w:val="0054667C"/>
    <w:rsid w:val="005467D8"/>
    <w:rsid w:val="00546CC1"/>
    <w:rsid w:val="0054717C"/>
    <w:rsid w:val="005475C5"/>
    <w:rsid w:val="00547CAD"/>
    <w:rsid w:val="0055068E"/>
    <w:rsid w:val="005508B3"/>
    <w:rsid w:val="00550F4C"/>
    <w:rsid w:val="00551260"/>
    <w:rsid w:val="005515D7"/>
    <w:rsid w:val="00551926"/>
    <w:rsid w:val="00552338"/>
    <w:rsid w:val="0055236B"/>
    <w:rsid w:val="00552676"/>
    <w:rsid w:val="005526F7"/>
    <w:rsid w:val="00552FA4"/>
    <w:rsid w:val="00552FD6"/>
    <w:rsid w:val="00554793"/>
    <w:rsid w:val="00554852"/>
    <w:rsid w:val="00554E94"/>
    <w:rsid w:val="00555FE1"/>
    <w:rsid w:val="0055612E"/>
    <w:rsid w:val="0055616D"/>
    <w:rsid w:val="00556223"/>
    <w:rsid w:val="00556C4A"/>
    <w:rsid w:val="00556F3D"/>
    <w:rsid w:val="00557250"/>
    <w:rsid w:val="0055766B"/>
    <w:rsid w:val="005578B8"/>
    <w:rsid w:val="00557DF0"/>
    <w:rsid w:val="005600D3"/>
    <w:rsid w:val="00560EA8"/>
    <w:rsid w:val="00561A48"/>
    <w:rsid w:val="00562204"/>
    <w:rsid w:val="00562F61"/>
    <w:rsid w:val="00563200"/>
    <w:rsid w:val="005636A8"/>
    <w:rsid w:val="005636B2"/>
    <w:rsid w:val="00563B7C"/>
    <w:rsid w:val="0056446E"/>
    <w:rsid w:val="005647D4"/>
    <w:rsid w:val="005651EC"/>
    <w:rsid w:val="005654F1"/>
    <w:rsid w:val="005659AC"/>
    <w:rsid w:val="00565FFB"/>
    <w:rsid w:val="005660E0"/>
    <w:rsid w:val="005667E5"/>
    <w:rsid w:val="005673D7"/>
    <w:rsid w:val="005704E1"/>
    <w:rsid w:val="00570776"/>
    <w:rsid w:val="00570CCC"/>
    <w:rsid w:val="00571083"/>
    <w:rsid w:val="0057120A"/>
    <w:rsid w:val="005721D6"/>
    <w:rsid w:val="005723FA"/>
    <w:rsid w:val="00572E47"/>
    <w:rsid w:val="00573397"/>
    <w:rsid w:val="0057353F"/>
    <w:rsid w:val="00573719"/>
    <w:rsid w:val="005737E9"/>
    <w:rsid w:val="00573A0C"/>
    <w:rsid w:val="00573B5B"/>
    <w:rsid w:val="00574202"/>
    <w:rsid w:val="005742F0"/>
    <w:rsid w:val="005748E0"/>
    <w:rsid w:val="005749E1"/>
    <w:rsid w:val="00574C26"/>
    <w:rsid w:val="00575152"/>
    <w:rsid w:val="0057521D"/>
    <w:rsid w:val="00575E88"/>
    <w:rsid w:val="00575EA4"/>
    <w:rsid w:val="005762A2"/>
    <w:rsid w:val="00576432"/>
    <w:rsid w:val="00576F3D"/>
    <w:rsid w:val="00580804"/>
    <w:rsid w:val="005817E7"/>
    <w:rsid w:val="00582162"/>
    <w:rsid w:val="00582C4D"/>
    <w:rsid w:val="00582FB1"/>
    <w:rsid w:val="0058303D"/>
    <w:rsid w:val="00583530"/>
    <w:rsid w:val="00583BC8"/>
    <w:rsid w:val="005844B4"/>
    <w:rsid w:val="005845AB"/>
    <w:rsid w:val="005845D1"/>
    <w:rsid w:val="00584777"/>
    <w:rsid w:val="005857FA"/>
    <w:rsid w:val="00585A58"/>
    <w:rsid w:val="00585AE5"/>
    <w:rsid w:val="00586051"/>
    <w:rsid w:val="0058623E"/>
    <w:rsid w:val="005866D0"/>
    <w:rsid w:val="00586785"/>
    <w:rsid w:val="00586CAF"/>
    <w:rsid w:val="005872E9"/>
    <w:rsid w:val="00587530"/>
    <w:rsid w:val="00587890"/>
    <w:rsid w:val="00587DA8"/>
    <w:rsid w:val="00587FCA"/>
    <w:rsid w:val="00590081"/>
    <w:rsid w:val="00590613"/>
    <w:rsid w:val="005910F4"/>
    <w:rsid w:val="00591480"/>
    <w:rsid w:val="00591A2F"/>
    <w:rsid w:val="00591B64"/>
    <w:rsid w:val="00592E11"/>
    <w:rsid w:val="005931E1"/>
    <w:rsid w:val="005936B4"/>
    <w:rsid w:val="00595B1F"/>
    <w:rsid w:val="00595CE7"/>
    <w:rsid w:val="00595DED"/>
    <w:rsid w:val="005966C6"/>
    <w:rsid w:val="0059704A"/>
    <w:rsid w:val="005973D1"/>
    <w:rsid w:val="0059761A"/>
    <w:rsid w:val="00597E66"/>
    <w:rsid w:val="005A06D8"/>
    <w:rsid w:val="005A0B48"/>
    <w:rsid w:val="005A0C46"/>
    <w:rsid w:val="005A0D36"/>
    <w:rsid w:val="005A1BBD"/>
    <w:rsid w:val="005A1CE7"/>
    <w:rsid w:val="005A1D2E"/>
    <w:rsid w:val="005A1FE7"/>
    <w:rsid w:val="005A21B8"/>
    <w:rsid w:val="005A293B"/>
    <w:rsid w:val="005A2B1A"/>
    <w:rsid w:val="005A2C39"/>
    <w:rsid w:val="005A2CCB"/>
    <w:rsid w:val="005A37B4"/>
    <w:rsid w:val="005A3912"/>
    <w:rsid w:val="005A3DE4"/>
    <w:rsid w:val="005A437D"/>
    <w:rsid w:val="005A459D"/>
    <w:rsid w:val="005A46B4"/>
    <w:rsid w:val="005A5339"/>
    <w:rsid w:val="005A5C98"/>
    <w:rsid w:val="005A5E89"/>
    <w:rsid w:val="005A6531"/>
    <w:rsid w:val="005A6B15"/>
    <w:rsid w:val="005A6B1E"/>
    <w:rsid w:val="005A703B"/>
    <w:rsid w:val="005A76B3"/>
    <w:rsid w:val="005A7B97"/>
    <w:rsid w:val="005B0031"/>
    <w:rsid w:val="005B003F"/>
    <w:rsid w:val="005B02FD"/>
    <w:rsid w:val="005B0351"/>
    <w:rsid w:val="005B0623"/>
    <w:rsid w:val="005B0638"/>
    <w:rsid w:val="005B0D34"/>
    <w:rsid w:val="005B0E74"/>
    <w:rsid w:val="005B1596"/>
    <w:rsid w:val="005B18E7"/>
    <w:rsid w:val="005B1DAE"/>
    <w:rsid w:val="005B21F3"/>
    <w:rsid w:val="005B23CA"/>
    <w:rsid w:val="005B24BA"/>
    <w:rsid w:val="005B27AD"/>
    <w:rsid w:val="005B2C07"/>
    <w:rsid w:val="005B2C54"/>
    <w:rsid w:val="005B2D52"/>
    <w:rsid w:val="005B32FD"/>
    <w:rsid w:val="005B3CDD"/>
    <w:rsid w:val="005B5157"/>
    <w:rsid w:val="005B52AB"/>
    <w:rsid w:val="005B55C6"/>
    <w:rsid w:val="005B6EEC"/>
    <w:rsid w:val="005B70CC"/>
    <w:rsid w:val="005B7CD2"/>
    <w:rsid w:val="005C018A"/>
    <w:rsid w:val="005C0CF0"/>
    <w:rsid w:val="005C0F69"/>
    <w:rsid w:val="005C113F"/>
    <w:rsid w:val="005C16AC"/>
    <w:rsid w:val="005C2377"/>
    <w:rsid w:val="005C238E"/>
    <w:rsid w:val="005C28F0"/>
    <w:rsid w:val="005C29DC"/>
    <w:rsid w:val="005C2BE1"/>
    <w:rsid w:val="005C2E91"/>
    <w:rsid w:val="005C3405"/>
    <w:rsid w:val="005C38F6"/>
    <w:rsid w:val="005C39AA"/>
    <w:rsid w:val="005C3AFD"/>
    <w:rsid w:val="005C3F44"/>
    <w:rsid w:val="005C411B"/>
    <w:rsid w:val="005C46C1"/>
    <w:rsid w:val="005C5661"/>
    <w:rsid w:val="005C5F01"/>
    <w:rsid w:val="005C67B8"/>
    <w:rsid w:val="005C7B4F"/>
    <w:rsid w:val="005D0290"/>
    <w:rsid w:val="005D0655"/>
    <w:rsid w:val="005D06AB"/>
    <w:rsid w:val="005D1017"/>
    <w:rsid w:val="005D1650"/>
    <w:rsid w:val="005D2406"/>
    <w:rsid w:val="005D285B"/>
    <w:rsid w:val="005D2B95"/>
    <w:rsid w:val="005D3674"/>
    <w:rsid w:val="005D3688"/>
    <w:rsid w:val="005D3B4A"/>
    <w:rsid w:val="005D46E9"/>
    <w:rsid w:val="005D4766"/>
    <w:rsid w:val="005D4B77"/>
    <w:rsid w:val="005D4BDA"/>
    <w:rsid w:val="005D4E24"/>
    <w:rsid w:val="005D4E7C"/>
    <w:rsid w:val="005D521C"/>
    <w:rsid w:val="005D5276"/>
    <w:rsid w:val="005D566E"/>
    <w:rsid w:val="005D56B8"/>
    <w:rsid w:val="005D56CD"/>
    <w:rsid w:val="005D56DB"/>
    <w:rsid w:val="005D5767"/>
    <w:rsid w:val="005D59F8"/>
    <w:rsid w:val="005D5AC4"/>
    <w:rsid w:val="005D5EC8"/>
    <w:rsid w:val="005D66A1"/>
    <w:rsid w:val="005D731C"/>
    <w:rsid w:val="005D7FD3"/>
    <w:rsid w:val="005E0540"/>
    <w:rsid w:val="005E05D3"/>
    <w:rsid w:val="005E0CBB"/>
    <w:rsid w:val="005E0E8F"/>
    <w:rsid w:val="005E108C"/>
    <w:rsid w:val="005E13FD"/>
    <w:rsid w:val="005E1C38"/>
    <w:rsid w:val="005E2922"/>
    <w:rsid w:val="005E2A04"/>
    <w:rsid w:val="005E2E28"/>
    <w:rsid w:val="005E33F6"/>
    <w:rsid w:val="005E36CE"/>
    <w:rsid w:val="005E43A6"/>
    <w:rsid w:val="005E4EAC"/>
    <w:rsid w:val="005E509D"/>
    <w:rsid w:val="005E5513"/>
    <w:rsid w:val="005E5CB7"/>
    <w:rsid w:val="005E5D5A"/>
    <w:rsid w:val="005E6942"/>
    <w:rsid w:val="005E696F"/>
    <w:rsid w:val="005E6E2E"/>
    <w:rsid w:val="005E6EE9"/>
    <w:rsid w:val="005E7B6C"/>
    <w:rsid w:val="005E7C7D"/>
    <w:rsid w:val="005F045A"/>
    <w:rsid w:val="005F04F6"/>
    <w:rsid w:val="005F094F"/>
    <w:rsid w:val="005F0D63"/>
    <w:rsid w:val="005F14BB"/>
    <w:rsid w:val="005F1AF6"/>
    <w:rsid w:val="005F1B54"/>
    <w:rsid w:val="005F1E0A"/>
    <w:rsid w:val="005F1F6B"/>
    <w:rsid w:val="005F21B5"/>
    <w:rsid w:val="005F23B9"/>
    <w:rsid w:val="005F2853"/>
    <w:rsid w:val="005F2949"/>
    <w:rsid w:val="005F2A19"/>
    <w:rsid w:val="005F3137"/>
    <w:rsid w:val="005F336A"/>
    <w:rsid w:val="005F34CE"/>
    <w:rsid w:val="005F387A"/>
    <w:rsid w:val="005F3C1D"/>
    <w:rsid w:val="005F3DAA"/>
    <w:rsid w:val="005F41A4"/>
    <w:rsid w:val="005F4603"/>
    <w:rsid w:val="005F49C4"/>
    <w:rsid w:val="005F4DAB"/>
    <w:rsid w:val="005F5885"/>
    <w:rsid w:val="005F5CA0"/>
    <w:rsid w:val="005F5F10"/>
    <w:rsid w:val="005F5F5A"/>
    <w:rsid w:val="005F5F71"/>
    <w:rsid w:val="005F5FDB"/>
    <w:rsid w:val="005F6064"/>
    <w:rsid w:val="005F61AA"/>
    <w:rsid w:val="005F779D"/>
    <w:rsid w:val="005F7EC3"/>
    <w:rsid w:val="005F7FD3"/>
    <w:rsid w:val="0060026B"/>
    <w:rsid w:val="00600627"/>
    <w:rsid w:val="00600789"/>
    <w:rsid w:val="00600B0A"/>
    <w:rsid w:val="00601776"/>
    <w:rsid w:val="0060232A"/>
    <w:rsid w:val="00602954"/>
    <w:rsid w:val="00602E02"/>
    <w:rsid w:val="006039CE"/>
    <w:rsid w:val="00604720"/>
    <w:rsid w:val="0060511E"/>
    <w:rsid w:val="0060533E"/>
    <w:rsid w:val="00605794"/>
    <w:rsid w:val="00605CFE"/>
    <w:rsid w:val="00605ECC"/>
    <w:rsid w:val="00605FFF"/>
    <w:rsid w:val="00606035"/>
    <w:rsid w:val="006063A0"/>
    <w:rsid w:val="00606DCF"/>
    <w:rsid w:val="00606F42"/>
    <w:rsid w:val="00607215"/>
    <w:rsid w:val="0060779A"/>
    <w:rsid w:val="00610093"/>
    <w:rsid w:val="00610C92"/>
    <w:rsid w:val="00611022"/>
    <w:rsid w:val="006111A8"/>
    <w:rsid w:val="006112CA"/>
    <w:rsid w:val="00611785"/>
    <w:rsid w:val="00611B87"/>
    <w:rsid w:val="006120E9"/>
    <w:rsid w:val="00612464"/>
    <w:rsid w:val="00612B14"/>
    <w:rsid w:val="00612D8E"/>
    <w:rsid w:val="00613049"/>
    <w:rsid w:val="00613463"/>
    <w:rsid w:val="00613ADB"/>
    <w:rsid w:val="00613C3B"/>
    <w:rsid w:val="00614120"/>
    <w:rsid w:val="006145EA"/>
    <w:rsid w:val="00614D6A"/>
    <w:rsid w:val="00615075"/>
    <w:rsid w:val="006156D5"/>
    <w:rsid w:val="006156ED"/>
    <w:rsid w:val="00615978"/>
    <w:rsid w:val="00615982"/>
    <w:rsid w:val="0061661D"/>
    <w:rsid w:val="00617155"/>
    <w:rsid w:val="006174A0"/>
    <w:rsid w:val="006179AE"/>
    <w:rsid w:val="00617A13"/>
    <w:rsid w:val="00617E88"/>
    <w:rsid w:val="00621320"/>
    <w:rsid w:val="006213F6"/>
    <w:rsid w:val="006225A3"/>
    <w:rsid w:val="00622789"/>
    <w:rsid w:val="006228D0"/>
    <w:rsid w:val="00622A49"/>
    <w:rsid w:val="00622FAF"/>
    <w:rsid w:val="00622FBD"/>
    <w:rsid w:val="006236BE"/>
    <w:rsid w:val="00623C5E"/>
    <w:rsid w:val="00623DBD"/>
    <w:rsid w:val="00623DC8"/>
    <w:rsid w:val="00624961"/>
    <w:rsid w:val="00624B9A"/>
    <w:rsid w:val="00624C13"/>
    <w:rsid w:val="006250AC"/>
    <w:rsid w:val="00625796"/>
    <w:rsid w:val="00625C00"/>
    <w:rsid w:val="006261C2"/>
    <w:rsid w:val="006263AE"/>
    <w:rsid w:val="00626432"/>
    <w:rsid w:val="00626644"/>
    <w:rsid w:val="006266F5"/>
    <w:rsid w:val="00626A47"/>
    <w:rsid w:val="00626E10"/>
    <w:rsid w:val="00626FDD"/>
    <w:rsid w:val="0062719F"/>
    <w:rsid w:val="006276CF"/>
    <w:rsid w:val="00627D0D"/>
    <w:rsid w:val="006304EC"/>
    <w:rsid w:val="0063086D"/>
    <w:rsid w:val="00631B76"/>
    <w:rsid w:val="00632074"/>
    <w:rsid w:val="0063304C"/>
    <w:rsid w:val="00633080"/>
    <w:rsid w:val="006335CE"/>
    <w:rsid w:val="006338C3"/>
    <w:rsid w:val="00633B63"/>
    <w:rsid w:val="0063427A"/>
    <w:rsid w:val="00634C3E"/>
    <w:rsid w:val="00635408"/>
    <w:rsid w:val="00635B2A"/>
    <w:rsid w:val="00635D64"/>
    <w:rsid w:val="006363A3"/>
    <w:rsid w:val="006370E3"/>
    <w:rsid w:val="00637D57"/>
    <w:rsid w:val="00640414"/>
    <w:rsid w:val="00640A88"/>
    <w:rsid w:val="00640B71"/>
    <w:rsid w:val="00640BF4"/>
    <w:rsid w:val="00640C63"/>
    <w:rsid w:val="00641BE4"/>
    <w:rsid w:val="00641FE6"/>
    <w:rsid w:val="006424F2"/>
    <w:rsid w:val="00642C1E"/>
    <w:rsid w:val="00642FFB"/>
    <w:rsid w:val="00643145"/>
    <w:rsid w:val="006439A2"/>
    <w:rsid w:val="00643E5A"/>
    <w:rsid w:val="00643EAF"/>
    <w:rsid w:val="006440A8"/>
    <w:rsid w:val="0064461D"/>
    <w:rsid w:val="00644A0C"/>
    <w:rsid w:val="00644F21"/>
    <w:rsid w:val="006459ED"/>
    <w:rsid w:val="00645AB6"/>
    <w:rsid w:val="006461AC"/>
    <w:rsid w:val="0064665D"/>
    <w:rsid w:val="006468C7"/>
    <w:rsid w:val="00646C8E"/>
    <w:rsid w:val="0064718F"/>
    <w:rsid w:val="006475E6"/>
    <w:rsid w:val="0065036D"/>
    <w:rsid w:val="00650679"/>
    <w:rsid w:val="00650C2F"/>
    <w:rsid w:val="00650C56"/>
    <w:rsid w:val="00650D0B"/>
    <w:rsid w:val="00651128"/>
    <w:rsid w:val="00651E7C"/>
    <w:rsid w:val="006521C1"/>
    <w:rsid w:val="006522A6"/>
    <w:rsid w:val="00652B75"/>
    <w:rsid w:val="00653C3E"/>
    <w:rsid w:val="00653D23"/>
    <w:rsid w:val="006542F2"/>
    <w:rsid w:val="006546C1"/>
    <w:rsid w:val="0065519C"/>
    <w:rsid w:val="00655A91"/>
    <w:rsid w:val="00655E47"/>
    <w:rsid w:val="006564FA"/>
    <w:rsid w:val="0065764D"/>
    <w:rsid w:val="006576BF"/>
    <w:rsid w:val="00657849"/>
    <w:rsid w:val="00657F02"/>
    <w:rsid w:val="00660303"/>
    <w:rsid w:val="00660E71"/>
    <w:rsid w:val="00660FA8"/>
    <w:rsid w:val="00661A66"/>
    <w:rsid w:val="00661CA8"/>
    <w:rsid w:val="00661E57"/>
    <w:rsid w:val="00662E6B"/>
    <w:rsid w:val="00663669"/>
    <w:rsid w:val="006638FB"/>
    <w:rsid w:val="006641F1"/>
    <w:rsid w:val="0066423D"/>
    <w:rsid w:val="006647E4"/>
    <w:rsid w:val="0066515F"/>
    <w:rsid w:val="00665309"/>
    <w:rsid w:val="006660D4"/>
    <w:rsid w:val="00667041"/>
    <w:rsid w:val="00667055"/>
    <w:rsid w:val="006670FC"/>
    <w:rsid w:val="006677AD"/>
    <w:rsid w:val="006678DA"/>
    <w:rsid w:val="00670446"/>
    <w:rsid w:val="006704EA"/>
    <w:rsid w:val="0067075B"/>
    <w:rsid w:val="00670D8E"/>
    <w:rsid w:val="00670EDC"/>
    <w:rsid w:val="006710FB"/>
    <w:rsid w:val="006715A6"/>
    <w:rsid w:val="0067192D"/>
    <w:rsid w:val="00671C53"/>
    <w:rsid w:val="00671CB6"/>
    <w:rsid w:val="00671DFF"/>
    <w:rsid w:val="00672728"/>
    <w:rsid w:val="0067280D"/>
    <w:rsid w:val="0067285D"/>
    <w:rsid w:val="00672912"/>
    <w:rsid w:val="00673394"/>
    <w:rsid w:val="006735E1"/>
    <w:rsid w:val="00673796"/>
    <w:rsid w:val="00673F40"/>
    <w:rsid w:val="006743B5"/>
    <w:rsid w:val="006746E5"/>
    <w:rsid w:val="00674ABF"/>
    <w:rsid w:val="00674B82"/>
    <w:rsid w:val="00674BFE"/>
    <w:rsid w:val="00675722"/>
    <w:rsid w:val="0067591B"/>
    <w:rsid w:val="00675E2B"/>
    <w:rsid w:val="0067615F"/>
    <w:rsid w:val="00676776"/>
    <w:rsid w:val="00676860"/>
    <w:rsid w:val="00676B7B"/>
    <w:rsid w:val="00676C18"/>
    <w:rsid w:val="0067702C"/>
    <w:rsid w:val="00677226"/>
    <w:rsid w:val="006772FC"/>
    <w:rsid w:val="00677603"/>
    <w:rsid w:val="006777EB"/>
    <w:rsid w:val="006807AE"/>
    <w:rsid w:val="00680901"/>
    <w:rsid w:val="00680AD5"/>
    <w:rsid w:val="006819C5"/>
    <w:rsid w:val="0068205B"/>
    <w:rsid w:val="0068234A"/>
    <w:rsid w:val="006823C4"/>
    <w:rsid w:val="006824BE"/>
    <w:rsid w:val="00682664"/>
    <w:rsid w:val="0068266A"/>
    <w:rsid w:val="006826A8"/>
    <w:rsid w:val="00682802"/>
    <w:rsid w:val="006828BC"/>
    <w:rsid w:val="00682DCE"/>
    <w:rsid w:val="00683473"/>
    <w:rsid w:val="0068395A"/>
    <w:rsid w:val="00683A20"/>
    <w:rsid w:val="00683C5C"/>
    <w:rsid w:val="00683F2A"/>
    <w:rsid w:val="00684FA7"/>
    <w:rsid w:val="00685359"/>
    <w:rsid w:val="00685551"/>
    <w:rsid w:val="00685934"/>
    <w:rsid w:val="006859B5"/>
    <w:rsid w:val="0068667B"/>
    <w:rsid w:val="00686A5E"/>
    <w:rsid w:val="00686F7C"/>
    <w:rsid w:val="0068709B"/>
    <w:rsid w:val="00687AC8"/>
    <w:rsid w:val="00687D2E"/>
    <w:rsid w:val="006908C2"/>
    <w:rsid w:val="00690E8D"/>
    <w:rsid w:val="00691137"/>
    <w:rsid w:val="00691DAD"/>
    <w:rsid w:val="0069218D"/>
    <w:rsid w:val="0069259C"/>
    <w:rsid w:val="006929AB"/>
    <w:rsid w:val="006930A8"/>
    <w:rsid w:val="00693267"/>
    <w:rsid w:val="006936C3"/>
    <w:rsid w:val="00693E3A"/>
    <w:rsid w:val="00694980"/>
    <w:rsid w:val="00695139"/>
    <w:rsid w:val="00695228"/>
    <w:rsid w:val="006953AD"/>
    <w:rsid w:val="00695503"/>
    <w:rsid w:val="0069588C"/>
    <w:rsid w:val="006964D8"/>
    <w:rsid w:val="00696894"/>
    <w:rsid w:val="00696A41"/>
    <w:rsid w:val="00696B1E"/>
    <w:rsid w:val="0069774D"/>
    <w:rsid w:val="006A147B"/>
    <w:rsid w:val="006A19A5"/>
    <w:rsid w:val="006A1B62"/>
    <w:rsid w:val="006A270A"/>
    <w:rsid w:val="006A2F9F"/>
    <w:rsid w:val="006A3DB2"/>
    <w:rsid w:val="006A3E9F"/>
    <w:rsid w:val="006A4139"/>
    <w:rsid w:val="006A4DC8"/>
    <w:rsid w:val="006A54D9"/>
    <w:rsid w:val="006A5BE2"/>
    <w:rsid w:val="006A69D0"/>
    <w:rsid w:val="006A6EC4"/>
    <w:rsid w:val="006A725B"/>
    <w:rsid w:val="006A7660"/>
    <w:rsid w:val="006B00D4"/>
    <w:rsid w:val="006B0451"/>
    <w:rsid w:val="006B0564"/>
    <w:rsid w:val="006B096F"/>
    <w:rsid w:val="006B106A"/>
    <w:rsid w:val="006B12CB"/>
    <w:rsid w:val="006B196E"/>
    <w:rsid w:val="006B2375"/>
    <w:rsid w:val="006B2989"/>
    <w:rsid w:val="006B2F75"/>
    <w:rsid w:val="006B2FD2"/>
    <w:rsid w:val="006B3059"/>
    <w:rsid w:val="006B40F8"/>
    <w:rsid w:val="006B4A27"/>
    <w:rsid w:val="006B4ADA"/>
    <w:rsid w:val="006B4C77"/>
    <w:rsid w:val="006B4FF2"/>
    <w:rsid w:val="006B504F"/>
    <w:rsid w:val="006B555D"/>
    <w:rsid w:val="006B5898"/>
    <w:rsid w:val="006B5E19"/>
    <w:rsid w:val="006B6183"/>
    <w:rsid w:val="006B649D"/>
    <w:rsid w:val="006B6AF7"/>
    <w:rsid w:val="006B6D79"/>
    <w:rsid w:val="006B782F"/>
    <w:rsid w:val="006C0C38"/>
    <w:rsid w:val="006C1411"/>
    <w:rsid w:val="006C1E24"/>
    <w:rsid w:val="006C2141"/>
    <w:rsid w:val="006C237A"/>
    <w:rsid w:val="006C2641"/>
    <w:rsid w:val="006C2658"/>
    <w:rsid w:val="006C2715"/>
    <w:rsid w:val="006C28C3"/>
    <w:rsid w:val="006C2F5F"/>
    <w:rsid w:val="006C3D59"/>
    <w:rsid w:val="006C3FD5"/>
    <w:rsid w:val="006C4E80"/>
    <w:rsid w:val="006C535F"/>
    <w:rsid w:val="006C542C"/>
    <w:rsid w:val="006C5C59"/>
    <w:rsid w:val="006C5CF4"/>
    <w:rsid w:val="006C5E53"/>
    <w:rsid w:val="006C6EF2"/>
    <w:rsid w:val="006C7841"/>
    <w:rsid w:val="006C7A2E"/>
    <w:rsid w:val="006C7C98"/>
    <w:rsid w:val="006D05A6"/>
    <w:rsid w:val="006D0728"/>
    <w:rsid w:val="006D0AD8"/>
    <w:rsid w:val="006D165E"/>
    <w:rsid w:val="006D23D4"/>
    <w:rsid w:val="006D2630"/>
    <w:rsid w:val="006D26A8"/>
    <w:rsid w:val="006D2917"/>
    <w:rsid w:val="006D2A0E"/>
    <w:rsid w:val="006D2F3E"/>
    <w:rsid w:val="006D3555"/>
    <w:rsid w:val="006D3A8F"/>
    <w:rsid w:val="006D4601"/>
    <w:rsid w:val="006D4CD2"/>
    <w:rsid w:val="006D5309"/>
    <w:rsid w:val="006D54F2"/>
    <w:rsid w:val="006D5A21"/>
    <w:rsid w:val="006D5A54"/>
    <w:rsid w:val="006D7C9D"/>
    <w:rsid w:val="006D7CA4"/>
    <w:rsid w:val="006D7DEC"/>
    <w:rsid w:val="006E0110"/>
    <w:rsid w:val="006E08A3"/>
    <w:rsid w:val="006E0C19"/>
    <w:rsid w:val="006E1460"/>
    <w:rsid w:val="006E1471"/>
    <w:rsid w:val="006E1B92"/>
    <w:rsid w:val="006E1C1D"/>
    <w:rsid w:val="006E264B"/>
    <w:rsid w:val="006E2A69"/>
    <w:rsid w:val="006E2D88"/>
    <w:rsid w:val="006E2FD7"/>
    <w:rsid w:val="006E3108"/>
    <w:rsid w:val="006E31B2"/>
    <w:rsid w:val="006E36DC"/>
    <w:rsid w:val="006E3705"/>
    <w:rsid w:val="006E43B5"/>
    <w:rsid w:val="006E493E"/>
    <w:rsid w:val="006E4E79"/>
    <w:rsid w:val="006E52C6"/>
    <w:rsid w:val="006E52EB"/>
    <w:rsid w:val="006E5481"/>
    <w:rsid w:val="006E619E"/>
    <w:rsid w:val="006E6453"/>
    <w:rsid w:val="006E6460"/>
    <w:rsid w:val="006E6FB9"/>
    <w:rsid w:val="006E7AF5"/>
    <w:rsid w:val="006F0029"/>
    <w:rsid w:val="006F088B"/>
    <w:rsid w:val="006F0ABF"/>
    <w:rsid w:val="006F0B68"/>
    <w:rsid w:val="006F0D7A"/>
    <w:rsid w:val="006F1936"/>
    <w:rsid w:val="006F1A2B"/>
    <w:rsid w:val="006F2045"/>
    <w:rsid w:val="006F2307"/>
    <w:rsid w:val="006F2A56"/>
    <w:rsid w:val="006F2C0C"/>
    <w:rsid w:val="006F2C70"/>
    <w:rsid w:val="006F304B"/>
    <w:rsid w:val="006F3234"/>
    <w:rsid w:val="006F3F32"/>
    <w:rsid w:val="006F4BA0"/>
    <w:rsid w:val="006F4DE2"/>
    <w:rsid w:val="006F5A30"/>
    <w:rsid w:val="006F68CE"/>
    <w:rsid w:val="006F74F4"/>
    <w:rsid w:val="006F7796"/>
    <w:rsid w:val="006F7915"/>
    <w:rsid w:val="006F7B46"/>
    <w:rsid w:val="006F7EEE"/>
    <w:rsid w:val="006F7F14"/>
    <w:rsid w:val="00700114"/>
    <w:rsid w:val="007003C8"/>
    <w:rsid w:val="007006F1"/>
    <w:rsid w:val="00700A4E"/>
    <w:rsid w:val="00701655"/>
    <w:rsid w:val="00701B07"/>
    <w:rsid w:val="007024BB"/>
    <w:rsid w:val="007029B0"/>
    <w:rsid w:val="00703501"/>
    <w:rsid w:val="00703AE9"/>
    <w:rsid w:val="00703DAD"/>
    <w:rsid w:val="00703DFB"/>
    <w:rsid w:val="00705580"/>
    <w:rsid w:val="00705A2C"/>
    <w:rsid w:val="00706325"/>
    <w:rsid w:val="007071AF"/>
    <w:rsid w:val="007071D3"/>
    <w:rsid w:val="007100A8"/>
    <w:rsid w:val="00710467"/>
    <w:rsid w:val="00710682"/>
    <w:rsid w:val="007109FC"/>
    <w:rsid w:val="00710B64"/>
    <w:rsid w:val="0071137C"/>
    <w:rsid w:val="00711586"/>
    <w:rsid w:val="007119F8"/>
    <w:rsid w:val="007121BA"/>
    <w:rsid w:val="007134F9"/>
    <w:rsid w:val="00713509"/>
    <w:rsid w:val="007137A5"/>
    <w:rsid w:val="00713E2B"/>
    <w:rsid w:val="00713F5E"/>
    <w:rsid w:val="00714124"/>
    <w:rsid w:val="007142F0"/>
    <w:rsid w:val="00714800"/>
    <w:rsid w:val="00714860"/>
    <w:rsid w:val="00714FD6"/>
    <w:rsid w:val="00715A77"/>
    <w:rsid w:val="00715FF4"/>
    <w:rsid w:val="00717B4B"/>
    <w:rsid w:val="00717CAC"/>
    <w:rsid w:val="0072039C"/>
    <w:rsid w:val="007203A8"/>
    <w:rsid w:val="007205D1"/>
    <w:rsid w:val="00720D6D"/>
    <w:rsid w:val="00720E39"/>
    <w:rsid w:val="00720FC1"/>
    <w:rsid w:val="00721188"/>
    <w:rsid w:val="00721F1E"/>
    <w:rsid w:val="007225B0"/>
    <w:rsid w:val="007227E8"/>
    <w:rsid w:val="007229E3"/>
    <w:rsid w:val="00723557"/>
    <w:rsid w:val="00723616"/>
    <w:rsid w:val="007237A7"/>
    <w:rsid w:val="00723C24"/>
    <w:rsid w:val="00724DCD"/>
    <w:rsid w:val="00725927"/>
    <w:rsid w:val="00725937"/>
    <w:rsid w:val="00725E49"/>
    <w:rsid w:val="00726E33"/>
    <w:rsid w:val="007274C8"/>
    <w:rsid w:val="00727797"/>
    <w:rsid w:val="00727EB7"/>
    <w:rsid w:val="00727F9A"/>
    <w:rsid w:val="007309CC"/>
    <w:rsid w:val="00731030"/>
    <w:rsid w:val="00731111"/>
    <w:rsid w:val="00731BD4"/>
    <w:rsid w:val="00731C05"/>
    <w:rsid w:val="0073200E"/>
    <w:rsid w:val="00732626"/>
    <w:rsid w:val="00732D30"/>
    <w:rsid w:val="00732F27"/>
    <w:rsid w:val="007338CA"/>
    <w:rsid w:val="007339E7"/>
    <w:rsid w:val="00733A04"/>
    <w:rsid w:val="00734DD7"/>
    <w:rsid w:val="00735222"/>
    <w:rsid w:val="00735626"/>
    <w:rsid w:val="007358BF"/>
    <w:rsid w:val="007358F0"/>
    <w:rsid w:val="00735A17"/>
    <w:rsid w:val="00735D2D"/>
    <w:rsid w:val="00735F28"/>
    <w:rsid w:val="007360E1"/>
    <w:rsid w:val="00736120"/>
    <w:rsid w:val="007362C8"/>
    <w:rsid w:val="007373AC"/>
    <w:rsid w:val="007374B1"/>
    <w:rsid w:val="00737DEE"/>
    <w:rsid w:val="00737EB5"/>
    <w:rsid w:val="007402F1"/>
    <w:rsid w:val="00741654"/>
    <w:rsid w:val="0074221C"/>
    <w:rsid w:val="0074295A"/>
    <w:rsid w:val="00742A3B"/>
    <w:rsid w:val="00743C5A"/>
    <w:rsid w:val="00743F22"/>
    <w:rsid w:val="007440AA"/>
    <w:rsid w:val="00744282"/>
    <w:rsid w:val="00744440"/>
    <w:rsid w:val="007451C3"/>
    <w:rsid w:val="007453A2"/>
    <w:rsid w:val="00745941"/>
    <w:rsid w:val="0074596C"/>
    <w:rsid w:val="007460EF"/>
    <w:rsid w:val="007474BB"/>
    <w:rsid w:val="00747CD9"/>
    <w:rsid w:val="00747EAB"/>
    <w:rsid w:val="00750326"/>
    <w:rsid w:val="00750605"/>
    <w:rsid w:val="007506A7"/>
    <w:rsid w:val="0075164C"/>
    <w:rsid w:val="00751E4B"/>
    <w:rsid w:val="00751F3E"/>
    <w:rsid w:val="00751FD9"/>
    <w:rsid w:val="00752037"/>
    <w:rsid w:val="00752C2A"/>
    <w:rsid w:val="00752C36"/>
    <w:rsid w:val="0075346C"/>
    <w:rsid w:val="00753E2E"/>
    <w:rsid w:val="007545E3"/>
    <w:rsid w:val="00754C96"/>
    <w:rsid w:val="00754F5F"/>
    <w:rsid w:val="0075570D"/>
    <w:rsid w:val="007563E5"/>
    <w:rsid w:val="00757435"/>
    <w:rsid w:val="00757786"/>
    <w:rsid w:val="00760062"/>
    <w:rsid w:val="007600BE"/>
    <w:rsid w:val="00760B7F"/>
    <w:rsid w:val="00760E5B"/>
    <w:rsid w:val="00761296"/>
    <w:rsid w:val="0076133C"/>
    <w:rsid w:val="0076166A"/>
    <w:rsid w:val="00761C9A"/>
    <w:rsid w:val="007624D5"/>
    <w:rsid w:val="00762B1B"/>
    <w:rsid w:val="0076341A"/>
    <w:rsid w:val="007639C0"/>
    <w:rsid w:val="00763B32"/>
    <w:rsid w:val="00763BF9"/>
    <w:rsid w:val="00764CDF"/>
    <w:rsid w:val="00765B26"/>
    <w:rsid w:val="00765C16"/>
    <w:rsid w:val="00766630"/>
    <w:rsid w:val="00766D3D"/>
    <w:rsid w:val="007670C1"/>
    <w:rsid w:val="00767108"/>
    <w:rsid w:val="00767C13"/>
    <w:rsid w:val="00767E9D"/>
    <w:rsid w:val="00770502"/>
    <w:rsid w:val="007705EA"/>
    <w:rsid w:val="00770947"/>
    <w:rsid w:val="00771291"/>
    <w:rsid w:val="00771617"/>
    <w:rsid w:val="0077199C"/>
    <w:rsid w:val="00771C61"/>
    <w:rsid w:val="007729DC"/>
    <w:rsid w:val="007736F4"/>
    <w:rsid w:val="007737A6"/>
    <w:rsid w:val="00773837"/>
    <w:rsid w:val="00774479"/>
    <w:rsid w:val="00774676"/>
    <w:rsid w:val="00774BFB"/>
    <w:rsid w:val="00775180"/>
    <w:rsid w:val="00776291"/>
    <w:rsid w:val="007766E9"/>
    <w:rsid w:val="00777ADF"/>
    <w:rsid w:val="00777C7D"/>
    <w:rsid w:val="0078035D"/>
    <w:rsid w:val="00780693"/>
    <w:rsid w:val="007806D8"/>
    <w:rsid w:val="00780B80"/>
    <w:rsid w:val="0078110D"/>
    <w:rsid w:val="0078117D"/>
    <w:rsid w:val="00782904"/>
    <w:rsid w:val="00782935"/>
    <w:rsid w:val="00782EEF"/>
    <w:rsid w:val="007832B0"/>
    <w:rsid w:val="007834FB"/>
    <w:rsid w:val="007836D7"/>
    <w:rsid w:val="00783B95"/>
    <w:rsid w:val="00784235"/>
    <w:rsid w:val="00784456"/>
    <w:rsid w:val="0078445E"/>
    <w:rsid w:val="007847A4"/>
    <w:rsid w:val="00784DBF"/>
    <w:rsid w:val="00784E05"/>
    <w:rsid w:val="00785193"/>
    <w:rsid w:val="007856F4"/>
    <w:rsid w:val="00785E15"/>
    <w:rsid w:val="0078612A"/>
    <w:rsid w:val="00786C19"/>
    <w:rsid w:val="00787A42"/>
    <w:rsid w:val="00787D85"/>
    <w:rsid w:val="00790D28"/>
    <w:rsid w:val="00790FE4"/>
    <w:rsid w:val="007916A2"/>
    <w:rsid w:val="007917C0"/>
    <w:rsid w:val="00791A5C"/>
    <w:rsid w:val="0079248F"/>
    <w:rsid w:val="00792F3C"/>
    <w:rsid w:val="00792FAB"/>
    <w:rsid w:val="007938C8"/>
    <w:rsid w:val="00793B25"/>
    <w:rsid w:val="00793E30"/>
    <w:rsid w:val="007941B2"/>
    <w:rsid w:val="007944C0"/>
    <w:rsid w:val="007947B3"/>
    <w:rsid w:val="00794F09"/>
    <w:rsid w:val="00795778"/>
    <w:rsid w:val="00795A92"/>
    <w:rsid w:val="0079613F"/>
    <w:rsid w:val="00796961"/>
    <w:rsid w:val="007A0FA1"/>
    <w:rsid w:val="007A1161"/>
    <w:rsid w:val="007A22EF"/>
    <w:rsid w:val="007A2D43"/>
    <w:rsid w:val="007A2E3E"/>
    <w:rsid w:val="007A2F2E"/>
    <w:rsid w:val="007A307D"/>
    <w:rsid w:val="007A35D3"/>
    <w:rsid w:val="007A386D"/>
    <w:rsid w:val="007A3C0B"/>
    <w:rsid w:val="007A4501"/>
    <w:rsid w:val="007A46F3"/>
    <w:rsid w:val="007A599D"/>
    <w:rsid w:val="007A5C4A"/>
    <w:rsid w:val="007A5CFE"/>
    <w:rsid w:val="007A5EA2"/>
    <w:rsid w:val="007A62A5"/>
    <w:rsid w:val="007A639A"/>
    <w:rsid w:val="007A65CC"/>
    <w:rsid w:val="007A6677"/>
    <w:rsid w:val="007A66DB"/>
    <w:rsid w:val="007A6B67"/>
    <w:rsid w:val="007A6E40"/>
    <w:rsid w:val="007B02C8"/>
    <w:rsid w:val="007B0440"/>
    <w:rsid w:val="007B054A"/>
    <w:rsid w:val="007B0D90"/>
    <w:rsid w:val="007B0EC4"/>
    <w:rsid w:val="007B1493"/>
    <w:rsid w:val="007B1CAE"/>
    <w:rsid w:val="007B250C"/>
    <w:rsid w:val="007B2610"/>
    <w:rsid w:val="007B2FC5"/>
    <w:rsid w:val="007B339B"/>
    <w:rsid w:val="007B366F"/>
    <w:rsid w:val="007B37D5"/>
    <w:rsid w:val="007B3860"/>
    <w:rsid w:val="007B43D0"/>
    <w:rsid w:val="007B53CB"/>
    <w:rsid w:val="007B57BC"/>
    <w:rsid w:val="007B5985"/>
    <w:rsid w:val="007B5CB4"/>
    <w:rsid w:val="007B662A"/>
    <w:rsid w:val="007B6C17"/>
    <w:rsid w:val="007B6D20"/>
    <w:rsid w:val="007B73EB"/>
    <w:rsid w:val="007B784A"/>
    <w:rsid w:val="007B79D9"/>
    <w:rsid w:val="007B7ABC"/>
    <w:rsid w:val="007C0489"/>
    <w:rsid w:val="007C0FB6"/>
    <w:rsid w:val="007C1885"/>
    <w:rsid w:val="007C197F"/>
    <w:rsid w:val="007C1FC7"/>
    <w:rsid w:val="007C221B"/>
    <w:rsid w:val="007C22A0"/>
    <w:rsid w:val="007C269D"/>
    <w:rsid w:val="007C2946"/>
    <w:rsid w:val="007C29A4"/>
    <w:rsid w:val="007C2FA7"/>
    <w:rsid w:val="007C374B"/>
    <w:rsid w:val="007C4020"/>
    <w:rsid w:val="007C4C77"/>
    <w:rsid w:val="007C4EED"/>
    <w:rsid w:val="007C5A0F"/>
    <w:rsid w:val="007C5A25"/>
    <w:rsid w:val="007C602A"/>
    <w:rsid w:val="007C698A"/>
    <w:rsid w:val="007C73B3"/>
    <w:rsid w:val="007C7D27"/>
    <w:rsid w:val="007D046C"/>
    <w:rsid w:val="007D10BF"/>
    <w:rsid w:val="007D1166"/>
    <w:rsid w:val="007D1243"/>
    <w:rsid w:val="007D1BC4"/>
    <w:rsid w:val="007D24D9"/>
    <w:rsid w:val="007D2543"/>
    <w:rsid w:val="007D28D8"/>
    <w:rsid w:val="007D2E67"/>
    <w:rsid w:val="007D3BCC"/>
    <w:rsid w:val="007D3D91"/>
    <w:rsid w:val="007D3F88"/>
    <w:rsid w:val="007D4123"/>
    <w:rsid w:val="007D42DC"/>
    <w:rsid w:val="007D437B"/>
    <w:rsid w:val="007D50D6"/>
    <w:rsid w:val="007D6317"/>
    <w:rsid w:val="007D66A0"/>
    <w:rsid w:val="007D6981"/>
    <w:rsid w:val="007D6FF4"/>
    <w:rsid w:val="007D7397"/>
    <w:rsid w:val="007D7418"/>
    <w:rsid w:val="007D7CD0"/>
    <w:rsid w:val="007D7E52"/>
    <w:rsid w:val="007E02D9"/>
    <w:rsid w:val="007E02F2"/>
    <w:rsid w:val="007E0470"/>
    <w:rsid w:val="007E05C6"/>
    <w:rsid w:val="007E0C92"/>
    <w:rsid w:val="007E1026"/>
    <w:rsid w:val="007E1155"/>
    <w:rsid w:val="007E11F1"/>
    <w:rsid w:val="007E15BB"/>
    <w:rsid w:val="007E16FD"/>
    <w:rsid w:val="007E18E6"/>
    <w:rsid w:val="007E19B4"/>
    <w:rsid w:val="007E1B07"/>
    <w:rsid w:val="007E2096"/>
    <w:rsid w:val="007E20A6"/>
    <w:rsid w:val="007E2648"/>
    <w:rsid w:val="007E2906"/>
    <w:rsid w:val="007E2C3F"/>
    <w:rsid w:val="007E2D97"/>
    <w:rsid w:val="007E2F56"/>
    <w:rsid w:val="007E3234"/>
    <w:rsid w:val="007E3246"/>
    <w:rsid w:val="007E4150"/>
    <w:rsid w:val="007E4682"/>
    <w:rsid w:val="007E4C77"/>
    <w:rsid w:val="007E5232"/>
    <w:rsid w:val="007E548B"/>
    <w:rsid w:val="007E595A"/>
    <w:rsid w:val="007E5D49"/>
    <w:rsid w:val="007E6379"/>
    <w:rsid w:val="007E671C"/>
    <w:rsid w:val="007E7172"/>
    <w:rsid w:val="007E759F"/>
    <w:rsid w:val="007E7705"/>
    <w:rsid w:val="007E79DA"/>
    <w:rsid w:val="007E7D75"/>
    <w:rsid w:val="007F0021"/>
    <w:rsid w:val="007F0634"/>
    <w:rsid w:val="007F0A2B"/>
    <w:rsid w:val="007F0D4D"/>
    <w:rsid w:val="007F15AD"/>
    <w:rsid w:val="007F2BBD"/>
    <w:rsid w:val="007F3620"/>
    <w:rsid w:val="007F36E2"/>
    <w:rsid w:val="007F3BD8"/>
    <w:rsid w:val="007F3CE0"/>
    <w:rsid w:val="007F3F5A"/>
    <w:rsid w:val="007F4025"/>
    <w:rsid w:val="007F4102"/>
    <w:rsid w:val="007F4344"/>
    <w:rsid w:val="007F435C"/>
    <w:rsid w:val="007F476A"/>
    <w:rsid w:val="007F55F4"/>
    <w:rsid w:val="007F56C5"/>
    <w:rsid w:val="007F5BA3"/>
    <w:rsid w:val="007F6396"/>
    <w:rsid w:val="007F63FA"/>
    <w:rsid w:val="007F67D2"/>
    <w:rsid w:val="007F68DD"/>
    <w:rsid w:val="007F761B"/>
    <w:rsid w:val="007F79EF"/>
    <w:rsid w:val="007F7B65"/>
    <w:rsid w:val="0080043D"/>
    <w:rsid w:val="0080074D"/>
    <w:rsid w:val="008007E0"/>
    <w:rsid w:val="00800CC9"/>
    <w:rsid w:val="00800F1C"/>
    <w:rsid w:val="00801241"/>
    <w:rsid w:val="00801BB9"/>
    <w:rsid w:val="0080261D"/>
    <w:rsid w:val="00802626"/>
    <w:rsid w:val="008030FB"/>
    <w:rsid w:val="0080336C"/>
    <w:rsid w:val="00803919"/>
    <w:rsid w:val="00803A99"/>
    <w:rsid w:val="00803CBC"/>
    <w:rsid w:val="008040D4"/>
    <w:rsid w:val="008045E1"/>
    <w:rsid w:val="00804AD4"/>
    <w:rsid w:val="0080566B"/>
    <w:rsid w:val="00805886"/>
    <w:rsid w:val="0080614F"/>
    <w:rsid w:val="00806CF7"/>
    <w:rsid w:val="00807117"/>
    <w:rsid w:val="008077E7"/>
    <w:rsid w:val="008078B4"/>
    <w:rsid w:val="008104B8"/>
    <w:rsid w:val="00810855"/>
    <w:rsid w:val="008108C1"/>
    <w:rsid w:val="00810C00"/>
    <w:rsid w:val="00810FEE"/>
    <w:rsid w:val="008110A0"/>
    <w:rsid w:val="008110E5"/>
    <w:rsid w:val="0081180E"/>
    <w:rsid w:val="00811D26"/>
    <w:rsid w:val="008121A6"/>
    <w:rsid w:val="00812608"/>
    <w:rsid w:val="008129F8"/>
    <w:rsid w:val="00812AE8"/>
    <w:rsid w:val="00812BD1"/>
    <w:rsid w:val="0081335C"/>
    <w:rsid w:val="00813452"/>
    <w:rsid w:val="008139E7"/>
    <w:rsid w:val="00813B81"/>
    <w:rsid w:val="00813B8E"/>
    <w:rsid w:val="00813C82"/>
    <w:rsid w:val="00815B3F"/>
    <w:rsid w:val="00815DBA"/>
    <w:rsid w:val="008163CE"/>
    <w:rsid w:val="00816DB6"/>
    <w:rsid w:val="00817005"/>
    <w:rsid w:val="00817078"/>
    <w:rsid w:val="008173D1"/>
    <w:rsid w:val="008175BD"/>
    <w:rsid w:val="00817946"/>
    <w:rsid w:val="00817ED9"/>
    <w:rsid w:val="00821092"/>
    <w:rsid w:val="0082152C"/>
    <w:rsid w:val="00821726"/>
    <w:rsid w:val="0082184D"/>
    <w:rsid w:val="00821891"/>
    <w:rsid w:val="00821943"/>
    <w:rsid w:val="00821FA0"/>
    <w:rsid w:val="008229BA"/>
    <w:rsid w:val="00822C8A"/>
    <w:rsid w:val="008243B4"/>
    <w:rsid w:val="00824F8D"/>
    <w:rsid w:val="00825424"/>
    <w:rsid w:val="00825EED"/>
    <w:rsid w:val="00826563"/>
    <w:rsid w:val="00827C7A"/>
    <w:rsid w:val="00827E46"/>
    <w:rsid w:val="00830206"/>
    <w:rsid w:val="00830D55"/>
    <w:rsid w:val="00831032"/>
    <w:rsid w:val="00831173"/>
    <w:rsid w:val="008314FC"/>
    <w:rsid w:val="00832279"/>
    <w:rsid w:val="00832B44"/>
    <w:rsid w:val="00833567"/>
    <w:rsid w:val="008337E4"/>
    <w:rsid w:val="00833806"/>
    <w:rsid w:val="00833AE8"/>
    <w:rsid w:val="0083412B"/>
    <w:rsid w:val="00835625"/>
    <w:rsid w:val="008357A2"/>
    <w:rsid w:val="00835873"/>
    <w:rsid w:val="00835936"/>
    <w:rsid w:val="008359D1"/>
    <w:rsid w:val="0083652F"/>
    <w:rsid w:val="00836B3C"/>
    <w:rsid w:val="00836E0E"/>
    <w:rsid w:val="00837179"/>
    <w:rsid w:val="00837382"/>
    <w:rsid w:val="0083747B"/>
    <w:rsid w:val="00837C74"/>
    <w:rsid w:val="00837F3B"/>
    <w:rsid w:val="00840034"/>
    <w:rsid w:val="00840C39"/>
    <w:rsid w:val="008418E3"/>
    <w:rsid w:val="00841944"/>
    <w:rsid w:val="00841B6E"/>
    <w:rsid w:val="008421D3"/>
    <w:rsid w:val="0084243A"/>
    <w:rsid w:val="00842478"/>
    <w:rsid w:val="0084247E"/>
    <w:rsid w:val="00842A95"/>
    <w:rsid w:val="0084336D"/>
    <w:rsid w:val="0084342A"/>
    <w:rsid w:val="0084364B"/>
    <w:rsid w:val="0084374E"/>
    <w:rsid w:val="008437FA"/>
    <w:rsid w:val="008439D4"/>
    <w:rsid w:val="00844459"/>
    <w:rsid w:val="008444FB"/>
    <w:rsid w:val="008448E6"/>
    <w:rsid w:val="00844C0E"/>
    <w:rsid w:val="00845233"/>
    <w:rsid w:val="00845B61"/>
    <w:rsid w:val="008460F9"/>
    <w:rsid w:val="00846621"/>
    <w:rsid w:val="008469AA"/>
    <w:rsid w:val="00846E96"/>
    <w:rsid w:val="00846EAA"/>
    <w:rsid w:val="0084739E"/>
    <w:rsid w:val="008474F8"/>
    <w:rsid w:val="0084752F"/>
    <w:rsid w:val="00847B62"/>
    <w:rsid w:val="00847C5A"/>
    <w:rsid w:val="00850A90"/>
    <w:rsid w:val="00850EDF"/>
    <w:rsid w:val="00851BD1"/>
    <w:rsid w:val="00851ECC"/>
    <w:rsid w:val="00851EFA"/>
    <w:rsid w:val="00852B1D"/>
    <w:rsid w:val="00853062"/>
    <w:rsid w:val="008534D4"/>
    <w:rsid w:val="00853A75"/>
    <w:rsid w:val="008544CC"/>
    <w:rsid w:val="008544FC"/>
    <w:rsid w:val="0085452E"/>
    <w:rsid w:val="00854629"/>
    <w:rsid w:val="00854C9F"/>
    <w:rsid w:val="0085519E"/>
    <w:rsid w:val="00855529"/>
    <w:rsid w:val="00855E19"/>
    <w:rsid w:val="00855E24"/>
    <w:rsid w:val="00855F47"/>
    <w:rsid w:val="00856615"/>
    <w:rsid w:val="00856B2E"/>
    <w:rsid w:val="00857164"/>
    <w:rsid w:val="00857574"/>
    <w:rsid w:val="008577A6"/>
    <w:rsid w:val="00857B71"/>
    <w:rsid w:val="00857E14"/>
    <w:rsid w:val="0086048D"/>
    <w:rsid w:val="00860952"/>
    <w:rsid w:val="00860C20"/>
    <w:rsid w:val="00861D72"/>
    <w:rsid w:val="008621CC"/>
    <w:rsid w:val="008622EE"/>
    <w:rsid w:val="0086230D"/>
    <w:rsid w:val="00862946"/>
    <w:rsid w:val="00862B11"/>
    <w:rsid w:val="00862C42"/>
    <w:rsid w:val="00863264"/>
    <w:rsid w:val="00864235"/>
    <w:rsid w:val="008648EA"/>
    <w:rsid w:val="008654B5"/>
    <w:rsid w:val="00865AB6"/>
    <w:rsid w:val="008662C5"/>
    <w:rsid w:val="00866615"/>
    <w:rsid w:val="00866E3E"/>
    <w:rsid w:val="00867617"/>
    <w:rsid w:val="00867CEC"/>
    <w:rsid w:val="00867E41"/>
    <w:rsid w:val="008704A1"/>
    <w:rsid w:val="0087150F"/>
    <w:rsid w:val="00871566"/>
    <w:rsid w:val="00871BF8"/>
    <w:rsid w:val="008721E9"/>
    <w:rsid w:val="008724DB"/>
    <w:rsid w:val="0087260B"/>
    <w:rsid w:val="00872719"/>
    <w:rsid w:val="008727D8"/>
    <w:rsid w:val="00872C64"/>
    <w:rsid w:val="00872C6D"/>
    <w:rsid w:val="00872E3D"/>
    <w:rsid w:val="00873849"/>
    <w:rsid w:val="00873E35"/>
    <w:rsid w:val="00874409"/>
    <w:rsid w:val="0087472E"/>
    <w:rsid w:val="00874B8A"/>
    <w:rsid w:val="00874EAC"/>
    <w:rsid w:val="008752FD"/>
    <w:rsid w:val="00875BFF"/>
    <w:rsid w:val="008767DE"/>
    <w:rsid w:val="00876CC1"/>
    <w:rsid w:val="00877264"/>
    <w:rsid w:val="008772A2"/>
    <w:rsid w:val="00877F88"/>
    <w:rsid w:val="0088014E"/>
    <w:rsid w:val="008807D2"/>
    <w:rsid w:val="00880BEC"/>
    <w:rsid w:val="00880C2D"/>
    <w:rsid w:val="00881456"/>
    <w:rsid w:val="00882647"/>
    <w:rsid w:val="00882755"/>
    <w:rsid w:val="008834D1"/>
    <w:rsid w:val="00884779"/>
    <w:rsid w:val="00884798"/>
    <w:rsid w:val="008849D0"/>
    <w:rsid w:val="00884FF7"/>
    <w:rsid w:val="00886373"/>
    <w:rsid w:val="0088669D"/>
    <w:rsid w:val="00886EE9"/>
    <w:rsid w:val="008870F4"/>
    <w:rsid w:val="00887A11"/>
    <w:rsid w:val="00887AFE"/>
    <w:rsid w:val="00887C6C"/>
    <w:rsid w:val="00890914"/>
    <w:rsid w:val="00890A91"/>
    <w:rsid w:val="0089164D"/>
    <w:rsid w:val="00891953"/>
    <w:rsid w:val="00891BA7"/>
    <w:rsid w:val="008925D4"/>
    <w:rsid w:val="00892682"/>
    <w:rsid w:val="008927A0"/>
    <w:rsid w:val="00894301"/>
    <w:rsid w:val="008947E0"/>
    <w:rsid w:val="00894CAE"/>
    <w:rsid w:val="00894ED2"/>
    <w:rsid w:val="00895429"/>
    <w:rsid w:val="00895E7C"/>
    <w:rsid w:val="0089629B"/>
    <w:rsid w:val="008964E1"/>
    <w:rsid w:val="008964E6"/>
    <w:rsid w:val="00896AEE"/>
    <w:rsid w:val="00896F10"/>
    <w:rsid w:val="00896F43"/>
    <w:rsid w:val="008970D2"/>
    <w:rsid w:val="00897150"/>
    <w:rsid w:val="00897396"/>
    <w:rsid w:val="00897655"/>
    <w:rsid w:val="00897A85"/>
    <w:rsid w:val="00897E02"/>
    <w:rsid w:val="00897EC0"/>
    <w:rsid w:val="00897FD5"/>
    <w:rsid w:val="008A060E"/>
    <w:rsid w:val="008A0684"/>
    <w:rsid w:val="008A06AA"/>
    <w:rsid w:val="008A0723"/>
    <w:rsid w:val="008A080C"/>
    <w:rsid w:val="008A08EC"/>
    <w:rsid w:val="008A1650"/>
    <w:rsid w:val="008A1669"/>
    <w:rsid w:val="008A17A2"/>
    <w:rsid w:val="008A1BE2"/>
    <w:rsid w:val="008A219B"/>
    <w:rsid w:val="008A27EC"/>
    <w:rsid w:val="008A2F3A"/>
    <w:rsid w:val="008A34BE"/>
    <w:rsid w:val="008A37B1"/>
    <w:rsid w:val="008A4D07"/>
    <w:rsid w:val="008A4EED"/>
    <w:rsid w:val="008A559D"/>
    <w:rsid w:val="008A58DC"/>
    <w:rsid w:val="008A594A"/>
    <w:rsid w:val="008A5D91"/>
    <w:rsid w:val="008A70B5"/>
    <w:rsid w:val="008A712F"/>
    <w:rsid w:val="008A7AF9"/>
    <w:rsid w:val="008B0006"/>
    <w:rsid w:val="008B0223"/>
    <w:rsid w:val="008B044F"/>
    <w:rsid w:val="008B0673"/>
    <w:rsid w:val="008B094A"/>
    <w:rsid w:val="008B0A6F"/>
    <w:rsid w:val="008B25E8"/>
    <w:rsid w:val="008B3281"/>
    <w:rsid w:val="008B3641"/>
    <w:rsid w:val="008B3A40"/>
    <w:rsid w:val="008B3E02"/>
    <w:rsid w:val="008B434E"/>
    <w:rsid w:val="008B46F2"/>
    <w:rsid w:val="008B519D"/>
    <w:rsid w:val="008B5344"/>
    <w:rsid w:val="008B5381"/>
    <w:rsid w:val="008B5C28"/>
    <w:rsid w:val="008B5F04"/>
    <w:rsid w:val="008B677D"/>
    <w:rsid w:val="008B6899"/>
    <w:rsid w:val="008B6DD7"/>
    <w:rsid w:val="008B72DB"/>
    <w:rsid w:val="008B7CB5"/>
    <w:rsid w:val="008C0534"/>
    <w:rsid w:val="008C0793"/>
    <w:rsid w:val="008C0C6C"/>
    <w:rsid w:val="008C15D1"/>
    <w:rsid w:val="008C182F"/>
    <w:rsid w:val="008C1FA1"/>
    <w:rsid w:val="008C24BB"/>
    <w:rsid w:val="008C27F9"/>
    <w:rsid w:val="008C2955"/>
    <w:rsid w:val="008C2D5B"/>
    <w:rsid w:val="008C338E"/>
    <w:rsid w:val="008C357A"/>
    <w:rsid w:val="008C3F3A"/>
    <w:rsid w:val="008C4224"/>
    <w:rsid w:val="008C4285"/>
    <w:rsid w:val="008C47CA"/>
    <w:rsid w:val="008C4AD7"/>
    <w:rsid w:val="008C4BA0"/>
    <w:rsid w:val="008C4E4D"/>
    <w:rsid w:val="008C5580"/>
    <w:rsid w:val="008C582E"/>
    <w:rsid w:val="008C5C7C"/>
    <w:rsid w:val="008C6478"/>
    <w:rsid w:val="008C672A"/>
    <w:rsid w:val="008C6DBB"/>
    <w:rsid w:val="008C6F1D"/>
    <w:rsid w:val="008C7996"/>
    <w:rsid w:val="008C7AB2"/>
    <w:rsid w:val="008C7D00"/>
    <w:rsid w:val="008D0636"/>
    <w:rsid w:val="008D0EA8"/>
    <w:rsid w:val="008D21BA"/>
    <w:rsid w:val="008D2593"/>
    <w:rsid w:val="008D356F"/>
    <w:rsid w:val="008D3D67"/>
    <w:rsid w:val="008D3FB5"/>
    <w:rsid w:val="008D408E"/>
    <w:rsid w:val="008D4330"/>
    <w:rsid w:val="008D4370"/>
    <w:rsid w:val="008D49FA"/>
    <w:rsid w:val="008D4CB3"/>
    <w:rsid w:val="008D4DCA"/>
    <w:rsid w:val="008D54B3"/>
    <w:rsid w:val="008D5590"/>
    <w:rsid w:val="008D5B8D"/>
    <w:rsid w:val="008D6346"/>
    <w:rsid w:val="008D646A"/>
    <w:rsid w:val="008D7885"/>
    <w:rsid w:val="008E010B"/>
    <w:rsid w:val="008E0EC6"/>
    <w:rsid w:val="008E130C"/>
    <w:rsid w:val="008E1B9A"/>
    <w:rsid w:val="008E1C62"/>
    <w:rsid w:val="008E1F40"/>
    <w:rsid w:val="008E2B6D"/>
    <w:rsid w:val="008E2B7D"/>
    <w:rsid w:val="008E4819"/>
    <w:rsid w:val="008E4F4D"/>
    <w:rsid w:val="008E53C9"/>
    <w:rsid w:val="008E5422"/>
    <w:rsid w:val="008E5C0E"/>
    <w:rsid w:val="008E5C3B"/>
    <w:rsid w:val="008E5DD1"/>
    <w:rsid w:val="008E643E"/>
    <w:rsid w:val="008E691D"/>
    <w:rsid w:val="008E6BF5"/>
    <w:rsid w:val="008E6CD4"/>
    <w:rsid w:val="008E6D28"/>
    <w:rsid w:val="008E7486"/>
    <w:rsid w:val="008E7710"/>
    <w:rsid w:val="008E7D86"/>
    <w:rsid w:val="008F00B7"/>
    <w:rsid w:val="008F032C"/>
    <w:rsid w:val="008F118A"/>
    <w:rsid w:val="008F1209"/>
    <w:rsid w:val="008F196B"/>
    <w:rsid w:val="008F1A7A"/>
    <w:rsid w:val="008F1E49"/>
    <w:rsid w:val="008F20DB"/>
    <w:rsid w:val="008F3324"/>
    <w:rsid w:val="008F3504"/>
    <w:rsid w:val="008F4BC9"/>
    <w:rsid w:val="008F4E08"/>
    <w:rsid w:val="008F4F07"/>
    <w:rsid w:val="008F502F"/>
    <w:rsid w:val="008F50C5"/>
    <w:rsid w:val="008F66CE"/>
    <w:rsid w:val="008F6C3B"/>
    <w:rsid w:val="008F7067"/>
    <w:rsid w:val="008F7567"/>
    <w:rsid w:val="008F75A0"/>
    <w:rsid w:val="008F79DC"/>
    <w:rsid w:val="008F7E93"/>
    <w:rsid w:val="00900648"/>
    <w:rsid w:val="00900AC5"/>
    <w:rsid w:val="00901292"/>
    <w:rsid w:val="009014DB"/>
    <w:rsid w:val="00901DBF"/>
    <w:rsid w:val="00901EE7"/>
    <w:rsid w:val="0090219C"/>
    <w:rsid w:val="00902808"/>
    <w:rsid w:val="00902FA2"/>
    <w:rsid w:val="00903640"/>
    <w:rsid w:val="009038AB"/>
    <w:rsid w:val="00903931"/>
    <w:rsid w:val="0090458F"/>
    <w:rsid w:val="0090467E"/>
    <w:rsid w:val="0090481F"/>
    <w:rsid w:val="00904A8F"/>
    <w:rsid w:val="009054AE"/>
    <w:rsid w:val="00906480"/>
    <w:rsid w:val="009065AB"/>
    <w:rsid w:val="00907B94"/>
    <w:rsid w:val="0091088D"/>
    <w:rsid w:val="009108ED"/>
    <w:rsid w:val="00911C9F"/>
    <w:rsid w:val="00911E06"/>
    <w:rsid w:val="009120B9"/>
    <w:rsid w:val="0091275E"/>
    <w:rsid w:val="00912BE1"/>
    <w:rsid w:val="00912C6E"/>
    <w:rsid w:val="00912DCA"/>
    <w:rsid w:val="00912E48"/>
    <w:rsid w:val="00912F49"/>
    <w:rsid w:val="00912F75"/>
    <w:rsid w:val="009131D4"/>
    <w:rsid w:val="009135E0"/>
    <w:rsid w:val="00913FB5"/>
    <w:rsid w:val="0091443A"/>
    <w:rsid w:val="00914494"/>
    <w:rsid w:val="009145A2"/>
    <w:rsid w:val="00914A3A"/>
    <w:rsid w:val="009153F8"/>
    <w:rsid w:val="00916730"/>
    <w:rsid w:val="00916E02"/>
    <w:rsid w:val="009170F0"/>
    <w:rsid w:val="0091729D"/>
    <w:rsid w:val="00917481"/>
    <w:rsid w:val="00917A88"/>
    <w:rsid w:val="00920F4A"/>
    <w:rsid w:val="009214BF"/>
    <w:rsid w:val="00921D71"/>
    <w:rsid w:val="009225A8"/>
    <w:rsid w:val="009230E4"/>
    <w:rsid w:val="009231BD"/>
    <w:rsid w:val="00924635"/>
    <w:rsid w:val="0092463A"/>
    <w:rsid w:val="00924CBC"/>
    <w:rsid w:val="0092508B"/>
    <w:rsid w:val="00925219"/>
    <w:rsid w:val="0092569A"/>
    <w:rsid w:val="00925807"/>
    <w:rsid w:val="00925852"/>
    <w:rsid w:val="009258B1"/>
    <w:rsid w:val="00925CBB"/>
    <w:rsid w:val="00925D78"/>
    <w:rsid w:val="00925E94"/>
    <w:rsid w:val="009265E6"/>
    <w:rsid w:val="0092722D"/>
    <w:rsid w:val="009272AC"/>
    <w:rsid w:val="009276AC"/>
    <w:rsid w:val="009276B0"/>
    <w:rsid w:val="009279C2"/>
    <w:rsid w:val="00930299"/>
    <w:rsid w:val="00931438"/>
    <w:rsid w:val="00931A50"/>
    <w:rsid w:val="0093235C"/>
    <w:rsid w:val="0093361B"/>
    <w:rsid w:val="00934862"/>
    <w:rsid w:val="00934CC2"/>
    <w:rsid w:val="00935415"/>
    <w:rsid w:val="009355AB"/>
    <w:rsid w:val="009358DC"/>
    <w:rsid w:val="00935EDE"/>
    <w:rsid w:val="0093662C"/>
    <w:rsid w:val="00936768"/>
    <w:rsid w:val="009368E0"/>
    <w:rsid w:val="009379A4"/>
    <w:rsid w:val="009405CF"/>
    <w:rsid w:val="00940F81"/>
    <w:rsid w:val="009413B3"/>
    <w:rsid w:val="00941434"/>
    <w:rsid w:val="009427C5"/>
    <w:rsid w:val="009428A2"/>
    <w:rsid w:val="00942C47"/>
    <w:rsid w:val="00943149"/>
    <w:rsid w:val="00943540"/>
    <w:rsid w:val="0094360E"/>
    <w:rsid w:val="00944BD1"/>
    <w:rsid w:val="00944C7F"/>
    <w:rsid w:val="00944F00"/>
    <w:rsid w:val="00944F99"/>
    <w:rsid w:val="0094542B"/>
    <w:rsid w:val="009457EE"/>
    <w:rsid w:val="0094583B"/>
    <w:rsid w:val="00946336"/>
    <w:rsid w:val="009466D9"/>
    <w:rsid w:val="00946E72"/>
    <w:rsid w:val="00947272"/>
    <w:rsid w:val="009475CD"/>
    <w:rsid w:val="00947D55"/>
    <w:rsid w:val="009501EF"/>
    <w:rsid w:val="009502ED"/>
    <w:rsid w:val="009506E5"/>
    <w:rsid w:val="00950A96"/>
    <w:rsid w:val="009510C2"/>
    <w:rsid w:val="0095153A"/>
    <w:rsid w:val="009515DC"/>
    <w:rsid w:val="0095164B"/>
    <w:rsid w:val="009517FE"/>
    <w:rsid w:val="0095280D"/>
    <w:rsid w:val="00952C7A"/>
    <w:rsid w:val="00952DB5"/>
    <w:rsid w:val="00952E3E"/>
    <w:rsid w:val="009532D9"/>
    <w:rsid w:val="00953D32"/>
    <w:rsid w:val="009555D4"/>
    <w:rsid w:val="009566F5"/>
    <w:rsid w:val="00956942"/>
    <w:rsid w:val="00956BE4"/>
    <w:rsid w:val="009619F4"/>
    <w:rsid w:val="00961B47"/>
    <w:rsid w:val="00961B83"/>
    <w:rsid w:val="00961D77"/>
    <w:rsid w:val="00962D0A"/>
    <w:rsid w:val="00962DA3"/>
    <w:rsid w:val="009631F0"/>
    <w:rsid w:val="00963588"/>
    <w:rsid w:val="00963A2C"/>
    <w:rsid w:val="00963D05"/>
    <w:rsid w:val="009649D2"/>
    <w:rsid w:val="00964E9A"/>
    <w:rsid w:val="009658A8"/>
    <w:rsid w:val="00965D43"/>
    <w:rsid w:val="00965D4A"/>
    <w:rsid w:val="00965D5A"/>
    <w:rsid w:val="0096621A"/>
    <w:rsid w:val="009662AF"/>
    <w:rsid w:val="00966397"/>
    <w:rsid w:val="00966617"/>
    <w:rsid w:val="00967341"/>
    <w:rsid w:val="00967F36"/>
    <w:rsid w:val="0097008E"/>
    <w:rsid w:val="009704C8"/>
    <w:rsid w:val="00970F53"/>
    <w:rsid w:val="00970F69"/>
    <w:rsid w:val="009715A5"/>
    <w:rsid w:val="00971634"/>
    <w:rsid w:val="0097163F"/>
    <w:rsid w:val="00971653"/>
    <w:rsid w:val="00971771"/>
    <w:rsid w:val="009718EB"/>
    <w:rsid w:val="00971A22"/>
    <w:rsid w:val="0097222A"/>
    <w:rsid w:val="00972611"/>
    <w:rsid w:val="00972B25"/>
    <w:rsid w:val="00972B3D"/>
    <w:rsid w:val="009736F1"/>
    <w:rsid w:val="00973FDF"/>
    <w:rsid w:val="00974239"/>
    <w:rsid w:val="00974290"/>
    <w:rsid w:val="009745F3"/>
    <w:rsid w:val="00974EB6"/>
    <w:rsid w:val="009750C7"/>
    <w:rsid w:val="0097570D"/>
    <w:rsid w:val="00975A56"/>
    <w:rsid w:val="00976178"/>
    <w:rsid w:val="00976290"/>
    <w:rsid w:val="00977659"/>
    <w:rsid w:val="0098024A"/>
    <w:rsid w:val="009805C2"/>
    <w:rsid w:val="00980743"/>
    <w:rsid w:val="00980A07"/>
    <w:rsid w:val="00980BBE"/>
    <w:rsid w:val="00980C91"/>
    <w:rsid w:val="0098117D"/>
    <w:rsid w:val="009826C6"/>
    <w:rsid w:val="009830C4"/>
    <w:rsid w:val="009839D1"/>
    <w:rsid w:val="009842C2"/>
    <w:rsid w:val="009846F3"/>
    <w:rsid w:val="00984ED5"/>
    <w:rsid w:val="009855F8"/>
    <w:rsid w:val="00985631"/>
    <w:rsid w:val="00985BA6"/>
    <w:rsid w:val="00985D3D"/>
    <w:rsid w:val="0098636D"/>
    <w:rsid w:val="00986519"/>
    <w:rsid w:val="0098748D"/>
    <w:rsid w:val="0098761A"/>
    <w:rsid w:val="00987CBD"/>
    <w:rsid w:val="00987F97"/>
    <w:rsid w:val="009906A7"/>
    <w:rsid w:val="00991120"/>
    <w:rsid w:val="009911DE"/>
    <w:rsid w:val="0099170A"/>
    <w:rsid w:val="009925BA"/>
    <w:rsid w:val="009926EB"/>
    <w:rsid w:val="00992CFC"/>
    <w:rsid w:val="0099403A"/>
    <w:rsid w:val="00994099"/>
    <w:rsid w:val="0099433A"/>
    <w:rsid w:val="009947DE"/>
    <w:rsid w:val="00994F53"/>
    <w:rsid w:val="0099592A"/>
    <w:rsid w:val="00995CB3"/>
    <w:rsid w:val="00995D93"/>
    <w:rsid w:val="00996CCD"/>
    <w:rsid w:val="00997102"/>
    <w:rsid w:val="00997271"/>
    <w:rsid w:val="00997ECA"/>
    <w:rsid w:val="009A0631"/>
    <w:rsid w:val="009A06D8"/>
    <w:rsid w:val="009A0A7A"/>
    <w:rsid w:val="009A0EF6"/>
    <w:rsid w:val="009A1CF9"/>
    <w:rsid w:val="009A25B9"/>
    <w:rsid w:val="009A2AA9"/>
    <w:rsid w:val="009A2D84"/>
    <w:rsid w:val="009A2F75"/>
    <w:rsid w:val="009A351B"/>
    <w:rsid w:val="009A3B4E"/>
    <w:rsid w:val="009A5792"/>
    <w:rsid w:val="009A582A"/>
    <w:rsid w:val="009A6679"/>
    <w:rsid w:val="009A7368"/>
    <w:rsid w:val="009A7636"/>
    <w:rsid w:val="009A7B8A"/>
    <w:rsid w:val="009B0206"/>
    <w:rsid w:val="009B090E"/>
    <w:rsid w:val="009B0A96"/>
    <w:rsid w:val="009B0E52"/>
    <w:rsid w:val="009B113B"/>
    <w:rsid w:val="009B127E"/>
    <w:rsid w:val="009B1B5E"/>
    <w:rsid w:val="009B1FA6"/>
    <w:rsid w:val="009B27EB"/>
    <w:rsid w:val="009B2E17"/>
    <w:rsid w:val="009B2F2F"/>
    <w:rsid w:val="009B3222"/>
    <w:rsid w:val="009B401C"/>
    <w:rsid w:val="009B4801"/>
    <w:rsid w:val="009B4F57"/>
    <w:rsid w:val="009B54C5"/>
    <w:rsid w:val="009B61CF"/>
    <w:rsid w:val="009B61FF"/>
    <w:rsid w:val="009B69E9"/>
    <w:rsid w:val="009B6C0C"/>
    <w:rsid w:val="009B7448"/>
    <w:rsid w:val="009B7839"/>
    <w:rsid w:val="009B7C99"/>
    <w:rsid w:val="009B7E1A"/>
    <w:rsid w:val="009C0162"/>
    <w:rsid w:val="009C05EE"/>
    <w:rsid w:val="009C05FF"/>
    <w:rsid w:val="009C08EC"/>
    <w:rsid w:val="009C0D95"/>
    <w:rsid w:val="009C0F3C"/>
    <w:rsid w:val="009C14D7"/>
    <w:rsid w:val="009C1C59"/>
    <w:rsid w:val="009C1D0A"/>
    <w:rsid w:val="009C2CAF"/>
    <w:rsid w:val="009C2F43"/>
    <w:rsid w:val="009C3306"/>
    <w:rsid w:val="009C345F"/>
    <w:rsid w:val="009C35BF"/>
    <w:rsid w:val="009C3972"/>
    <w:rsid w:val="009C3A27"/>
    <w:rsid w:val="009C3AE8"/>
    <w:rsid w:val="009C3D97"/>
    <w:rsid w:val="009C3E4B"/>
    <w:rsid w:val="009C3ECD"/>
    <w:rsid w:val="009C40EF"/>
    <w:rsid w:val="009C4133"/>
    <w:rsid w:val="009C48A5"/>
    <w:rsid w:val="009C4A1E"/>
    <w:rsid w:val="009C5342"/>
    <w:rsid w:val="009C58AD"/>
    <w:rsid w:val="009C630D"/>
    <w:rsid w:val="009C68C3"/>
    <w:rsid w:val="009C6C6A"/>
    <w:rsid w:val="009C773E"/>
    <w:rsid w:val="009C77C7"/>
    <w:rsid w:val="009D053A"/>
    <w:rsid w:val="009D0CF4"/>
    <w:rsid w:val="009D1680"/>
    <w:rsid w:val="009D27CD"/>
    <w:rsid w:val="009D2A46"/>
    <w:rsid w:val="009D4114"/>
    <w:rsid w:val="009D4493"/>
    <w:rsid w:val="009D47B3"/>
    <w:rsid w:val="009D48C2"/>
    <w:rsid w:val="009D4939"/>
    <w:rsid w:val="009D5702"/>
    <w:rsid w:val="009D5B5D"/>
    <w:rsid w:val="009D634F"/>
    <w:rsid w:val="009D66FC"/>
    <w:rsid w:val="009D6811"/>
    <w:rsid w:val="009D6939"/>
    <w:rsid w:val="009D702D"/>
    <w:rsid w:val="009D7188"/>
    <w:rsid w:val="009D74C3"/>
    <w:rsid w:val="009D7F87"/>
    <w:rsid w:val="009E0536"/>
    <w:rsid w:val="009E0FEE"/>
    <w:rsid w:val="009E1D74"/>
    <w:rsid w:val="009E2AA6"/>
    <w:rsid w:val="009E2E5F"/>
    <w:rsid w:val="009E3509"/>
    <w:rsid w:val="009E3667"/>
    <w:rsid w:val="009E3737"/>
    <w:rsid w:val="009E3BCC"/>
    <w:rsid w:val="009E3E6C"/>
    <w:rsid w:val="009E40B8"/>
    <w:rsid w:val="009E4395"/>
    <w:rsid w:val="009E4677"/>
    <w:rsid w:val="009E4BB4"/>
    <w:rsid w:val="009E4CC2"/>
    <w:rsid w:val="009E4F6B"/>
    <w:rsid w:val="009E53C7"/>
    <w:rsid w:val="009E5769"/>
    <w:rsid w:val="009E5912"/>
    <w:rsid w:val="009E5A07"/>
    <w:rsid w:val="009E5D14"/>
    <w:rsid w:val="009E5DAD"/>
    <w:rsid w:val="009E5E10"/>
    <w:rsid w:val="009E5E40"/>
    <w:rsid w:val="009E6BCF"/>
    <w:rsid w:val="009E6D71"/>
    <w:rsid w:val="009E70E9"/>
    <w:rsid w:val="009E715A"/>
    <w:rsid w:val="009E7558"/>
    <w:rsid w:val="009F0176"/>
    <w:rsid w:val="009F1227"/>
    <w:rsid w:val="009F1482"/>
    <w:rsid w:val="009F1573"/>
    <w:rsid w:val="009F1BEE"/>
    <w:rsid w:val="009F22EF"/>
    <w:rsid w:val="009F27FD"/>
    <w:rsid w:val="009F2E38"/>
    <w:rsid w:val="009F2F35"/>
    <w:rsid w:val="009F3A41"/>
    <w:rsid w:val="009F3D90"/>
    <w:rsid w:val="009F3DBE"/>
    <w:rsid w:val="009F48F4"/>
    <w:rsid w:val="009F4DB1"/>
    <w:rsid w:val="009F50D0"/>
    <w:rsid w:val="009F54DC"/>
    <w:rsid w:val="009F5558"/>
    <w:rsid w:val="009F5D43"/>
    <w:rsid w:val="009F5E45"/>
    <w:rsid w:val="009F5F70"/>
    <w:rsid w:val="009F5FA7"/>
    <w:rsid w:val="009F62E3"/>
    <w:rsid w:val="009F65FA"/>
    <w:rsid w:val="009F7079"/>
    <w:rsid w:val="009F7391"/>
    <w:rsid w:val="009F744E"/>
    <w:rsid w:val="009F7547"/>
    <w:rsid w:val="009F757C"/>
    <w:rsid w:val="00A002F2"/>
    <w:rsid w:val="00A00330"/>
    <w:rsid w:val="00A007EF"/>
    <w:rsid w:val="00A01524"/>
    <w:rsid w:val="00A0269C"/>
    <w:rsid w:val="00A02A86"/>
    <w:rsid w:val="00A02CBE"/>
    <w:rsid w:val="00A030A4"/>
    <w:rsid w:val="00A03529"/>
    <w:rsid w:val="00A0377A"/>
    <w:rsid w:val="00A039B2"/>
    <w:rsid w:val="00A03CB0"/>
    <w:rsid w:val="00A03D8A"/>
    <w:rsid w:val="00A04403"/>
    <w:rsid w:val="00A04A3C"/>
    <w:rsid w:val="00A04AD1"/>
    <w:rsid w:val="00A04EF6"/>
    <w:rsid w:val="00A05D10"/>
    <w:rsid w:val="00A05EE9"/>
    <w:rsid w:val="00A05F4D"/>
    <w:rsid w:val="00A063AB"/>
    <w:rsid w:val="00A06445"/>
    <w:rsid w:val="00A06510"/>
    <w:rsid w:val="00A06521"/>
    <w:rsid w:val="00A06551"/>
    <w:rsid w:val="00A06784"/>
    <w:rsid w:val="00A06D53"/>
    <w:rsid w:val="00A06DCA"/>
    <w:rsid w:val="00A06F48"/>
    <w:rsid w:val="00A07567"/>
    <w:rsid w:val="00A104EF"/>
    <w:rsid w:val="00A10B5B"/>
    <w:rsid w:val="00A1106B"/>
    <w:rsid w:val="00A115CD"/>
    <w:rsid w:val="00A11730"/>
    <w:rsid w:val="00A11A41"/>
    <w:rsid w:val="00A11E0D"/>
    <w:rsid w:val="00A12280"/>
    <w:rsid w:val="00A12552"/>
    <w:rsid w:val="00A127CE"/>
    <w:rsid w:val="00A1284E"/>
    <w:rsid w:val="00A12FCE"/>
    <w:rsid w:val="00A1445B"/>
    <w:rsid w:val="00A14763"/>
    <w:rsid w:val="00A14781"/>
    <w:rsid w:val="00A14E35"/>
    <w:rsid w:val="00A15212"/>
    <w:rsid w:val="00A15471"/>
    <w:rsid w:val="00A155FB"/>
    <w:rsid w:val="00A16335"/>
    <w:rsid w:val="00A163F8"/>
    <w:rsid w:val="00A17203"/>
    <w:rsid w:val="00A174ED"/>
    <w:rsid w:val="00A20317"/>
    <w:rsid w:val="00A205DC"/>
    <w:rsid w:val="00A2128A"/>
    <w:rsid w:val="00A215A3"/>
    <w:rsid w:val="00A2195D"/>
    <w:rsid w:val="00A21BC5"/>
    <w:rsid w:val="00A222B5"/>
    <w:rsid w:val="00A22950"/>
    <w:rsid w:val="00A23669"/>
    <w:rsid w:val="00A23EDE"/>
    <w:rsid w:val="00A23FAE"/>
    <w:rsid w:val="00A24894"/>
    <w:rsid w:val="00A24CE1"/>
    <w:rsid w:val="00A24DFB"/>
    <w:rsid w:val="00A24F08"/>
    <w:rsid w:val="00A25755"/>
    <w:rsid w:val="00A25EB5"/>
    <w:rsid w:val="00A26ABF"/>
    <w:rsid w:val="00A273DB"/>
    <w:rsid w:val="00A278ED"/>
    <w:rsid w:val="00A3035A"/>
    <w:rsid w:val="00A30926"/>
    <w:rsid w:val="00A30FA6"/>
    <w:rsid w:val="00A31157"/>
    <w:rsid w:val="00A3129F"/>
    <w:rsid w:val="00A32863"/>
    <w:rsid w:val="00A32C87"/>
    <w:rsid w:val="00A332B8"/>
    <w:rsid w:val="00A3365F"/>
    <w:rsid w:val="00A33EEE"/>
    <w:rsid w:val="00A33F7E"/>
    <w:rsid w:val="00A3494E"/>
    <w:rsid w:val="00A34BC3"/>
    <w:rsid w:val="00A357D6"/>
    <w:rsid w:val="00A35CC6"/>
    <w:rsid w:val="00A35E01"/>
    <w:rsid w:val="00A361FD"/>
    <w:rsid w:val="00A363F5"/>
    <w:rsid w:val="00A3641F"/>
    <w:rsid w:val="00A3695A"/>
    <w:rsid w:val="00A36A62"/>
    <w:rsid w:val="00A371DD"/>
    <w:rsid w:val="00A372E4"/>
    <w:rsid w:val="00A37526"/>
    <w:rsid w:val="00A4040A"/>
    <w:rsid w:val="00A40D1F"/>
    <w:rsid w:val="00A42358"/>
    <w:rsid w:val="00A43312"/>
    <w:rsid w:val="00A436C3"/>
    <w:rsid w:val="00A44199"/>
    <w:rsid w:val="00A4472D"/>
    <w:rsid w:val="00A44C36"/>
    <w:rsid w:val="00A44DC4"/>
    <w:rsid w:val="00A44F13"/>
    <w:rsid w:val="00A45205"/>
    <w:rsid w:val="00A4525C"/>
    <w:rsid w:val="00A452C6"/>
    <w:rsid w:val="00A45390"/>
    <w:rsid w:val="00A4581D"/>
    <w:rsid w:val="00A45E9F"/>
    <w:rsid w:val="00A47909"/>
    <w:rsid w:val="00A47E71"/>
    <w:rsid w:val="00A47E9A"/>
    <w:rsid w:val="00A47ECF"/>
    <w:rsid w:val="00A50161"/>
    <w:rsid w:val="00A50490"/>
    <w:rsid w:val="00A50EEC"/>
    <w:rsid w:val="00A50F17"/>
    <w:rsid w:val="00A51534"/>
    <w:rsid w:val="00A516E3"/>
    <w:rsid w:val="00A51C11"/>
    <w:rsid w:val="00A51CD9"/>
    <w:rsid w:val="00A51E45"/>
    <w:rsid w:val="00A52C5F"/>
    <w:rsid w:val="00A52E0A"/>
    <w:rsid w:val="00A535C6"/>
    <w:rsid w:val="00A53742"/>
    <w:rsid w:val="00A53A8A"/>
    <w:rsid w:val="00A53BC6"/>
    <w:rsid w:val="00A5402E"/>
    <w:rsid w:val="00A5477C"/>
    <w:rsid w:val="00A548D8"/>
    <w:rsid w:val="00A54D3D"/>
    <w:rsid w:val="00A54FAE"/>
    <w:rsid w:val="00A551D6"/>
    <w:rsid w:val="00A55BD9"/>
    <w:rsid w:val="00A55E63"/>
    <w:rsid w:val="00A56571"/>
    <w:rsid w:val="00A56643"/>
    <w:rsid w:val="00A56E7D"/>
    <w:rsid w:val="00A57546"/>
    <w:rsid w:val="00A57A42"/>
    <w:rsid w:val="00A60263"/>
    <w:rsid w:val="00A60680"/>
    <w:rsid w:val="00A60807"/>
    <w:rsid w:val="00A608DD"/>
    <w:rsid w:val="00A60C1C"/>
    <w:rsid w:val="00A60C52"/>
    <w:rsid w:val="00A60C6B"/>
    <w:rsid w:val="00A61A85"/>
    <w:rsid w:val="00A62381"/>
    <w:rsid w:val="00A625B6"/>
    <w:rsid w:val="00A62818"/>
    <w:rsid w:val="00A62E98"/>
    <w:rsid w:val="00A63A37"/>
    <w:rsid w:val="00A63FBB"/>
    <w:rsid w:val="00A64286"/>
    <w:rsid w:val="00A6502F"/>
    <w:rsid w:val="00A65386"/>
    <w:rsid w:val="00A653E1"/>
    <w:rsid w:val="00A65533"/>
    <w:rsid w:val="00A65603"/>
    <w:rsid w:val="00A658A2"/>
    <w:rsid w:val="00A6647B"/>
    <w:rsid w:val="00A671B4"/>
    <w:rsid w:val="00A67C3E"/>
    <w:rsid w:val="00A7050F"/>
    <w:rsid w:val="00A70860"/>
    <w:rsid w:val="00A70956"/>
    <w:rsid w:val="00A70DAC"/>
    <w:rsid w:val="00A7126F"/>
    <w:rsid w:val="00A71736"/>
    <w:rsid w:val="00A71DCE"/>
    <w:rsid w:val="00A71F2F"/>
    <w:rsid w:val="00A72772"/>
    <w:rsid w:val="00A73891"/>
    <w:rsid w:val="00A73969"/>
    <w:rsid w:val="00A73B23"/>
    <w:rsid w:val="00A74A31"/>
    <w:rsid w:val="00A752DC"/>
    <w:rsid w:val="00A7551D"/>
    <w:rsid w:val="00A759B5"/>
    <w:rsid w:val="00A7713E"/>
    <w:rsid w:val="00A77456"/>
    <w:rsid w:val="00A775D3"/>
    <w:rsid w:val="00A779DF"/>
    <w:rsid w:val="00A811BD"/>
    <w:rsid w:val="00A814E2"/>
    <w:rsid w:val="00A818ED"/>
    <w:rsid w:val="00A81923"/>
    <w:rsid w:val="00A81EA0"/>
    <w:rsid w:val="00A8218C"/>
    <w:rsid w:val="00A82398"/>
    <w:rsid w:val="00A82927"/>
    <w:rsid w:val="00A8337A"/>
    <w:rsid w:val="00A8380D"/>
    <w:rsid w:val="00A84578"/>
    <w:rsid w:val="00A84611"/>
    <w:rsid w:val="00A84984"/>
    <w:rsid w:val="00A860E3"/>
    <w:rsid w:val="00A86573"/>
    <w:rsid w:val="00A86849"/>
    <w:rsid w:val="00A869C9"/>
    <w:rsid w:val="00A87454"/>
    <w:rsid w:val="00A87F62"/>
    <w:rsid w:val="00A90E9D"/>
    <w:rsid w:val="00A91142"/>
    <w:rsid w:val="00A9150E"/>
    <w:rsid w:val="00A91A51"/>
    <w:rsid w:val="00A91DF2"/>
    <w:rsid w:val="00A92EA8"/>
    <w:rsid w:val="00A932EE"/>
    <w:rsid w:val="00A93454"/>
    <w:rsid w:val="00A9389F"/>
    <w:rsid w:val="00A938DC"/>
    <w:rsid w:val="00A93AA7"/>
    <w:rsid w:val="00A93B8B"/>
    <w:rsid w:val="00A93DC1"/>
    <w:rsid w:val="00A93E3D"/>
    <w:rsid w:val="00A9436A"/>
    <w:rsid w:val="00A94A3B"/>
    <w:rsid w:val="00A957D3"/>
    <w:rsid w:val="00A96273"/>
    <w:rsid w:val="00A96320"/>
    <w:rsid w:val="00A96583"/>
    <w:rsid w:val="00A96854"/>
    <w:rsid w:val="00A96945"/>
    <w:rsid w:val="00A96D1A"/>
    <w:rsid w:val="00A97456"/>
    <w:rsid w:val="00A97BF9"/>
    <w:rsid w:val="00A97D6D"/>
    <w:rsid w:val="00AA0501"/>
    <w:rsid w:val="00AA0689"/>
    <w:rsid w:val="00AA0895"/>
    <w:rsid w:val="00AA0A77"/>
    <w:rsid w:val="00AA1414"/>
    <w:rsid w:val="00AA17AE"/>
    <w:rsid w:val="00AA1A2C"/>
    <w:rsid w:val="00AA2B18"/>
    <w:rsid w:val="00AA2CCC"/>
    <w:rsid w:val="00AA34E0"/>
    <w:rsid w:val="00AA3958"/>
    <w:rsid w:val="00AA3BA1"/>
    <w:rsid w:val="00AA40A2"/>
    <w:rsid w:val="00AA4194"/>
    <w:rsid w:val="00AA4470"/>
    <w:rsid w:val="00AA5BCF"/>
    <w:rsid w:val="00AA66EC"/>
    <w:rsid w:val="00AA699F"/>
    <w:rsid w:val="00AA7253"/>
    <w:rsid w:val="00AA76B6"/>
    <w:rsid w:val="00AA7D3D"/>
    <w:rsid w:val="00AB00E2"/>
    <w:rsid w:val="00AB0406"/>
    <w:rsid w:val="00AB1A1D"/>
    <w:rsid w:val="00AB1D27"/>
    <w:rsid w:val="00AB21B9"/>
    <w:rsid w:val="00AB280A"/>
    <w:rsid w:val="00AB28E1"/>
    <w:rsid w:val="00AB3E1D"/>
    <w:rsid w:val="00AB4226"/>
    <w:rsid w:val="00AB47CD"/>
    <w:rsid w:val="00AB5EFC"/>
    <w:rsid w:val="00AB62A3"/>
    <w:rsid w:val="00AB6D00"/>
    <w:rsid w:val="00AB7B20"/>
    <w:rsid w:val="00AB7C1C"/>
    <w:rsid w:val="00AC03CB"/>
    <w:rsid w:val="00AC055F"/>
    <w:rsid w:val="00AC06F3"/>
    <w:rsid w:val="00AC0B22"/>
    <w:rsid w:val="00AC0D58"/>
    <w:rsid w:val="00AC10CE"/>
    <w:rsid w:val="00AC126C"/>
    <w:rsid w:val="00AC13DC"/>
    <w:rsid w:val="00AC1A38"/>
    <w:rsid w:val="00AC2211"/>
    <w:rsid w:val="00AC2329"/>
    <w:rsid w:val="00AC232A"/>
    <w:rsid w:val="00AC2381"/>
    <w:rsid w:val="00AC27FF"/>
    <w:rsid w:val="00AC3185"/>
    <w:rsid w:val="00AC3969"/>
    <w:rsid w:val="00AC3F06"/>
    <w:rsid w:val="00AC3FE7"/>
    <w:rsid w:val="00AC42F8"/>
    <w:rsid w:val="00AC46BF"/>
    <w:rsid w:val="00AC4CDA"/>
    <w:rsid w:val="00AC540D"/>
    <w:rsid w:val="00AC56DC"/>
    <w:rsid w:val="00AC5869"/>
    <w:rsid w:val="00AC5BB8"/>
    <w:rsid w:val="00AC5D25"/>
    <w:rsid w:val="00AC619A"/>
    <w:rsid w:val="00AC648C"/>
    <w:rsid w:val="00AC6632"/>
    <w:rsid w:val="00AC66A2"/>
    <w:rsid w:val="00AC7060"/>
    <w:rsid w:val="00AC7334"/>
    <w:rsid w:val="00AC7529"/>
    <w:rsid w:val="00AC765E"/>
    <w:rsid w:val="00AC7EA1"/>
    <w:rsid w:val="00AD0595"/>
    <w:rsid w:val="00AD13DF"/>
    <w:rsid w:val="00AD1793"/>
    <w:rsid w:val="00AD1A4F"/>
    <w:rsid w:val="00AD204B"/>
    <w:rsid w:val="00AD24DB"/>
    <w:rsid w:val="00AD253F"/>
    <w:rsid w:val="00AD288B"/>
    <w:rsid w:val="00AD2A25"/>
    <w:rsid w:val="00AD2C37"/>
    <w:rsid w:val="00AD2DFA"/>
    <w:rsid w:val="00AD303D"/>
    <w:rsid w:val="00AD43DC"/>
    <w:rsid w:val="00AD4E00"/>
    <w:rsid w:val="00AD51BA"/>
    <w:rsid w:val="00AD534E"/>
    <w:rsid w:val="00AD579D"/>
    <w:rsid w:val="00AD5CA9"/>
    <w:rsid w:val="00AD6677"/>
    <w:rsid w:val="00AD674A"/>
    <w:rsid w:val="00AD71B2"/>
    <w:rsid w:val="00AD7DFF"/>
    <w:rsid w:val="00AE094D"/>
    <w:rsid w:val="00AE11E2"/>
    <w:rsid w:val="00AE11FD"/>
    <w:rsid w:val="00AE1652"/>
    <w:rsid w:val="00AE18CC"/>
    <w:rsid w:val="00AE1A46"/>
    <w:rsid w:val="00AE1AC5"/>
    <w:rsid w:val="00AE232C"/>
    <w:rsid w:val="00AE3115"/>
    <w:rsid w:val="00AE35CF"/>
    <w:rsid w:val="00AE385E"/>
    <w:rsid w:val="00AE3ABA"/>
    <w:rsid w:val="00AE3B65"/>
    <w:rsid w:val="00AE464F"/>
    <w:rsid w:val="00AE4651"/>
    <w:rsid w:val="00AE4E74"/>
    <w:rsid w:val="00AE52BA"/>
    <w:rsid w:val="00AE5938"/>
    <w:rsid w:val="00AE5FB3"/>
    <w:rsid w:val="00AE657E"/>
    <w:rsid w:val="00AE7AA8"/>
    <w:rsid w:val="00AF0031"/>
    <w:rsid w:val="00AF0727"/>
    <w:rsid w:val="00AF0A72"/>
    <w:rsid w:val="00AF1192"/>
    <w:rsid w:val="00AF1302"/>
    <w:rsid w:val="00AF16CA"/>
    <w:rsid w:val="00AF1907"/>
    <w:rsid w:val="00AF1E10"/>
    <w:rsid w:val="00AF205F"/>
    <w:rsid w:val="00AF2186"/>
    <w:rsid w:val="00AF2D92"/>
    <w:rsid w:val="00AF307E"/>
    <w:rsid w:val="00AF3BF5"/>
    <w:rsid w:val="00AF4297"/>
    <w:rsid w:val="00AF4570"/>
    <w:rsid w:val="00AF475B"/>
    <w:rsid w:val="00AF48D0"/>
    <w:rsid w:val="00AF56A7"/>
    <w:rsid w:val="00AF578D"/>
    <w:rsid w:val="00AF61FA"/>
    <w:rsid w:val="00AF66C5"/>
    <w:rsid w:val="00AF6785"/>
    <w:rsid w:val="00AF6FB8"/>
    <w:rsid w:val="00AF7536"/>
    <w:rsid w:val="00AF7773"/>
    <w:rsid w:val="00AF785C"/>
    <w:rsid w:val="00B00260"/>
    <w:rsid w:val="00B0060B"/>
    <w:rsid w:val="00B00614"/>
    <w:rsid w:val="00B007A6"/>
    <w:rsid w:val="00B0084C"/>
    <w:rsid w:val="00B00EF4"/>
    <w:rsid w:val="00B01604"/>
    <w:rsid w:val="00B02342"/>
    <w:rsid w:val="00B029B6"/>
    <w:rsid w:val="00B02F5D"/>
    <w:rsid w:val="00B030CA"/>
    <w:rsid w:val="00B03A28"/>
    <w:rsid w:val="00B03B3F"/>
    <w:rsid w:val="00B03E07"/>
    <w:rsid w:val="00B04170"/>
    <w:rsid w:val="00B04499"/>
    <w:rsid w:val="00B04613"/>
    <w:rsid w:val="00B046B2"/>
    <w:rsid w:val="00B04B64"/>
    <w:rsid w:val="00B0510F"/>
    <w:rsid w:val="00B056A8"/>
    <w:rsid w:val="00B05764"/>
    <w:rsid w:val="00B05CD3"/>
    <w:rsid w:val="00B05D5F"/>
    <w:rsid w:val="00B06120"/>
    <w:rsid w:val="00B0626A"/>
    <w:rsid w:val="00B067C6"/>
    <w:rsid w:val="00B06DE1"/>
    <w:rsid w:val="00B072DF"/>
    <w:rsid w:val="00B07742"/>
    <w:rsid w:val="00B07D1C"/>
    <w:rsid w:val="00B10D8D"/>
    <w:rsid w:val="00B10F5B"/>
    <w:rsid w:val="00B114CD"/>
    <w:rsid w:val="00B115B5"/>
    <w:rsid w:val="00B116A4"/>
    <w:rsid w:val="00B11802"/>
    <w:rsid w:val="00B11B03"/>
    <w:rsid w:val="00B11D89"/>
    <w:rsid w:val="00B1220B"/>
    <w:rsid w:val="00B1235E"/>
    <w:rsid w:val="00B12B5B"/>
    <w:rsid w:val="00B132AF"/>
    <w:rsid w:val="00B1346D"/>
    <w:rsid w:val="00B13866"/>
    <w:rsid w:val="00B13F2D"/>
    <w:rsid w:val="00B14709"/>
    <w:rsid w:val="00B14DD4"/>
    <w:rsid w:val="00B14F72"/>
    <w:rsid w:val="00B15032"/>
    <w:rsid w:val="00B156C6"/>
    <w:rsid w:val="00B15B03"/>
    <w:rsid w:val="00B15E01"/>
    <w:rsid w:val="00B15F79"/>
    <w:rsid w:val="00B16245"/>
    <w:rsid w:val="00B165DB"/>
    <w:rsid w:val="00B167BC"/>
    <w:rsid w:val="00B16B75"/>
    <w:rsid w:val="00B16CE7"/>
    <w:rsid w:val="00B16D0F"/>
    <w:rsid w:val="00B176DB"/>
    <w:rsid w:val="00B178C8"/>
    <w:rsid w:val="00B17F73"/>
    <w:rsid w:val="00B20B7E"/>
    <w:rsid w:val="00B217B2"/>
    <w:rsid w:val="00B21C03"/>
    <w:rsid w:val="00B21D6F"/>
    <w:rsid w:val="00B221E6"/>
    <w:rsid w:val="00B22489"/>
    <w:rsid w:val="00B22A36"/>
    <w:rsid w:val="00B22B59"/>
    <w:rsid w:val="00B22DD7"/>
    <w:rsid w:val="00B2307E"/>
    <w:rsid w:val="00B24075"/>
    <w:rsid w:val="00B24300"/>
    <w:rsid w:val="00B24586"/>
    <w:rsid w:val="00B24614"/>
    <w:rsid w:val="00B24788"/>
    <w:rsid w:val="00B25729"/>
    <w:rsid w:val="00B2578C"/>
    <w:rsid w:val="00B26A4B"/>
    <w:rsid w:val="00B26F80"/>
    <w:rsid w:val="00B27925"/>
    <w:rsid w:val="00B3003A"/>
    <w:rsid w:val="00B30290"/>
    <w:rsid w:val="00B30EB5"/>
    <w:rsid w:val="00B31F45"/>
    <w:rsid w:val="00B329B3"/>
    <w:rsid w:val="00B33513"/>
    <w:rsid w:val="00B3379E"/>
    <w:rsid w:val="00B340E2"/>
    <w:rsid w:val="00B350F8"/>
    <w:rsid w:val="00B353D1"/>
    <w:rsid w:val="00B3628F"/>
    <w:rsid w:val="00B365D3"/>
    <w:rsid w:val="00B37025"/>
    <w:rsid w:val="00B371BE"/>
    <w:rsid w:val="00B3741E"/>
    <w:rsid w:val="00B37871"/>
    <w:rsid w:val="00B37997"/>
    <w:rsid w:val="00B37BB8"/>
    <w:rsid w:val="00B40464"/>
    <w:rsid w:val="00B40475"/>
    <w:rsid w:val="00B4055B"/>
    <w:rsid w:val="00B40D39"/>
    <w:rsid w:val="00B4128B"/>
    <w:rsid w:val="00B41929"/>
    <w:rsid w:val="00B41DBB"/>
    <w:rsid w:val="00B425FE"/>
    <w:rsid w:val="00B42A8C"/>
    <w:rsid w:val="00B42C67"/>
    <w:rsid w:val="00B43217"/>
    <w:rsid w:val="00B43598"/>
    <w:rsid w:val="00B438BA"/>
    <w:rsid w:val="00B43F38"/>
    <w:rsid w:val="00B44917"/>
    <w:rsid w:val="00B44966"/>
    <w:rsid w:val="00B449D2"/>
    <w:rsid w:val="00B44E94"/>
    <w:rsid w:val="00B45004"/>
    <w:rsid w:val="00B45C0F"/>
    <w:rsid w:val="00B46C6A"/>
    <w:rsid w:val="00B46CBE"/>
    <w:rsid w:val="00B474A5"/>
    <w:rsid w:val="00B516D4"/>
    <w:rsid w:val="00B51713"/>
    <w:rsid w:val="00B51866"/>
    <w:rsid w:val="00B51932"/>
    <w:rsid w:val="00B51C73"/>
    <w:rsid w:val="00B51E06"/>
    <w:rsid w:val="00B5222D"/>
    <w:rsid w:val="00B5282F"/>
    <w:rsid w:val="00B52AA6"/>
    <w:rsid w:val="00B52BF4"/>
    <w:rsid w:val="00B53098"/>
    <w:rsid w:val="00B532BD"/>
    <w:rsid w:val="00B53E95"/>
    <w:rsid w:val="00B5414C"/>
    <w:rsid w:val="00B547D8"/>
    <w:rsid w:val="00B54814"/>
    <w:rsid w:val="00B54B35"/>
    <w:rsid w:val="00B553F3"/>
    <w:rsid w:val="00B55BE4"/>
    <w:rsid w:val="00B55F50"/>
    <w:rsid w:val="00B56339"/>
    <w:rsid w:val="00B563D7"/>
    <w:rsid w:val="00B5648E"/>
    <w:rsid w:val="00B56490"/>
    <w:rsid w:val="00B570C2"/>
    <w:rsid w:val="00B57464"/>
    <w:rsid w:val="00B575B8"/>
    <w:rsid w:val="00B57AE7"/>
    <w:rsid w:val="00B57C2C"/>
    <w:rsid w:val="00B57EDF"/>
    <w:rsid w:val="00B60B8F"/>
    <w:rsid w:val="00B60C70"/>
    <w:rsid w:val="00B60ED1"/>
    <w:rsid w:val="00B61665"/>
    <w:rsid w:val="00B61992"/>
    <w:rsid w:val="00B61C51"/>
    <w:rsid w:val="00B61E02"/>
    <w:rsid w:val="00B63060"/>
    <w:rsid w:val="00B6381E"/>
    <w:rsid w:val="00B63954"/>
    <w:rsid w:val="00B639DD"/>
    <w:rsid w:val="00B646C0"/>
    <w:rsid w:val="00B64A80"/>
    <w:rsid w:val="00B64FEA"/>
    <w:rsid w:val="00B65042"/>
    <w:rsid w:val="00B659FD"/>
    <w:rsid w:val="00B66974"/>
    <w:rsid w:val="00B674B6"/>
    <w:rsid w:val="00B6789D"/>
    <w:rsid w:val="00B70662"/>
    <w:rsid w:val="00B70955"/>
    <w:rsid w:val="00B70AA0"/>
    <w:rsid w:val="00B70ADC"/>
    <w:rsid w:val="00B70BFE"/>
    <w:rsid w:val="00B71881"/>
    <w:rsid w:val="00B7221F"/>
    <w:rsid w:val="00B730C5"/>
    <w:rsid w:val="00B73568"/>
    <w:rsid w:val="00B736FA"/>
    <w:rsid w:val="00B73775"/>
    <w:rsid w:val="00B7388A"/>
    <w:rsid w:val="00B7397F"/>
    <w:rsid w:val="00B73CE6"/>
    <w:rsid w:val="00B73DC4"/>
    <w:rsid w:val="00B74105"/>
    <w:rsid w:val="00B74A71"/>
    <w:rsid w:val="00B758EC"/>
    <w:rsid w:val="00B75D1B"/>
    <w:rsid w:val="00B76A6B"/>
    <w:rsid w:val="00B76BCE"/>
    <w:rsid w:val="00B76FE9"/>
    <w:rsid w:val="00B7710C"/>
    <w:rsid w:val="00B77388"/>
    <w:rsid w:val="00B77CE9"/>
    <w:rsid w:val="00B80250"/>
    <w:rsid w:val="00B80747"/>
    <w:rsid w:val="00B808D8"/>
    <w:rsid w:val="00B8092C"/>
    <w:rsid w:val="00B80C2E"/>
    <w:rsid w:val="00B80D16"/>
    <w:rsid w:val="00B80F36"/>
    <w:rsid w:val="00B81132"/>
    <w:rsid w:val="00B811C9"/>
    <w:rsid w:val="00B81294"/>
    <w:rsid w:val="00B8164C"/>
    <w:rsid w:val="00B81C82"/>
    <w:rsid w:val="00B81EAF"/>
    <w:rsid w:val="00B8218C"/>
    <w:rsid w:val="00B82371"/>
    <w:rsid w:val="00B83050"/>
    <w:rsid w:val="00B84795"/>
    <w:rsid w:val="00B84972"/>
    <w:rsid w:val="00B85203"/>
    <w:rsid w:val="00B85739"/>
    <w:rsid w:val="00B86542"/>
    <w:rsid w:val="00B867DC"/>
    <w:rsid w:val="00B86BCF"/>
    <w:rsid w:val="00B86FCC"/>
    <w:rsid w:val="00B871B4"/>
    <w:rsid w:val="00B874EB"/>
    <w:rsid w:val="00B8761B"/>
    <w:rsid w:val="00B879EB"/>
    <w:rsid w:val="00B879FA"/>
    <w:rsid w:val="00B87A7D"/>
    <w:rsid w:val="00B87C85"/>
    <w:rsid w:val="00B87D6C"/>
    <w:rsid w:val="00B903DA"/>
    <w:rsid w:val="00B9096D"/>
    <w:rsid w:val="00B90D1D"/>
    <w:rsid w:val="00B91176"/>
    <w:rsid w:val="00B91409"/>
    <w:rsid w:val="00B9162F"/>
    <w:rsid w:val="00B917C5"/>
    <w:rsid w:val="00B93223"/>
    <w:rsid w:val="00B9349A"/>
    <w:rsid w:val="00B93E68"/>
    <w:rsid w:val="00B940C7"/>
    <w:rsid w:val="00B9446D"/>
    <w:rsid w:val="00B944F0"/>
    <w:rsid w:val="00B94D57"/>
    <w:rsid w:val="00B9536C"/>
    <w:rsid w:val="00B954A7"/>
    <w:rsid w:val="00B958CC"/>
    <w:rsid w:val="00B95B3C"/>
    <w:rsid w:val="00B95F60"/>
    <w:rsid w:val="00B95FB7"/>
    <w:rsid w:val="00B97238"/>
    <w:rsid w:val="00B9762E"/>
    <w:rsid w:val="00B976A7"/>
    <w:rsid w:val="00B97B03"/>
    <w:rsid w:val="00B97B81"/>
    <w:rsid w:val="00BA0FE9"/>
    <w:rsid w:val="00BA10E2"/>
    <w:rsid w:val="00BA1A1C"/>
    <w:rsid w:val="00BA1BF2"/>
    <w:rsid w:val="00BA221B"/>
    <w:rsid w:val="00BA23AB"/>
    <w:rsid w:val="00BA2875"/>
    <w:rsid w:val="00BA28EF"/>
    <w:rsid w:val="00BA3156"/>
    <w:rsid w:val="00BA31CE"/>
    <w:rsid w:val="00BA321D"/>
    <w:rsid w:val="00BA36C4"/>
    <w:rsid w:val="00BA371A"/>
    <w:rsid w:val="00BA3F9E"/>
    <w:rsid w:val="00BA3FB0"/>
    <w:rsid w:val="00BA4A21"/>
    <w:rsid w:val="00BA4DDB"/>
    <w:rsid w:val="00BA502F"/>
    <w:rsid w:val="00BA53B6"/>
    <w:rsid w:val="00BA5764"/>
    <w:rsid w:val="00BA5915"/>
    <w:rsid w:val="00BA5947"/>
    <w:rsid w:val="00BA65E0"/>
    <w:rsid w:val="00BA6F4F"/>
    <w:rsid w:val="00BA7914"/>
    <w:rsid w:val="00BA7FCA"/>
    <w:rsid w:val="00BB0368"/>
    <w:rsid w:val="00BB0918"/>
    <w:rsid w:val="00BB0B7A"/>
    <w:rsid w:val="00BB19AA"/>
    <w:rsid w:val="00BB1A13"/>
    <w:rsid w:val="00BB2084"/>
    <w:rsid w:val="00BB209C"/>
    <w:rsid w:val="00BB26A3"/>
    <w:rsid w:val="00BB29DA"/>
    <w:rsid w:val="00BB2B48"/>
    <w:rsid w:val="00BB3886"/>
    <w:rsid w:val="00BB3C70"/>
    <w:rsid w:val="00BB3CAA"/>
    <w:rsid w:val="00BB3F39"/>
    <w:rsid w:val="00BB421C"/>
    <w:rsid w:val="00BB4764"/>
    <w:rsid w:val="00BB4D58"/>
    <w:rsid w:val="00BB524D"/>
    <w:rsid w:val="00BB6CC6"/>
    <w:rsid w:val="00BB6E46"/>
    <w:rsid w:val="00BB7072"/>
    <w:rsid w:val="00BB7312"/>
    <w:rsid w:val="00BB7419"/>
    <w:rsid w:val="00BB763E"/>
    <w:rsid w:val="00BB7A96"/>
    <w:rsid w:val="00BB7D26"/>
    <w:rsid w:val="00BC0269"/>
    <w:rsid w:val="00BC0283"/>
    <w:rsid w:val="00BC0FD0"/>
    <w:rsid w:val="00BC1195"/>
    <w:rsid w:val="00BC147B"/>
    <w:rsid w:val="00BC162D"/>
    <w:rsid w:val="00BC2017"/>
    <w:rsid w:val="00BC213B"/>
    <w:rsid w:val="00BC279C"/>
    <w:rsid w:val="00BC28A0"/>
    <w:rsid w:val="00BC3610"/>
    <w:rsid w:val="00BC388F"/>
    <w:rsid w:val="00BC43E5"/>
    <w:rsid w:val="00BC4E99"/>
    <w:rsid w:val="00BC4EB1"/>
    <w:rsid w:val="00BC5013"/>
    <w:rsid w:val="00BC5135"/>
    <w:rsid w:val="00BC52CF"/>
    <w:rsid w:val="00BC53BB"/>
    <w:rsid w:val="00BC5A4A"/>
    <w:rsid w:val="00BC666A"/>
    <w:rsid w:val="00BC6AD6"/>
    <w:rsid w:val="00BC7067"/>
    <w:rsid w:val="00BC72F7"/>
    <w:rsid w:val="00BD07A6"/>
    <w:rsid w:val="00BD0BA1"/>
    <w:rsid w:val="00BD1CC1"/>
    <w:rsid w:val="00BD1D72"/>
    <w:rsid w:val="00BD1D77"/>
    <w:rsid w:val="00BD1FA9"/>
    <w:rsid w:val="00BD2A4A"/>
    <w:rsid w:val="00BD35C0"/>
    <w:rsid w:val="00BD3647"/>
    <w:rsid w:val="00BD44C1"/>
    <w:rsid w:val="00BD4993"/>
    <w:rsid w:val="00BD4AF6"/>
    <w:rsid w:val="00BD4E15"/>
    <w:rsid w:val="00BD4F39"/>
    <w:rsid w:val="00BD54FA"/>
    <w:rsid w:val="00BD5658"/>
    <w:rsid w:val="00BD579D"/>
    <w:rsid w:val="00BD62B7"/>
    <w:rsid w:val="00BD62CA"/>
    <w:rsid w:val="00BD681C"/>
    <w:rsid w:val="00BD68F5"/>
    <w:rsid w:val="00BD6905"/>
    <w:rsid w:val="00BD6CD3"/>
    <w:rsid w:val="00BD6CFC"/>
    <w:rsid w:val="00BD773E"/>
    <w:rsid w:val="00BD7750"/>
    <w:rsid w:val="00BD7878"/>
    <w:rsid w:val="00BE0484"/>
    <w:rsid w:val="00BE055C"/>
    <w:rsid w:val="00BE13CA"/>
    <w:rsid w:val="00BE17AB"/>
    <w:rsid w:val="00BE19E8"/>
    <w:rsid w:val="00BE1A5A"/>
    <w:rsid w:val="00BE1C2C"/>
    <w:rsid w:val="00BE1FEE"/>
    <w:rsid w:val="00BE230E"/>
    <w:rsid w:val="00BE2792"/>
    <w:rsid w:val="00BE2FCE"/>
    <w:rsid w:val="00BE39BD"/>
    <w:rsid w:val="00BE4A65"/>
    <w:rsid w:val="00BE4B5B"/>
    <w:rsid w:val="00BE5A14"/>
    <w:rsid w:val="00BE5A44"/>
    <w:rsid w:val="00BE65F3"/>
    <w:rsid w:val="00BE7548"/>
    <w:rsid w:val="00BE7713"/>
    <w:rsid w:val="00BE7DFB"/>
    <w:rsid w:val="00BF0069"/>
    <w:rsid w:val="00BF006C"/>
    <w:rsid w:val="00BF08DC"/>
    <w:rsid w:val="00BF09B4"/>
    <w:rsid w:val="00BF0C08"/>
    <w:rsid w:val="00BF16B7"/>
    <w:rsid w:val="00BF1C4D"/>
    <w:rsid w:val="00BF1DFD"/>
    <w:rsid w:val="00BF1E27"/>
    <w:rsid w:val="00BF2429"/>
    <w:rsid w:val="00BF2ABC"/>
    <w:rsid w:val="00BF30CD"/>
    <w:rsid w:val="00BF32BF"/>
    <w:rsid w:val="00BF3A6C"/>
    <w:rsid w:val="00BF3EE7"/>
    <w:rsid w:val="00BF4122"/>
    <w:rsid w:val="00BF4BB7"/>
    <w:rsid w:val="00BF55BF"/>
    <w:rsid w:val="00BF565F"/>
    <w:rsid w:val="00BF5806"/>
    <w:rsid w:val="00BF5F4D"/>
    <w:rsid w:val="00BF64F8"/>
    <w:rsid w:val="00BF6D05"/>
    <w:rsid w:val="00BF6EB1"/>
    <w:rsid w:val="00BF7163"/>
    <w:rsid w:val="00BF7761"/>
    <w:rsid w:val="00BF7AAD"/>
    <w:rsid w:val="00BF7C2D"/>
    <w:rsid w:val="00C0010D"/>
    <w:rsid w:val="00C00D8C"/>
    <w:rsid w:val="00C01387"/>
    <w:rsid w:val="00C01B63"/>
    <w:rsid w:val="00C01DCE"/>
    <w:rsid w:val="00C022E7"/>
    <w:rsid w:val="00C027B1"/>
    <w:rsid w:val="00C02E43"/>
    <w:rsid w:val="00C03139"/>
    <w:rsid w:val="00C03389"/>
    <w:rsid w:val="00C03569"/>
    <w:rsid w:val="00C035FB"/>
    <w:rsid w:val="00C03763"/>
    <w:rsid w:val="00C037BC"/>
    <w:rsid w:val="00C03C58"/>
    <w:rsid w:val="00C0475D"/>
    <w:rsid w:val="00C0558C"/>
    <w:rsid w:val="00C05D3B"/>
    <w:rsid w:val="00C0650B"/>
    <w:rsid w:val="00C06555"/>
    <w:rsid w:val="00C065CF"/>
    <w:rsid w:val="00C06CFE"/>
    <w:rsid w:val="00C077B7"/>
    <w:rsid w:val="00C0782B"/>
    <w:rsid w:val="00C10238"/>
    <w:rsid w:val="00C10317"/>
    <w:rsid w:val="00C104C0"/>
    <w:rsid w:val="00C107BE"/>
    <w:rsid w:val="00C108B2"/>
    <w:rsid w:val="00C12341"/>
    <w:rsid w:val="00C12A6E"/>
    <w:rsid w:val="00C12E83"/>
    <w:rsid w:val="00C146B6"/>
    <w:rsid w:val="00C147E6"/>
    <w:rsid w:val="00C14806"/>
    <w:rsid w:val="00C14B74"/>
    <w:rsid w:val="00C14DC7"/>
    <w:rsid w:val="00C15138"/>
    <w:rsid w:val="00C159A2"/>
    <w:rsid w:val="00C15A44"/>
    <w:rsid w:val="00C16F08"/>
    <w:rsid w:val="00C20330"/>
    <w:rsid w:val="00C2073C"/>
    <w:rsid w:val="00C20A66"/>
    <w:rsid w:val="00C20F1B"/>
    <w:rsid w:val="00C20F6E"/>
    <w:rsid w:val="00C20F8F"/>
    <w:rsid w:val="00C21BD0"/>
    <w:rsid w:val="00C22CA9"/>
    <w:rsid w:val="00C237C7"/>
    <w:rsid w:val="00C23B0A"/>
    <w:rsid w:val="00C23EC3"/>
    <w:rsid w:val="00C24633"/>
    <w:rsid w:val="00C248BA"/>
    <w:rsid w:val="00C24DA0"/>
    <w:rsid w:val="00C24EEE"/>
    <w:rsid w:val="00C25075"/>
    <w:rsid w:val="00C258AD"/>
    <w:rsid w:val="00C25D42"/>
    <w:rsid w:val="00C26440"/>
    <w:rsid w:val="00C264C8"/>
    <w:rsid w:val="00C268CD"/>
    <w:rsid w:val="00C26CD3"/>
    <w:rsid w:val="00C27142"/>
    <w:rsid w:val="00C27D18"/>
    <w:rsid w:val="00C30110"/>
    <w:rsid w:val="00C301CC"/>
    <w:rsid w:val="00C303F4"/>
    <w:rsid w:val="00C3050E"/>
    <w:rsid w:val="00C30F03"/>
    <w:rsid w:val="00C30F9B"/>
    <w:rsid w:val="00C316D9"/>
    <w:rsid w:val="00C31ADC"/>
    <w:rsid w:val="00C31FB1"/>
    <w:rsid w:val="00C326A1"/>
    <w:rsid w:val="00C32CFD"/>
    <w:rsid w:val="00C336C3"/>
    <w:rsid w:val="00C33708"/>
    <w:rsid w:val="00C33A54"/>
    <w:rsid w:val="00C34C19"/>
    <w:rsid w:val="00C34E18"/>
    <w:rsid w:val="00C34EE3"/>
    <w:rsid w:val="00C350E2"/>
    <w:rsid w:val="00C35BB5"/>
    <w:rsid w:val="00C36081"/>
    <w:rsid w:val="00C36D00"/>
    <w:rsid w:val="00C36DC3"/>
    <w:rsid w:val="00C36EF0"/>
    <w:rsid w:val="00C37164"/>
    <w:rsid w:val="00C37251"/>
    <w:rsid w:val="00C37537"/>
    <w:rsid w:val="00C37B52"/>
    <w:rsid w:val="00C37EA0"/>
    <w:rsid w:val="00C40079"/>
    <w:rsid w:val="00C4049A"/>
    <w:rsid w:val="00C4073D"/>
    <w:rsid w:val="00C409DC"/>
    <w:rsid w:val="00C41498"/>
    <w:rsid w:val="00C4253B"/>
    <w:rsid w:val="00C426D2"/>
    <w:rsid w:val="00C42CA0"/>
    <w:rsid w:val="00C42E1F"/>
    <w:rsid w:val="00C43551"/>
    <w:rsid w:val="00C43ABF"/>
    <w:rsid w:val="00C43D1A"/>
    <w:rsid w:val="00C43FC9"/>
    <w:rsid w:val="00C44918"/>
    <w:rsid w:val="00C45EB5"/>
    <w:rsid w:val="00C467AB"/>
    <w:rsid w:val="00C46957"/>
    <w:rsid w:val="00C46B18"/>
    <w:rsid w:val="00C46D99"/>
    <w:rsid w:val="00C47102"/>
    <w:rsid w:val="00C47256"/>
    <w:rsid w:val="00C474D1"/>
    <w:rsid w:val="00C50803"/>
    <w:rsid w:val="00C50E81"/>
    <w:rsid w:val="00C519B4"/>
    <w:rsid w:val="00C51EC3"/>
    <w:rsid w:val="00C527C3"/>
    <w:rsid w:val="00C52E6B"/>
    <w:rsid w:val="00C53168"/>
    <w:rsid w:val="00C538AB"/>
    <w:rsid w:val="00C53B5B"/>
    <w:rsid w:val="00C53DB7"/>
    <w:rsid w:val="00C5492F"/>
    <w:rsid w:val="00C5498C"/>
    <w:rsid w:val="00C55C68"/>
    <w:rsid w:val="00C55E67"/>
    <w:rsid w:val="00C5699F"/>
    <w:rsid w:val="00C56CF7"/>
    <w:rsid w:val="00C56DB6"/>
    <w:rsid w:val="00C57EED"/>
    <w:rsid w:val="00C606E4"/>
    <w:rsid w:val="00C60E6A"/>
    <w:rsid w:val="00C6105A"/>
    <w:rsid w:val="00C610F5"/>
    <w:rsid w:val="00C618A9"/>
    <w:rsid w:val="00C62A72"/>
    <w:rsid w:val="00C63288"/>
    <w:rsid w:val="00C6365B"/>
    <w:rsid w:val="00C639A2"/>
    <w:rsid w:val="00C63A26"/>
    <w:rsid w:val="00C63DD7"/>
    <w:rsid w:val="00C63F00"/>
    <w:rsid w:val="00C63F22"/>
    <w:rsid w:val="00C63FB4"/>
    <w:rsid w:val="00C645C2"/>
    <w:rsid w:val="00C645C5"/>
    <w:rsid w:val="00C64816"/>
    <w:rsid w:val="00C64C91"/>
    <w:rsid w:val="00C64EBF"/>
    <w:rsid w:val="00C65339"/>
    <w:rsid w:val="00C6669C"/>
    <w:rsid w:val="00C66B12"/>
    <w:rsid w:val="00C67298"/>
    <w:rsid w:val="00C67825"/>
    <w:rsid w:val="00C67A25"/>
    <w:rsid w:val="00C67B3E"/>
    <w:rsid w:val="00C70351"/>
    <w:rsid w:val="00C70427"/>
    <w:rsid w:val="00C70471"/>
    <w:rsid w:val="00C70989"/>
    <w:rsid w:val="00C714E2"/>
    <w:rsid w:val="00C7165B"/>
    <w:rsid w:val="00C71A30"/>
    <w:rsid w:val="00C71DC5"/>
    <w:rsid w:val="00C7220B"/>
    <w:rsid w:val="00C72955"/>
    <w:rsid w:val="00C73A2D"/>
    <w:rsid w:val="00C746CA"/>
    <w:rsid w:val="00C74805"/>
    <w:rsid w:val="00C7487B"/>
    <w:rsid w:val="00C755C6"/>
    <w:rsid w:val="00C755EA"/>
    <w:rsid w:val="00C75866"/>
    <w:rsid w:val="00C763EC"/>
    <w:rsid w:val="00C76AE2"/>
    <w:rsid w:val="00C76F28"/>
    <w:rsid w:val="00C77861"/>
    <w:rsid w:val="00C77AF9"/>
    <w:rsid w:val="00C8075B"/>
    <w:rsid w:val="00C80BD4"/>
    <w:rsid w:val="00C80C48"/>
    <w:rsid w:val="00C80F26"/>
    <w:rsid w:val="00C81235"/>
    <w:rsid w:val="00C814ED"/>
    <w:rsid w:val="00C8192E"/>
    <w:rsid w:val="00C819B4"/>
    <w:rsid w:val="00C81E4A"/>
    <w:rsid w:val="00C820F2"/>
    <w:rsid w:val="00C8255E"/>
    <w:rsid w:val="00C83083"/>
    <w:rsid w:val="00C8342C"/>
    <w:rsid w:val="00C837A5"/>
    <w:rsid w:val="00C83D81"/>
    <w:rsid w:val="00C840E2"/>
    <w:rsid w:val="00C843CB"/>
    <w:rsid w:val="00C85090"/>
    <w:rsid w:val="00C85FD8"/>
    <w:rsid w:val="00C860AE"/>
    <w:rsid w:val="00C8672C"/>
    <w:rsid w:val="00C86A7A"/>
    <w:rsid w:val="00C872B1"/>
    <w:rsid w:val="00C8743D"/>
    <w:rsid w:val="00C87929"/>
    <w:rsid w:val="00C906F1"/>
    <w:rsid w:val="00C9123B"/>
    <w:rsid w:val="00C91DED"/>
    <w:rsid w:val="00C91F06"/>
    <w:rsid w:val="00C92583"/>
    <w:rsid w:val="00C92ACE"/>
    <w:rsid w:val="00C92C7D"/>
    <w:rsid w:val="00C93A08"/>
    <w:rsid w:val="00C93C15"/>
    <w:rsid w:val="00C94401"/>
    <w:rsid w:val="00C94450"/>
    <w:rsid w:val="00C95161"/>
    <w:rsid w:val="00C9747D"/>
    <w:rsid w:val="00C9747E"/>
    <w:rsid w:val="00C97541"/>
    <w:rsid w:val="00C97660"/>
    <w:rsid w:val="00C97906"/>
    <w:rsid w:val="00C979DE"/>
    <w:rsid w:val="00C97BF6"/>
    <w:rsid w:val="00C97D86"/>
    <w:rsid w:val="00CA0225"/>
    <w:rsid w:val="00CA0366"/>
    <w:rsid w:val="00CA0D11"/>
    <w:rsid w:val="00CA1466"/>
    <w:rsid w:val="00CA187D"/>
    <w:rsid w:val="00CA1A0E"/>
    <w:rsid w:val="00CA20F0"/>
    <w:rsid w:val="00CA23B6"/>
    <w:rsid w:val="00CA2794"/>
    <w:rsid w:val="00CA2910"/>
    <w:rsid w:val="00CA2973"/>
    <w:rsid w:val="00CA2BC9"/>
    <w:rsid w:val="00CA2BDE"/>
    <w:rsid w:val="00CA2C3B"/>
    <w:rsid w:val="00CA2FFD"/>
    <w:rsid w:val="00CA3672"/>
    <w:rsid w:val="00CA3DA1"/>
    <w:rsid w:val="00CA3FE1"/>
    <w:rsid w:val="00CA45EE"/>
    <w:rsid w:val="00CA4D25"/>
    <w:rsid w:val="00CA6E0D"/>
    <w:rsid w:val="00CA7B87"/>
    <w:rsid w:val="00CB0125"/>
    <w:rsid w:val="00CB01A4"/>
    <w:rsid w:val="00CB07DF"/>
    <w:rsid w:val="00CB0AF8"/>
    <w:rsid w:val="00CB0F37"/>
    <w:rsid w:val="00CB1191"/>
    <w:rsid w:val="00CB122B"/>
    <w:rsid w:val="00CB1A88"/>
    <w:rsid w:val="00CB279D"/>
    <w:rsid w:val="00CB284D"/>
    <w:rsid w:val="00CB2AAA"/>
    <w:rsid w:val="00CB3003"/>
    <w:rsid w:val="00CB37F5"/>
    <w:rsid w:val="00CB3FF2"/>
    <w:rsid w:val="00CB4276"/>
    <w:rsid w:val="00CB4427"/>
    <w:rsid w:val="00CB4597"/>
    <w:rsid w:val="00CB4697"/>
    <w:rsid w:val="00CB4803"/>
    <w:rsid w:val="00CB494F"/>
    <w:rsid w:val="00CB4CA2"/>
    <w:rsid w:val="00CB506A"/>
    <w:rsid w:val="00CB51C9"/>
    <w:rsid w:val="00CB59E1"/>
    <w:rsid w:val="00CB5CCB"/>
    <w:rsid w:val="00CB66BE"/>
    <w:rsid w:val="00CB7119"/>
    <w:rsid w:val="00CB76EF"/>
    <w:rsid w:val="00CB7CB8"/>
    <w:rsid w:val="00CC023E"/>
    <w:rsid w:val="00CC0B73"/>
    <w:rsid w:val="00CC0D12"/>
    <w:rsid w:val="00CC0F4C"/>
    <w:rsid w:val="00CC1471"/>
    <w:rsid w:val="00CC1507"/>
    <w:rsid w:val="00CC1528"/>
    <w:rsid w:val="00CC1DC5"/>
    <w:rsid w:val="00CC25B5"/>
    <w:rsid w:val="00CC2CDA"/>
    <w:rsid w:val="00CC2D33"/>
    <w:rsid w:val="00CC3233"/>
    <w:rsid w:val="00CC44D7"/>
    <w:rsid w:val="00CC48C4"/>
    <w:rsid w:val="00CC50D4"/>
    <w:rsid w:val="00CC51F9"/>
    <w:rsid w:val="00CC52C6"/>
    <w:rsid w:val="00CC5443"/>
    <w:rsid w:val="00CC5894"/>
    <w:rsid w:val="00CC5986"/>
    <w:rsid w:val="00CC5DD3"/>
    <w:rsid w:val="00CC61B2"/>
    <w:rsid w:val="00CC67EE"/>
    <w:rsid w:val="00CC6B57"/>
    <w:rsid w:val="00CC70B0"/>
    <w:rsid w:val="00CC7341"/>
    <w:rsid w:val="00CC76C1"/>
    <w:rsid w:val="00CD026F"/>
    <w:rsid w:val="00CD098D"/>
    <w:rsid w:val="00CD0B6D"/>
    <w:rsid w:val="00CD0E18"/>
    <w:rsid w:val="00CD16E6"/>
    <w:rsid w:val="00CD2A83"/>
    <w:rsid w:val="00CD2CB0"/>
    <w:rsid w:val="00CD3825"/>
    <w:rsid w:val="00CD4BD0"/>
    <w:rsid w:val="00CD4E2C"/>
    <w:rsid w:val="00CD52F1"/>
    <w:rsid w:val="00CD539F"/>
    <w:rsid w:val="00CD5D95"/>
    <w:rsid w:val="00CD7324"/>
    <w:rsid w:val="00CD7330"/>
    <w:rsid w:val="00CD7E06"/>
    <w:rsid w:val="00CD7F02"/>
    <w:rsid w:val="00CE25A4"/>
    <w:rsid w:val="00CE2F9C"/>
    <w:rsid w:val="00CE3BFF"/>
    <w:rsid w:val="00CE3DFD"/>
    <w:rsid w:val="00CE3F6B"/>
    <w:rsid w:val="00CE42A7"/>
    <w:rsid w:val="00CE4C05"/>
    <w:rsid w:val="00CE513F"/>
    <w:rsid w:val="00CE592D"/>
    <w:rsid w:val="00CE5BCF"/>
    <w:rsid w:val="00CE5CC5"/>
    <w:rsid w:val="00CE6C74"/>
    <w:rsid w:val="00CE6E00"/>
    <w:rsid w:val="00CE7317"/>
    <w:rsid w:val="00CE74CF"/>
    <w:rsid w:val="00CE7698"/>
    <w:rsid w:val="00CE77E9"/>
    <w:rsid w:val="00CE78EC"/>
    <w:rsid w:val="00CF0201"/>
    <w:rsid w:val="00CF03AF"/>
    <w:rsid w:val="00CF0402"/>
    <w:rsid w:val="00CF0D15"/>
    <w:rsid w:val="00CF0F58"/>
    <w:rsid w:val="00CF10EB"/>
    <w:rsid w:val="00CF17C2"/>
    <w:rsid w:val="00CF2177"/>
    <w:rsid w:val="00CF2956"/>
    <w:rsid w:val="00CF2A90"/>
    <w:rsid w:val="00CF3102"/>
    <w:rsid w:val="00CF3A2A"/>
    <w:rsid w:val="00CF3D0B"/>
    <w:rsid w:val="00CF4448"/>
    <w:rsid w:val="00CF45BD"/>
    <w:rsid w:val="00CF4F2A"/>
    <w:rsid w:val="00CF51D8"/>
    <w:rsid w:val="00CF54DD"/>
    <w:rsid w:val="00CF5DC1"/>
    <w:rsid w:val="00CF68ED"/>
    <w:rsid w:val="00CF6BCD"/>
    <w:rsid w:val="00CF7559"/>
    <w:rsid w:val="00CF75BB"/>
    <w:rsid w:val="00CF7825"/>
    <w:rsid w:val="00D0016D"/>
    <w:rsid w:val="00D0032F"/>
    <w:rsid w:val="00D00C3F"/>
    <w:rsid w:val="00D0190A"/>
    <w:rsid w:val="00D01FDB"/>
    <w:rsid w:val="00D0228D"/>
    <w:rsid w:val="00D02D9A"/>
    <w:rsid w:val="00D038DB"/>
    <w:rsid w:val="00D03AF7"/>
    <w:rsid w:val="00D03C63"/>
    <w:rsid w:val="00D04172"/>
    <w:rsid w:val="00D04722"/>
    <w:rsid w:val="00D04BBA"/>
    <w:rsid w:val="00D04F27"/>
    <w:rsid w:val="00D054CE"/>
    <w:rsid w:val="00D05DE1"/>
    <w:rsid w:val="00D05EAA"/>
    <w:rsid w:val="00D05F3C"/>
    <w:rsid w:val="00D06A28"/>
    <w:rsid w:val="00D06AC6"/>
    <w:rsid w:val="00D07395"/>
    <w:rsid w:val="00D0763C"/>
    <w:rsid w:val="00D07A35"/>
    <w:rsid w:val="00D102D1"/>
    <w:rsid w:val="00D10E5F"/>
    <w:rsid w:val="00D11353"/>
    <w:rsid w:val="00D113E7"/>
    <w:rsid w:val="00D11EC6"/>
    <w:rsid w:val="00D12572"/>
    <w:rsid w:val="00D127C0"/>
    <w:rsid w:val="00D129EE"/>
    <w:rsid w:val="00D12B04"/>
    <w:rsid w:val="00D133B7"/>
    <w:rsid w:val="00D13B74"/>
    <w:rsid w:val="00D13DA0"/>
    <w:rsid w:val="00D14CB5"/>
    <w:rsid w:val="00D1510B"/>
    <w:rsid w:val="00D1559B"/>
    <w:rsid w:val="00D15DC9"/>
    <w:rsid w:val="00D1721B"/>
    <w:rsid w:val="00D21D03"/>
    <w:rsid w:val="00D226E7"/>
    <w:rsid w:val="00D22A93"/>
    <w:rsid w:val="00D22D9B"/>
    <w:rsid w:val="00D23762"/>
    <w:rsid w:val="00D23C32"/>
    <w:rsid w:val="00D23EFC"/>
    <w:rsid w:val="00D24456"/>
    <w:rsid w:val="00D24559"/>
    <w:rsid w:val="00D245D3"/>
    <w:rsid w:val="00D25EFA"/>
    <w:rsid w:val="00D25FDF"/>
    <w:rsid w:val="00D2612A"/>
    <w:rsid w:val="00D26A7F"/>
    <w:rsid w:val="00D27526"/>
    <w:rsid w:val="00D27959"/>
    <w:rsid w:val="00D27AE6"/>
    <w:rsid w:val="00D31382"/>
    <w:rsid w:val="00D31A1C"/>
    <w:rsid w:val="00D31E08"/>
    <w:rsid w:val="00D31F83"/>
    <w:rsid w:val="00D32051"/>
    <w:rsid w:val="00D323DC"/>
    <w:rsid w:val="00D32572"/>
    <w:rsid w:val="00D32AAE"/>
    <w:rsid w:val="00D32E82"/>
    <w:rsid w:val="00D335CA"/>
    <w:rsid w:val="00D340DF"/>
    <w:rsid w:val="00D34CBB"/>
    <w:rsid w:val="00D354D4"/>
    <w:rsid w:val="00D35750"/>
    <w:rsid w:val="00D35C04"/>
    <w:rsid w:val="00D35D61"/>
    <w:rsid w:val="00D35D83"/>
    <w:rsid w:val="00D36009"/>
    <w:rsid w:val="00D36C78"/>
    <w:rsid w:val="00D36CF9"/>
    <w:rsid w:val="00D37482"/>
    <w:rsid w:val="00D374DB"/>
    <w:rsid w:val="00D402A8"/>
    <w:rsid w:val="00D407E6"/>
    <w:rsid w:val="00D408D5"/>
    <w:rsid w:val="00D40C91"/>
    <w:rsid w:val="00D40FAC"/>
    <w:rsid w:val="00D4101C"/>
    <w:rsid w:val="00D41053"/>
    <w:rsid w:val="00D41C49"/>
    <w:rsid w:val="00D422E9"/>
    <w:rsid w:val="00D4250C"/>
    <w:rsid w:val="00D42D9A"/>
    <w:rsid w:val="00D43760"/>
    <w:rsid w:val="00D4390E"/>
    <w:rsid w:val="00D43DFD"/>
    <w:rsid w:val="00D45043"/>
    <w:rsid w:val="00D455ED"/>
    <w:rsid w:val="00D459D8"/>
    <w:rsid w:val="00D45CA4"/>
    <w:rsid w:val="00D464F8"/>
    <w:rsid w:val="00D46688"/>
    <w:rsid w:val="00D46D2A"/>
    <w:rsid w:val="00D4756F"/>
    <w:rsid w:val="00D47723"/>
    <w:rsid w:val="00D477E2"/>
    <w:rsid w:val="00D47A0A"/>
    <w:rsid w:val="00D47AC5"/>
    <w:rsid w:val="00D47F62"/>
    <w:rsid w:val="00D50E87"/>
    <w:rsid w:val="00D50EA2"/>
    <w:rsid w:val="00D51519"/>
    <w:rsid w:val="00D519E8"/>
    <w:rsid w:val="00D51C34"/>
    <w:rsid w:val="00D528B3"/>
    <w:rsid w:val="00D52F31"/>
    <w:rsid w:val="00D5342D"/>
    <w:rsid w:val="00D5408B"/>
    <w:rsid w:val="00D540B0"/>
    <w:rsid w:val="00D54B34"/>
    <w:rsid w:val="00D5556F"/>
    <w:rsid w:val="00D55BBC"/>
    <w:rsid w:val="00D55C51"/>
    <w:rsid w:val="00D56D60"/>
    <w:rsid w:val="00D56E83"/>
    <w:rsid w:val="00D56F92"/>
    <w:rsid w:val="00D57119"/>
    <w:rsid w:val="00D57844"/>
    <w:rsid w:val="00D5795B"/>
    <w:rsid w:val="00D57C07"/>
    <w:rsid w:val="00D60070"/>
    <w:rsid w:val="00D60316"/>
    <w:rsid w:val="00D61F6E"/>
    <w:rsid w:val="00D62171"/>
    <w:rsid w:val="00D62E4B"/>
    <w:rsid w:val="00D6376D"/>
    <w:rsid w:val="00D646EE"/>
    <w:rsid w:val="00D64A72"/>
    <w:rsid w:val="00D651FC"/>
    <w:rsid w:val="00D65583"/>
    <w:rsid w:val="00D657D9"/>
    <w:rsid w:val="00D659C4"/>
    <w:rsid w:val="00D65BE5"/>
    <w:rsid w:val="00D66181"/>
    <w:rsid w:val="00D66328"/>
    <w:rsid w:val="00D66AB6"/>
    <w:rsid w:val="00D66E14"/>
    <w:rsid w:val="00D677DF"/>
    <w:rsid w:val="00D679B2"/>
    <w:rsid w:val="00D67D8A"/>
    <w:rsid w:val="00D67F8D"/>
    <w:rsid w:val="00D7010C"/>
    <w:rsid w:val="00D7063C"/>
    <w:rsid w:val="00D71B89"/>
    <w:rsid w:val="00D71D51"/>
    <w:rsid w:val="00D7247B"/>
    <w:rsid w:val="00D72ADD"/>
    <w:rsid w:val="00D72C7C"/>
    <w:rsid w:val="00D7332D"/>
    <w:rsid w:val="00D73333"/>
    <w:rsid w:val="00D7434B"/>
    <w:rsid w:val="00D74815"/>
    <w:rsid w:val="00D75C1F"/>
    <w:rsid w:val="00D75EA9"/>
    <w:rsid w:val="00D760E3"/>
    <w:rsid w:val="00D76390"/>
    <w:rsid w:val="00D767AA"/>
    <w:rsid w:val="00D775B7"/>
    <w:rsid w:val="00D7798B"/>
    <w:rsid w:val="00D802E2"/>
    <w:rsid w:val="00D805F4"/>
    <w:rsid w:val="00D80930"/>
    <w:rsid w:val="00D80A9B"/>
    <w:rsid w:val="00D810CB"/>
    <w:rsid w:val="00D8168C"/>
    <w:rsid w:val="00D819C6"/>
    <w:rsid w:val="00D81A68"/>
    <w:rsid w:val="00D81C0B"/>
    <w:rsid w:val="00D82482"/>
    <w:rsid w:val="00D8250F"/>
    <w:rsid w:val="00D825EB"/>
    <w:rsid w:val="00D8316E"/>
    <w:rsid w:val="00D83617"/>
    <w:rsid w:val="00D838CD"/>
    <w:rsid w:val="00D83D1A"/>
    <w:rsid w:val="00D8422B"/>
    <w:rsid w:val="00D84441"/>
    <w:rsid w:val="00D84DCF"/>
    <w:rsid w:val="00D85339"/>
    <w:rsid w:val="00D855FB"/>
    <w:rsid w:val="00D85F07"/>
    <w:rsid w:val="00D861C1"/>
    <w:rsid w:val="00D86431"/>
    <w:rsid w:val="00D869C6"/>
    <w:rsid w:val="00D86B35"/>
    <w:rsid w:val="00D90255"/>
    <w:rsid w:val="00D90B12"/>
    <w:rsid w:val="00D916B9"/>
    <w:rsid w:val="00D91F90"/>
    <w:rsid w:val="00D92441"/>
    <w:rsid w:val="00D92A52"/>
    <w:rsid w:val="00D9465A"/>
    <w:rsid w:val="00D9487B"/>
    <w:rsid w:val="00D94DF1"/>
    <w:rsid w:val="00D951DC"/>
    <w:rsid w:val="00D952CD"/>
    <w:rsid w:val="00D955F1"/>
    <w:rsid w:val="00D95C6F"/>
    <w:rsid w:val="00D95DE4"/>
    <w:rsid w:val="00D9617E"/>
    <w:rsid w:val="00D963D9"/>
    <w:rsid w:val="00D965BC"/>
    <w:rsid w:val="00D96A45"/>
    <w:rsid w:val="00D96F1E"/>
    <w:rsid w:val="00D96F25"/>
    <w:rsid w:val="00D97132"/>
    <w:rsid w:val="00D977AE"/>
    <w:rsid w:val="00D979FD"/>
    <w:rsid w:val="00D97C93"/>
    <w:rsid w:val="00DA04B6"/>
    <w:rsid w:val="00DA0572"/>
    <w:rsid w:val="00DA0639"/>
    <w:rsid w:val="00DA064A"/>
    <w:rsid w:val="00DA06E5"/>
    <w:rsid w:val="00DA0720"/>
    <w:rsid w:val="00DA0E78"/>
    <w:rsid w:val="00DA0ED6"/>
    <w:rsid w:val="00DA1151"/>
    <w:rsid w:val="00DA1469"/>
    <w:rsid w:val="00DA1CDD"/>
    <w:rsid w:val="00DA2080"/>
    <w:rsid w:val="00DA20E8"/>
    <w:rsid w:val="00DA273D"/>
    <w:rsid w:val="00DA27F9"/>
    <w:rsid w:val="00DA28F6"/>
    <w:rsid w:val="00DA457B"/>
    <w:rsid w:val="00DA45EF"/>
    <w:rsid w:val="00DA4B3D"/>
    <w:rsid w:val="00DA6B4E"/>
    <w:rsid w:val="00DA7227"/>
    <w:rsid w:val="00DA7465"/>
    <w:rsid w:val="00DA7B05"/>
    <w:rsid w:val="00DA7C0B"/>
    <w:rsid w:val="00DB030B"/>
    <w:rsid w:val="00DB05E9"/>
    <w:rsid w:val="00DB13D4"/>
    <w:rsid w:val="00DB1801"/>
    <w:rsid w:val="00DB22FA"/>
    <w:rsid w:val="00DB237A"/>
    <w:rsid w:val="00DB2B66"/>
    <w:rsid w:val="00DB2FEB"/>
    <w:rsid w:val="00DB317C"/>
    <w:rsid w:val="00DB349A"/>
    <w:rsid w:val="00DB3A80"/>
    <w:rsid w:val="00DB4423"/>
    <w:rsid w:val="00DB4754"/>
    <w:rsid w:val="00DB555C"/>
    <w:rsid w:val="00DB557F"/>
    <w:rsid w:val="00DB5A0F"/>
    <w:rsid w:val="00DB5FAD"/>
    <w:rsid w:val="00DB605C"/>
    <w:rsid w:val="00DB63EF"/>
    <w:rsid w:val="00DC02AB"/>
    <w:rsid w:val="00DC0B02"/>
    <w:rsid w:val="00DC171E"/>
    <w:rsid w:val="00DC25B7"/>
    <w:rsid w:val="00DC2688"/>
    <w:rsid w:val="00DC2B0A"/>
    <w:rsid w:val="00DC2DE8"/>
    <w:rsid w:val="00DC4089"/>
    <w:rsid w:val="00DC46B5"/>
    <w:rsid w:val="00DC4806"/>
    <w:rsid w:val="00DC4AE6"/>
    <w:rsid w:val="00DC566A"/>
    <w:rsid w:val="00DC5A4C"/>
    <w:rsid w:val="00DC6EDA"/>
    <w:rsid w:val="00DC7012"/>
    <w:rsid w:val="00DC7719"/>
    <w:rsid w:val="00DC77B9"/>
    <w:rsid w:val="00DC783F"/>
    <w:rsid w:val="00DC7B90"/>
    <w:rsid w:val="00DC7FA2"/>
    <w:rsid w:val="00DD027F"/>
    <w:rsid w:val="00DD0E83"/>
    <w:rsid w:val="00DD1732"/>
    <w:rsid w:val="00DD1E99"/>
    <w:rsid w:val="00DD2451"/>
    <w:rsid w:val="00DD313E"/>
    <w:rsid w:val="00DD3954"/>
    <w:rsid w:val="00DD3975"/>
    <w:rsid w:val="00DD408A"/>
    <w:rsid w:val="00DD4A5F"/>
    <w:rsid w:val="00DD5257"/>
    <w:rsid w:val="00DD5409"/>
    <w:rsid w:val="00DD6912"/>
    <w:rsid w:val="00DD6EF6"/>
    <w:rsid w:val="00DD7AB4"/>
    <w:rsid w:val="00DE0265"/>
    <w:rsid w:val="00DE0C7C"/>
    <w:rsid w:val="00DE0EDF"/>
    <w:rsid w:val="00DE0EE4"/>
    <w:rsid w:val="00DE180B"/>
    <w:rsid w:val="00DE207E"/>
    <w:rsid w:val="00DE3190"/>
    <w:rsid w:val="00DE3926"/>
    <w:rsid w:val="00DE3A7B"/>
    <w:rsid w:val="00DE4580"/>
    <w:rsid w:val="00DE48DF"/>
    <w:rsid w:val="00DE5249"/>
    <w:rsid w:val="00DE5C91"/>
    <w:rsid w:val="00DE5F72"/>
    <w:rsid w:val="00DE6965"/>
    <w:rsid w:val="00DE6EF1"/>
    <w:rsid w:val="00DE737A"/>
    <w:rsid w:val="00DE77B1"/>
    <w:rsid w:val="00DE7F85"/>
    <w:rsid w:val="00DF09F9"/>
    <w:rsid w:val="00DF0A97"/>
    <w:rsid w:val="00DF109D"/>
    <w:rsid w:val="00DF131D"/>
    <w:rsid w:val="00DF166B"/>
    <w:rsid w:val="00DF1778"/>
    <w:rsid w:val="00DF1D01"/>
    <w:rsid w:val="00DF1D6C"/>
    <w:rsid w:val="00DF209D"/>
    <w:rsid w:val="00DF268B"/>
    <w:rsid w:val="00DF2B50"/>
    <w:rsid w:val="00DF2F83"/>
    <w:rsid w:val="00DF3760"/>
    <w:rsid w:val="00DF45BB"/>
    <w:rsid w:val="00DF46DF"/>
    <w:rsid w:val="00DF4B25"/>
    <w:rsid w:val="00DF4C1E"/>
    <w:rsid w:val="00DF4F39"/>
    <w:rsid w:val="00DF504D"/>
    <w:rsid w:val="00DF530A"/>
    <w:rsid w:val="00DF5554"/>
    <w:rsid w:val="00DF5BD3"/>
    <w:rsid w:val="00DF613F"/>
    <w:rsid w:val="00DF637B"/>
    <w:rsid w:val="00DF6462"/>
    <w:rsid w:val="00DF6816"/>
    <w:rsid w:val="00DF6859"/>
    <w:rsid w:val="00DF6979"/>
    <w:rsid w:val="00DF737A"/>
    <w:rsid w:val="00DF7E7A"/>
    <w:rsid w:val="00E002CF"/>
    <w:rsid w:val="00E0037E"/>
    <w:rsid w:val="00E004C8"/>
    <w:rsid w:val="00E00502"/>
    <w:rsid w:val="00E00692"/>
    <w:rsid w:val="00E00976"/>
    <w:rsid w:val="00E00B3F"/>
    <w:rsid w:val="00E00CD4"/>
    <w:rsid w:val="00E01B12"/>
    <w:rsid w:val="00E01CB8"/>
    <w:rsid w:val="00E01E12"/>
    <w:rsid w:val="00E02281"/>
    <w:rsid w:val="00E0245C"/>
    <w:rsid w:val="00E0295E"/>
    <w:rsid w:val="00E02B5F"/>
    <w:rsid w:val="00E02FA4"/>
    <w:rsid w:val="00E02FDC"/>
    <w:rsid w:val="00E031EA"/>
    <w:rsid w:val="00E031EB"/>
    <w:rsid w:val="00E0329B"/>
    <w:rsid w:val="00E035F2"/>
    <w:rsid w:val="00E03C7A"/>
    <w:rsid w:val="00E040EF"/>
    <w:rsid w:val="00E0439D"/>
    <w:rsid w:val="00E0474E"/>
    <w:rsid w:val="00E04F8E"/>
    <w:rsid w:val="00E057AC"/>
    <w:rsid w:val="00E05DF7"/>
    <w:rsid w:val="00E0665C"/>
    <w:rsid w:val="00E06825"/>
    <w:rsid w:val="00E06DA4"/>
    <w:rsid w:val="00E076B0"/>
    <w:rsid w:val="00E1047F"/>
    <w:rsid w:val="00E110BD"/>
    <w:rsid w:val="00E111E4"/>
    <w:rsid w:val="00E111F2"/>
    <w:rsid w:val="00E11FA9"/>
    <w:rsid w:val="00E12271"/>
    <w:rsid w:val="00E12D36"/>
    <w:rsid w:val="00E13186"/>
    <w:rsid w:val="00E1338C"/>
    <w:rsid w:val="00E13EC7"/>
    <w:rsid w:val="00E14C13"/>
    <w:rsid w:val="00E14FD3"/>
    <w:rsid w:val="00E15512"/>
    <w:rsid w:val="00E15890"/>
    <w:rsid w:val="00E15B17"/>
    <w:rsid w:val="00E15BB4"/>
    <w:rsid w:val="00E165A2"/>
    <w:rsid w:val="00E16637"/>
    <w:rsid w:val="00E1696D"/>
    <w:rsid w:val="00E1736E"/>
    <w:rsid w:val="00E174CC"/>
    <w:rsid w:val="00E17FF6"/>
    <w:rsid w:val="00E202FD"/>
    <w:rsid w:val="00E2079B"/>
    <w:rsid w:val="00E209A8"/>
    <w:rsid w:val="00E209FD"/>
    <w:rsid w:val="00E20FEC"/>
    <w:rsid w:val="00E21371"/>
    <w:rsid w:val="00E214EE"/>
    <w:rsid w:val="00E219FD"/>
    <w:rsid w:val="00E222B2"/>
    <w:rsid w:val="00E229B7"/>
    <w:rsid w:val="00E22B51"/>
    <w:rsid w:val="00E23067"/>
    <w:rsid w:val="00E2387A"/>
    <w:rsid w:val="00E23A15"/>
    <w:rsid w:val="00E241BC"/>
    <w:rsid w:val="00E24933"/>
    <w:rsid w:val="00E24A94"/>
    <w:rsid w:val="00E24EA1"/>
    <w:rsid w:val="00E25047"/>
    <w:rsid w:val="00E2519B"/>
    <w:rsid w:val="00E2557B"/>
    <w:rsid w:val="00E25890"/>
    <w:rsid w:val="00E25A07"/>
    <w:rsid w:val="00E2625B"/>
    <w:rsid w:val="00E26C36"/>
    <w:rsid w:val="00E271AE"/>
    <w:rsid w:val="00E30AD0"/>
    <w:rsid w:val="00E30B73"/>
    <w:rsid w:val="00E30D3E"/>
    <w:rsid w:val="00E3131D"/>
    <w:rsid w:val="00E314CC"/>
    <w:rsid w:val="00E31624"/>
    <w:rsid w:val="00E316C4"/>
    <w:rsid w:val="00E31963"/>
    <w:rsid w:val="00E319ED"/>
    <w:rsid w:val="00E31CA2"/>
    <w:rsid w:val="00E31DA2"/>
    <w:rsid w:val="00E32460"/>
    <w:rsid w:val="00E325F6"/>
    <w:rsid w:val="00E32E3E"/>
    <w:rsid w:val="00E3359A"/>
    <w:rsid w:val="00E33760"/>
    <w:rsid w:val="00E337B6"/>
    <w:rsid w:val="00E33A5F"/>
    <w:rsid w:val="00E343EE"/>
    <w:rsid w:val="00E34711"/>
    <w:rsid w:val="00E34907"/>
    <w:rsid w:val="00E34D34"/>
    <w:rsid w:val="00E35054"/>
    <w:rsid w:val="00E35A6B"/>
    <w:rsid w:val="00E35AE6"/>
    <w:rsid w:val="00E35C8C"/>
    <w:rsid w:val="00E35F3B"/>
    <w:rsid w:val="00E3642F"/>
    <w:rsid w:val="00E36AEE"/>
    <w:rsid w:val="00E36FFE"/>
    <w:rsid w:val="00E37293"/>
    <w:rsid w:val="00E3762B"/>
    <w:rsid w:val="00E3787C"/>
    <w:rsid w:val="00E37EEB"/>
    <w:rsid w:val="00E40334"/>
    <w:rsid w:val="00E4036F"/>
    <w:rsid w:val="00E406BD"/>
    <w:rsid w:val="00E40B32"/>
    <w:rsid w:val="00E4128D"/>
    <w:rsid w:val="00E419E6"/>
    <w:rsid w:val="00E41DAA"/>
    <w:rsid w:val="00E42A12"/>
    <w:rsid w:val="00E43016"/>
    <w:rsid w:val="00E434D5"/>
    <w:rsid w:val="00E4386D"/>
    <w:rsid w:val="00E43A41"/>
    <w:rsid w:val="00E44430"/>
    <w:rsid w:val="00E444D2"/>
    <w:rsid w:val="00E45637"/>
    <w:rsid w:val="00E45BCD"/>
    <w:rsid w:val="00E45C38"/>
    <w:rsid w:val="00E46019"/>
    <w:rsid w:val="00E461C9"/>
    <w:rsid w:val="00E46776"/>
    <w:rsid w:val="00E46A3E"/>
    <w:rsid w:val="00E46ADC"/>
    <w:rsid w:val="00E46B63"/>
    <w:rsid w:val="00E47295"/>
    <w:rsid w:val="00E4754B"/>
    <w:rsid w:val="00E47DB5"/>
    <w:rsid w:val="00E5089C"/>
    <w:rsid w:val="00E50991"/>
    <w:rsid w:val="00E515E1"/>
    <w:rsid w:val="00E51C5B"/>
    <w:rsid w:val="00E51DA4"/>
    <w:rsid w:val="00E51DFF"/>
    <w:rsid w:val="00E51E45"/>
    <w:rsid w:val="00E5250C"/>
    <w:rsid w:val="00E52842"/>
    <w:rsid w:val="00E52CAD"/>
    <w:rsid w:val="00E52F96"/>
    <w:rsid w:val="00E53225"/>
    <w:rsid w:val="00E53E4C"/>
    <w:rsid w:val="00E544ED"/>
    <w:rsid w:val="00E546BA"/>
    <w:rsid w:val="00E550D5"/>
    <w:rsid w:val="00E5514C"/>
    <w:rsid w:val="00E55E7F"/>
    <w:rsid w:val="00E563B0"/>
    <w:rsid w:val="00E56BC9"/>
    <w:rsid w:val="00E56CEF"/>
    <w:rsid w:val="00E56D2E"/>
    <w:rsid w:val="00E5710E"/>
    <w:rsid w:val="00E57812"/>
    <w:rsid w:val="00E601A5"/>
    <w:rsid w:val="00E60BC6"/>
    <w:rsid w:val="00E60F6C"/>
    <w:rsid w:val="00E60FB0"/>
    <w:rsid w:val="00E610C4"/>
    <w:rsid w:val="00E62C38"/>
    <w:rsid w:val="00E631F2"/>
    <w:rsid w:val="00E63810"/>
    <w:rsid w:val="00E6484E"/>
    <w:rsid w:val="00E65429"/>
    <w:rsid w:val="00E65843"/>
    <w:rsid w:val="00E65982"/>
    <w:rsid w:val="00E65C1F"/>
    <w:rsid w:val="00E66327"/>
    <w:rsid w:val="00E664C4"/>
    <w:rsid w:val="00E66937"/>
    <w:rsid w:val="00E66B9F"/>
    <w:rsid w:val="00E67370"/>
    <w:rsid w:val="00E67A99"/>
    <w:rsid w:val="00E67B24"/>
    <w:rsid w:val="00E7077B"/>
    <w:rsid w:val="00E70788"/>
    <w:rsid w:val="00E70A3F"/>
    <w:rsid w:val="00E70A57"/>
    <w:rsid w:val="00E711A5"/>
    <w:rsid w:val="00E71236"/>
    <w:rsid w:val="00E7146B"/>
    <w:rsid w:val="00E7151A"/>
    <w:rsid w:val="00E7156B"/>
    <w:rsid w:val="00E71C0A"/>
    <w:rsid w:val="00E71F13"/>
    <w:rsid w:val="00E723E6"/>
    <w:rsid w:val="00E7247A"/>
    <w:rsid w:val="00E725B5"/>
    <w:rsid w:val="00E72648"/>
    <w:rsid w:val="00E72977"/>
    <w:rsid w:val="00E72E66"/>
    <w:rsid w:val="00E72F9C"/>
    <w:rsid w:val="00E73D49"/>
    <w:rsid w:val="00E73DB1"/>
    <w:rsid w:val="00E74346"/>
    <w:rsid w:val="00E74466"/>
    <w:rsid w:val="00E74710"/>
    <w:rsid w:val="00E74E45"/>
    <w:rsid w:val="00E74F8D"/>
    <w:rsid w:val="00E74FC1"/>
    <w:rsid w:val="00E750E3"/>
    <w:rsid w:val="00E75231"/>
    <w:rsid w:val="00E754C5"/>
    <w:rsid w:val="00E75B10"/>
    <w:rsid w:val="00E75D40"/>
    <w:rsid w:val="00E75E4C"/>
    <w:rsid w:val="00E7663F"/>
    <w:rsid w:val="00E768C2"/>
    <w:rsid w:val="00E76E97"/>
    <w:rsid w:val="00E7713D"/>
    <w:rsid w:val="00E7719F"/>
    <w:rsid w:val="00E77987"/>
    <w:rsid w:val="00E779B1"/>
    <w:rsid w:val="00E77CBA"/>
    <w:rsid w:val="00E821E8"/>
    <w:rsid w:val="00E821EF"/>
    <w:rsid w:val="00E827D1"/>
    <w:rsid w:val="00E8297A"/>
    <w:rsid w:val="00E82A72"/>
    <w:rsid w:val="00E8394C"/>
    <w:rsid w:val="00E8432D"/>
    <w:rsid w:val="00E84E3E"/>
    <w:rsid w:val="00E8528F"/>
    <w:rsid w:val="00E85500"/>
    <w:rsid w:val="00E8552E"/>
    <w:rsid w:val="00E85856"/>
    <w:rsid w:val="00E859AC"/>
    <w:rsid w:val="00E85C5E"/>
    <w:rsid w:val="00E85EB8"/>
    <w:rsid w:val="00E85FEA"/>
    <w:rsid w:val="00E86907"/>
    <w:rsid w:val="00E86B93"/>
    <w:rsid w:val="00E86E97"/>
    <w:rsid w:val="00E870C5"/>
    <w:rsid w:val="00E8720A"/>
    <w:rsid w:val="00E874DE"/>
    <w:rsid w:val="00E87912"/>
    <w:rsid w:val="00E90B42"/>
    <w:rsid w:val="00E90C25"/>
    <w:rsid w:val="00E90E3C"/>
    <w:rsid w:val="00E90FD7"/>
    <w:rsid w:val="00E91FEF"/>
    <w:rsid w:val="00E93214"/>
    <w:rsid w:val="00E9341F"/>
    <w:rsid w:val="00E93606"/>
    <w:rsid w:val="00E942CB"/>
    <w:rsid w:val="00E94443"/>
    <w:rsid w:val="00E950D3"/>
    <w:rsid w:val="00E95179"/>
    <w:rsid w:val="00E95899"/>
    <w:rsid w:val="00E95CE4"/>
    <w:rsid w:val="00E95DB8"/>
    <w:rsid w:val="00EA0383"/>
    <w:rsid w:val="00EA0A28"/>
    <w:rsid w:val="00EA0EF5"/>
    <w:rsid w:val="00EA10BC"/>
    <w:rsid w:val="00EA1D36"/>
    <w:rsid w:val="00EA1F2A"/>
    <w:rsid w:val="00EA2BC4"/>
    <w:rsid w:val="00EA2E85"/>
    <w:rsid w:val="00EA3FB0"/>
    <w:rsid w:val="00EA434E"/>
    <w:rsid w:val="00EA472C"/>
    <w:rsid w:val="00EA49D0"/>
    <w:rsid w:val="00EA4CBA"/>
    <w:rsid w:val="00EA4F9B"/>
    <w:rsid w:val="00EA54AC"/>
    <w:rsid w:val="00EA57D1"/>
    <w:rsid w:val="00EA5893"/>
    <w:rsid w:val="00EA5EDA"/>
    <w:rsid w:val="00EA6A6E"/>
    <w:rsid w:val="00EA7A32"/>
    <w:rsid w:val="00EA7B10"/>
    <w:rsid w:val="00EA7C9C"/>
    <w:rsid w:val="00EB03C7"/>
    <w:rsid w:val="00EB059A"/>
    <w:rsid w:val="00EB1D3D"/>
    <w:rsid w:val="00EB24EF"/>
    <w:rsid w:val="00EB26E5"/>
    <w:rsid w:val="00EB295B"/>
    <w:rsid w:val="00EB2D35"/>
    <w:rsid w:val="00EB31DE"/>
    <w:rsid w:val="00EB34B5"/>
    <w:rsid w:val="00EB38FA"/>
    <w:rsid w:val="00EB46BA"/>
    <w:rsid w:val="00EB4C87"/>
    <w:rsid w:val="00EB4D88"/>
    <w:rsid w:val="00EB5262"/>
    <w:rsid w:val="00EB54DA"/>
    <w:rsid w:val="00EB5AB4"/>
    <w:rsid w:val="00EB5CF4"/>
    <w:rsid w:val="00EB63C8"/>
    <w:rsid w:val="00EB6503"/>
    <w:rsid w:val="00EB6652"/>
    <w:rsid w:val="00EB6F39"/>
    <w:rsid w:val="00EB7418"/>
    <w:rsid w:val="00EB7588"/>
    <w:rsid w:val="00EB7699"/>
    <w:rsid w:val="00EB7836"/>
    <w:rsid w:val="00EB7CF1"/>
    <w:rsid w:val="00EB7D99"/>
    <w:rsid w:val="00EC0A09"/>
    <w:rsid w:val="00EC0D7E"/>
    <w:rsid w:val="00EC0FCA"/>
    <w:rsid w:val="00EC1504"/>
    <w:rsid w:val="00EC15B7"/>
    <w:rsid w:val="00EC1A20"/>
    <w:rsid w:val="00EC27BC"/>
    <w:rsid w:val="00EC28D5"/>
    <w:rsid w:val="00EC29E9"/>
    <w:rsid w:val="00EC2A79"/>
    <w:rsid w:val="00EC2B25"/>
    <w:rsid w:val="00EC3E89"/>
    <w:rsid w:val="00EC433F"/>
    <w:rsid w:val="00EC48AC"/>
    <w:rsid w:val="00EC4ED1"/>
    <w:rsid w:val="00EC508F"/>
    <w:rsid w:val="00EC51DC"/>
    <w:rsid w:val="00EC523D"/>
    <w:rsid w:val="00EC55AD"/>
    <w:rsid w:val="00EC5BAD"/>
    <w:rsid w:val="00EC5F63"/>
    <w:rsid w:val="00EC62E8"/>
    <w:rsid w:val="00EC63B1"/>
    <w:rsid w:val="00EC6818"/>
    <w:rsid w:val="00EC6C30"/>
    <w:rsid w:val="00EC7474"/>
    <w:rsid w:val="00EC76F5"/>
    <w:rsid w:val="00EC7C8E"/>
    <w:rsid w:val="00ED0EA4"/>
    <w:rsid w:val="00ED12C6"/>
    <w:rsid w:val="00ED161A"/>
    <w:rsid w:val="00ED19AD"/>
    <w:rsid w:val="00ED1A3B"/>
    <w:rsid w:val="00ED21F1"/>
    <w:rsid w:val="00ED2C6D"/>
    <w:rsid w:val="00ED2E08"/>
    <w:rsid w:val="00ED35E1"/>
    <w:rsid w:val="00ED457E"/>
    <w:rsid w:val="00ED5019"/>
    <w:rsid w:val="00ED53D0"/>
    <w:rsid w:val="00ED5775"/>
    <w:rsid w:val="00ED577E"/>
    <w:rsid w:val="00ED7000"/>
    <w:rsid w:val="00ED7083"/>
    <w:rsid w:val="00ED7185"/>
    <w:rsid w:val="00ED71A9"/>
    <w:rsid w:val="00ED75E3"/>
    <w:rsid w:val="00EE007D"/>
    <w:rsid w:val="00EE04A3"/>
    <w:rsid w:val="00EE0884"/>
    <w:rsid w:val="00EE0A89"/>
    <w:rsid w:val="00EE103F"/>
    <w:rsid w:val="00EE127E"/>
    <w:rsid w:val="00EE138D"/>
    <w:rsid w:val="00EE142C"/>
    <w:rsid w:val="00EE14FD"/>
    <w:rsid w:val="00EE1A2B"/>
    <w:rsid w:val="00EE1C2E"/>
    <w:rsid w:val="00EE2298"/>
    <w:rsid w:val="00EE2747"/>
    <w:rsid w:val="00EE28E0"/>
    <w:rsid w:val="00EE291E"/>
    <w:rsid w:val="00EE2A68"/>
    <w:rsid w:val="00EE2C5D"/>
    <w:rsid w:val="00EE3138"/>
    <w:rsid w:val="00EE3D74"/>
    <w:rsid w:val="00EE3E58"/>
    <w:rsid w:val="00EE4917"/>
    <w:rsid w:val="00EE4AD5"/>
    <w:rsid w:val="00EE4B1B"/>
    <w:rsid w:val="00EE5295"/>
    <w:rsid w:val="00EE52F2"/>
    <w:rsid w:val="00EE55FA"/>
    <w:rsid w:val="00EE5732"/>
    <w:rsid w:val="00EE57EB"/>
    <w:rsid w:val="00EE5F75"/>
    <w:rsid w:val="00EE6B84"/>
    <w:rsid w:val="00EE7139"/>
    <w:rsid w:val="00EE72D3"/>
    <w:rsid w:val="00EE7571"/>
    <w:rsid w:val="00EF06D5"/>
    <w:rsid w:val="00EF08B3"/>
    <w:rsid w:val="00EF0E26"/>
    <w:rsid w:val="00EF0E93"/>
    <w:rsid w:val="00EF1645"/>
    <w:rsid w:val="00EF1870"/>
    <w:rsid w:val="00EF1C16"/>
    <w:rsid w:val="00EF20B8"/>
    <w:rsid w:val="00EF32EA"/>
    <w:rsid w:val="00EF4BBE"/>
    <w:rsid w:val="00EF4C94"/>
    <w:rsid w:val="00EF50F2"/>
    <w:rsid w:val="00EF51CF"/>
    <w:rsid w:val="00EF5297"/>
    <w:rsid w:val="00EF5B40"/>
    <w:rsid w:val="00EF5C44"/>
    <w:rsid w:val="00EF6A4B"/>
    <w:rsid w:val="00EF6E80"/>
    <w:rsid w:val="00EF741E"/>
    <w:rsid w:val="00EF7537"/>
    <w:rsid w:val="00EF7D00"/>
    <w:rsid w:val="00EF7E34"/>
    <w:rsid w:val="00F0061D"/>
    <w:rsid w:val="00F0098B"/>
    <w:rsid w:val="00F01031"/>
    <w:rsid w:val="00F02074"/>
    <w:rsid w:val="00F026FF"/>
    <w:rsid w:val="00F02969"/>
    <w:rsid w:val="00F02D02"/>
    <w:rsid w:val="00F03B11"/>
    <w:rsid w:val="00F04276"/>
    <w:rsid w:val="00F042CD"/>
    <w:rsid w:val="00F042DD"/>
    <w:rsid w:val="00F04C0B"/>
    <w:rsid w:val="00F05076"/>
    <w:rsid w:val="00F05363"/>
    <w:rsid w:val="00F05C06"/>
    <w:rsid w:val="00F05FF4"/>
    <w:rsid w:val="00F0625F"/>
    <w:rsid w:val="00F06E49"/>
    <w:rsid w:val="00F074FE"/>
    <w:rsid w:val="00F07554"/>
    <w:rsid w:val="00F1028D"/>
    <w:rsid w:val="00F10F4A"/>
    <w:rsid w:val="00F10FB6"/>
    <w:rsid w:val="00F1149E"/>
    <w:rsid w:val="00F11873"/>
    <w:rsid w:val="00F11BAB"/>
    <w:rsid w:val="00F11D15"/>
    <w:rsid w:val="00F124FA"/>
    <w:rsid w:val="00F12672"/>
    <w:rsid w:val="00F12C4C"/>
    <w:rsid w:val="00F12CD3"/>
    <w:rsid w:val="00F12D82"/>
    <w:rsid w:val="00F130E8"/>
    <w:rsid w:val="00F13357"/>
    <w:rsid w:val="00F1343A"/>
    <w:rsid w:val="00F14459"/>
    <w:rsid w:val="00F14677"/>
    <w:rsid w:val="00F148F3"/>
    <w:rsid w:val="00F1495A"/>
    <w:rsid w:val="00F14A9B"/>
    <w:rsid w:val="00F14D0E"/>
    <w:rsid w:val="00F154DF"/>
    <w:rsid w:val="00F1620E"/>
    <w:rsid w:val="00F1688F"/>
    <w:rsid w:val="00F16B5C"/>
    <w:rsid w:val="00F16D90"/>
    <w:rsid w:val="00F16F1F"/>
    <w:rsid w:val="00F1706D"/>
    <w:rsid w:val="00F17B9C"/>
    <w:rsid w:val="00F2046E"/>
    <w:rsid w:val="00F20AFC"/>
    <w:rsid w:val="00F2103D"/>
    <w:rsid w:val="00F218EE"/>
    <w:rsid w:val="00F21D27"/>
    <w:rsid w:val="00F21D30"/>
    <w:rsid w:val="00F22B91"/>
    <w:rsid w:val="00F22DEC"/>
    <w:rsid w:val="00F22EA6"/>
    <w:rsid w:val="00F247F2"/>
    <w:rsid w:val="00F24A17"/>
    <w:rsid w:val="00F24A4D"/>
    <w:rsid w:val="00F24D37"/>
    <w:rsid w:val="00F24D9C"/>
    <w:rsid w:val="00F2540D"/>
    <w:rsid w:val="00F25848"/>
    <w:rsid w:val="00F259D0"/>
    <w:rsid w:val="00F25A17"/>
    <w:rsid w:val="00F25B08"/>
    <w:rsid w:val="00F25ED0"/>
    <w:rsid w:val="00F260F9"/>
    <w:rsid w:val="00F26416"/>
    <w:rsid w:val="00F2707B"/>
    <w:rsid w:val="00F274B0"/>
    <w:rsid w:val="00F27932"/>
    <w:rsid w:val="00F27C45"/>
    <w:rsid w:val="00F304C7"/>
    <w:rsid w:val="00F30743"/>
    <w:rsid w:val="00F30BE2"/>
    <w:rsid w:val="00F30F3A"/>
    <w:rsid w:val="00F311DC"/>
    <w:rsid w:val="00F319A6"/>
    <w:rsid w:val="00F31E17"/>
    <w:rsid w:val="00F31ECE"/>
    <w:rsid w:val="00F3210B"/>
    <w:rsid w:val="00F32548"/>
    <w:rsid w:val="00F32BE7"/>
    <w:rsid w:val="00F32DD7"/>
    <w:rsid w:val="00F32E3B"/>
    <w:rsid w:val="00F33ADD"/>
    <w:rsid w:val="00F33B7C"/>
    <w:rsid w:val="00F33BCA"/>
    <w:rsid w:val="00F33C5C"/>
    <w:rsid w:val="00F3592D"/>
    <w:rsid w:val="00F35B47"/>
    <w:rsid w:val="00F35CD0"/>
    <w:rsid w:val="00F36166"/>
    <w:rsid w:val="00F3680C"/>
    <w:rsid w:val="00F36F3F"/>
    <w:rsid w:val="00F37331"/>
    <w:rsid w:val="00F377DD"/>
    <w:rsid w:val="00F37871"/>
    <w:rsid w:val="00F37D8A"/>
    <w:rsid w:val="00F4037E"/>
    <w:rsid w:val="00F407B4"/>
    <w:rsid w:val="00F4090C"/>
    <w:rsid w:val="00F40D15"/>
    <w:rsid w:val="00F40D50"/>
    <w:rsid w:val="00F40F01"/>
    <w:rsid w:val="00F4113F"/>
    <w:rsid w:val="00F41824"/>
    <w:rsid w:val="00F41A0A"/>
    <w:rsid w:val="00F41FCE"/>
    <w:rsid w:val="00F422A4"/>
    <w:rsid w:val="00F4249D"/>
    <w:rsid w:val="00F42540"/>
    <w:rsid w:val="00F42E52"/>
    <w:rsid w:val="00F43D34"/>
    <w:rsid w:val="00F43F0C"/>
    <w:rsid w:val="00F4449C"/>
    <w:rsid w:val="00F4459C"/>
    <w:rsid w:val="00F4485C"/>
    <w:rsid w:val="00F44D45"/>
    <w:rsid w:val="00F4514B"/>
    <w:rsid w:val="00F458ED"/>
    <w:rsid w:val="00F46B16"/>
    <w:rsid w:val="00F46C54"/>
    <w:rsid w:val="00F46CA4"/>
    <w:rsid w:val="00F4714F"/>
    <w:rsid w:val="00F47AE6"/>
    <w:rsid w:val="00F47E05"/>
    <w:rsid w:val="00F501C6"/>
    <w:rsid w:val="00F50C41"/>
    <w:rsid w:val="00F50D6C"/>
    <w:rsid w:val="00F51C38"/>
    <w:rsid w:val="00F5203D"/>
    <w:rsid w:val="00F5221E"/>
    <w:rsid w:val="00F52B75"/>
    <w:rsid w:val="00F52FD6"/>
    <w:rsid w:val="00F53542"/>
    <w:rsid w:val="00F53BBC"/>
    <w:rsid w:val="00F54260"/>
    <w:rsid w:val="00F544B9"/>
    <w:rsid w:val="00F54F7C"/>
    <w:rsid w:val="00F54FF5"/>
    <w:rsid w:val="00F55A2D"/>
    <w:rsid w:val="00F55B04"/>
    <w:rsid w:val="00F55CF8"/>
    <w:rsid w:val="00F56903"/>
    <w:rsid w:val="00F56D55"/>
    <w:rsid w:val="00F56E99"/>
    <w:rsid w:val="00F57486"/>
    <w:rsid w:val="00F5748F"/>
    <w:rsid w:val="00F5763D"/>
    <w:rsid w:val="00F57A76"/>
    <w:rsid w:val="00F60652"/>
    <w:rsid w:val="00F60C2F"/>
    <w:rsid w:val="00F60E24"/>
    <w:rsid w:val="00F61EFA"/>
    <w:rsid w:val="00F625BB"/>
    <w:rsid w:val="00F633CD"/>
    <w:rsid w:val="00F633F2"/>
    <w:rsid w:val="00F63768"/>
    <w:rsid w:val="00F63BC4"/>
    <w:rsid w:val="00F64344"/>
    <w:rsid w:val="00F6441A"/>
    <w:rsid w:val="00F646A3"/>
    <w:rsid w:val="00F6545D"/>
    <w:rsid w:val="00F657F9"/>
    <w:rsid w:val="00F65C3B"/>
    <w:rsid w:val="00F65C91"/>
    <w:rsid w:val="00F66135"/>
    <w:rsid w:val="00F6641A"/>
    <w:rsid w:val="00F66647"/>
    <w:rsid w:val="00F666B2"/>
    <w:rsid w:val="00F66F4D"/>
    <w:rsid w:val="00F67454"/>
    <w:rsid w:val="00F675FE"/>
    <w:rsid w:val="00F6783E"/>
    <w:rsid w:val="00F67AD5"/>
    <w:rsid w:val="00F700D1"/>
    <w:rsid w:val="00F70460"/>
    <w:rsid w:val="00F70A51"/>
    <w:rsid w:val="00F70C18"/>
    <w:rsid w:val="00F70CBD"/>
    <w:rsid w:val="00F70DEB"/>
    <w:rsid w:val="00F7114B"/>
    <w:rsid w:val="00F713EA"/>
    <w:rsid w:val="00F719D2"/>
    <w:rsid w:val="00F71FA1"/>
    <w:rsid w:val="00F72211"/>
    <w:rsid w:val="00F7231A"/>
    <w:rsid w:val="00F726B1"/>
    <w:rsid w:val="00F7296A"/>
    <w:rsid w:val="00F73F52"/>
    <w:rsid w:val="00F7435F"/>
    <w:rsid w:val="00F751DB"/>
    <w:rsid w:val="00F76B92"/>
    <w:rsid w:val="00F76E9E"/>
    <w:rsid w:val="00F77066"/>
    <w:rsid w:val="00F77172"/>
    <w:rsid w:val="00F77900"/>
    <w:rsid w:val="00F779CA"/>
    <w:rsid w:val="00F8041B"/>
    <w:rsid w:val="00F8055B"/>
    <w:rsid w:val="00F8067E"/>
    <w:rsid w:val="00F80809"/>
    <w:rsid w:val="00F8094D"/>
    <w:rsid w:val="00F80A74"/>
    <w:rsid w:val="00F80C35"/>
    <w:rsid w:val="00F80F8E"/>
    <w:rsid w:val="00F824EE"/>
    <w:rsid w:val="00F82A51"/>
    <w:rsid w:val="00F82AE6"/>
    <w:rsid w:val="00F82CAE"/>
    <w:rsid w:val="00F82DF6"/>
    <w:rsid w:val="00F83583"/>
    <w:rsid w:val="00F83ACF"/>
    <w:rsid w:val="00F83BE9"/>
    <w:rsid w:val="00F83DF6"/>
    <w:rsid w:val="00F8454A"/>
    <w:rsid w:val="00F8473B"/>
    <w:rsid w:val="00F847C3"/>
    <w:rsid w:val="00F848CB"/>
    <w:rsid w:val="00F84A52"/>
    <w:rsid w:val="00F84A6A"/>
    <w:rsid w:val="00F8599E"/>
    <w:rsid w:val="00F859F4"/>
    <w:rsid w:val="00F8636C"/>
    <w:rsid w:val="00F86381"/>
    <w:rsid w:val="00F86666"/>
    <w:rsid w:val="00F8677C"/>
    <w:rsid w:val="00F86AFF"/>
    <w:rsid w:val="00F86C7C"/>
    <w:rsid w:val="00F86D1F"/>
    <w:rsid w:val="00F87543"/>
    <w:rsid w:val="00F87675"/>
    <w:rsid w:val="00F877BA"/>
    <w:rsid w:val="00F8787D"/>
    <w:rsid w:val="00F87A3A"/>
    <w:rsid w:val="00F90550"/>
    <w:rsid w:val="00F90664"/>
    <w:rsid w:val="00F9098E"/>
    <w:rsid w:val="00F91208"/>
    <w:rsid w:val="00F92282"/>
    <w:rsid w:val="00F9228A"/>
    <w:rsid w:val="00F9245B"/>
    <w:rsid w:val="00F92E10"/>
    <w:rsid w:val="00F92F98"/>
    <w:rsid w:val="00F93332"/>
    <w:rsid w:val="00F93669"/>
    <w:rsid w:val="00F93DBC"/>
    <w:rsid w:val="00F94605"/>
    <w:rsid w:val="00F94D7C"/>
    <w:rsid w:val="00F94E93"/>
    <w:rsid w:val="00F95A2B"/>
    <w:rsid w:val="00F95B8A"/>
    <w:rsid w:val="00F9659F"/>
    <w:rsid w:val="00F96885"/>
    <w:rsid w:val="00F968EA"/>
    <w:rsid w:val="00F96DFD"/>
    <w:rsid w:val="00F975F3"/>
    <w:rsid w:val="00F97C6F"/>
    <w:rsid w:val="00FA09D7"/>
    <w:rsid w:val="00FA2452"/>
    <w:rsid w:val="00FA27BA"/>
    <w:rsid w:val="00FA32FE"/>
    <w:rsid w:val="00FA3641"/>
    <w:rsid w:val="00FA43BC"/>
    <w:rsid w:val="00FA45A7"/>
    <w:rsid w:val="00FA5B12"/>
    <w:rsid w:val="00FA5D3E"/>
    <w:rsid w:val="00FA5E7C"/>
    <w:rsid w:val="00FA68D1"/>
    <w:rsid w:val="00FA6C83"/>
    <w:rsid w:val="00FA717B"/>
    <w:rsid w:val="00FA72C4"/>
    <w:rsid w:val="00FA77BF"/>
    <w:rsid w:val="00FA7A20"/>
    <w:rsid w:val="00FA7E74"/>
    <w:rsid w:val="00FB0265"/>
    <w:rsid w:val="00FB0B88"/>
    <w:rsid w:val="00FB0E1C"/>
    <w:rsid w:val="00FB10D4"/>
    <w:rsid w:val="00FB1771"/>
    <w:rsid w:val="00FB1CAD"/>
    <w:rsid w:val="00FB1E9A"/>
    <w:rsid w:val="00FB2859"/>
    <w:rsid w:val="00FB2D61"/>
    <w:rsid w:val="00FB34E5"/>
    <w:rsid w:val="00FB47DE"/>
    <w:rsid w:val="00FB4CE6"/>
    <w:rsid w:val="00FB5BC1"/>
    <w:rsid w:val="00FB60A6"/>
    <w:rsid w:val="00FB6633"/>
    <w:rsid w:val="00FB6B52"/>
    <w:rsid w:val="00FC0337"/>
    <w:rsid w:val="00FC0D2F"/>
    <w:rsid w:val="00FC0EBE"/>
    <w:rsid w:val="00FC1752"/>
    <w:rsid w:val="00FC17DD"/>
    <w:rsid w:val="00FC1827"/>
    <w:rsid w:val="00FC1CFF"/>
    <w:rsid w:val="00FC290F"/>
    <w:rsid w:val="00FC2AF7"/>
    <w:rsid w:val="00FC2B49"/>
    <w:rsid w:val="00FC3500"/>
    <w:rsid w:val="00FC3530"/>
    <w:rsid w:val="00FC36B2"/>
    <w:rsid w:val="00FC371E"/>
    <w:rsid w:val="00FC3D14"/>
    <w:rsid w:val="00FC3D18"/>
    <w:rsid w:val="00FC44E5"/>
    <w:rsid w:val="00FC44F4"/>
    <w:rsid w:val="00FC4AF3"/>
    <w:rsid w:val="00FC4D9C"/>
    <w:rsid w:val="00FC5229"/>
    <w:rsid w:val="00FC5397"/>
    <w:rsid w:val="00FC58AB"/>
    <w:rsid w:val="00FC61D8"/>
    <w:rsid w:val="00FC68BF"/>
    <w:rsid w:val="00FC7E13"/>
    <w:rsid w:val="00FD0979"/>
    <w:rsid w:val="00FD0B6D"/>
    <w:rsid w:val="00FD0D3B"/>
    <w:rsid w:val="00FD1D18"/>
    <w:rsid w:val="00FD239E"/>
    <w:rsid w:val="00FD2B91"/>
    <w:rsid w:val="00FD2FED"/>
    <w:rsid w:val="00FD311D"/>
    <w:rsid w:val="00FD3F76"/>
    <w:rsid w:val="00FD4478"/>
    <w:rsid w:val="00FD4894"/>
    <w:rsid w:val="00FD4AA0"/>
    <w:rsid w:val="00FD4F1B"/>
    <w:rsid w:val="00FD5116"/>
    <w:rsid w:val="00FD541B"/>
    <w:rsid w:val="00FD5652"/>
    <w:rsid w:val="00FD56E6"/>
    <w:rsid w:val="00FD59F2"/>
    <w:rsid w:val="00FD65D9"/>
    <w:rsid w:val="00FD66F7"/>
    <w:rsid w:val="00FD682F"/>
    <w:rsid w:val="00FD6C5C"/>
    <w:rsid w:val="00FD716C"/>
    <w:rsid w:val="00FD73EF"/>
    <w:rsid w:val="00FD75CC"/>
    <w:rsid w:val="00FE0425"/>
    <w:rsid w:val="00FE145A"/>
    <w:rsid w:val="00FE176A"/>
    <w:rsid w:val="00FE1C41"/>
    <w:rsid w:val="00FE1EEA"/>
    <w:rsid w:val="00FE2237"/>
    <w:rsid w:val="00FE2418"/>
    <w:rsid w:val="00FE2429"/>
    <w:rsid w:val="00FE2A59"/>
    <w:rsid w:val="00FE2EA8"/>
    <w:rsid w:val="00FE32D7"/>
    <w:rsid w:val="00FE3721"/>
    <w:rsid w:val="00FE37FA"/>
    <w:rsid w:val="00FE4473"/>
    <w:rsid w:val="00FE46E3"/>
    <w:rsid w:val="00FE4AA1"/>
    <w:rsid w:val="00FE528C"/>
    <w:rsid w:val="00FE5550"/>
    <w:rsid w:val="00FE57F5"/>
    <w:rsid w:val="00FE599E"/>
    <w:rsid w:val="00FE7570"/>
    <w:rsid w:val="00FF00BB"/>
    <w:rsid w:val="00FF17BF"/>
    <w:rsid w:val="00FF193A"/>
    <w:rsid w:val="00FF1F1E"/>
    <w:rsid w:val="00FF22FB"/>
    <w:rsid w:val="00FF28BF"/>
    <w:rsid w:val="00FF2A0B"/>
    <w:rsid w:val="00FF2D24"/>
    <w:rsid w:val="00FF2EB2"/>
    <w:rsid w:val="00FF36FC"/>
    <w:rsid w:val="00FF3A63"/>
    <w:rsid w:val="00FF547C"/>
    <w:rsid w:val="00FF665C"/>
    <w:rsid w:val="00FF6B73"/>
    <w:rsid w:val="00FF6C37"/>
    <w:rsid w:val="00FF6D40"/>
    <w:rsid w:val="00FF7EF8"/>
    <w:rsid w:val="01063038"/>
    <w:rsid w:val="01136C6D"/>
    <w:rsid w:val="01203D22"/>
    <w:rsid w:val="01396E1E"/>
    <w:rsid w:val="013B2B96"/>
    <w:rsid w:val="01401846"/>
    <w:rsid w:val="014B4CE4"/>
    <w:rsid w:val="017C17DC"/>
    <w:rsid w:val="017C6D0A"/>
    <w:rsid w:val="017E5F74"/>
    <w:rsid w:val="01927600"/>
    <w:rsid w:val="019471C1"/>
    <w:rsid w:val="01961DD6"/>
    <w:rsid w:val="019D5393"/>
    <w:rsid w:val="01A545F0"/>
    <w:rsid w:val="01CE6A73"/>
    <w:rsid w:val="01DA3AEE"/>
    <w:rsid w:val="01E73084"/>
    <w:rsid w:val="02100747"/>
    <w:rsid w:val="025C61BD"/>
    <w:rsid w:val="026F5082"/>
    <w:rsid w:val="02783976"/>
    <w:rsid w:val="02843265"/>
    <w:rsid w:val="02B17B0C"/>
    <w:rsid w:val="02D32C98"/>
    <w:rsid w:val="02F050A0"/>
    <w:rsid w:val="031C2553"/>
    <w:rsid w:val="03352F95"/>
    <w:rsid w:val="034E5101"/>
    <w:rsid w:val="037454C9"/>
    <w:rsid w:val="038A48C4"/>
    <w:rsid w:val="039D434D"/>
    <w:rsid w:val="03AC2819"/>
    <w:rsid w:val="03BC634D"/>
    <w:rsid w:val="03BE5F89"/>
    <w:rsid w:val="03C93A84"/>
    <w:rsid w:val="040B7F1C"/>
    <w:rsid w:val="040C0819"/>
    <w:rsid w:val="0449371C"/>
    <w:rsid w:val="044A0302"/>
    <w:rsid w:val="04617628"/>
    <w:rsid w:val="047F35E3"/>
    <w:rsid w:val="04876C62"/>
    <w:rsid w:val="04887003"/>
    <w:rsid w:val="048E68BC"/>
    <w:rsid w:val="049049AA"/>
    <w:rsid w:val="04974587"/>
    <w:rsid w:val="04E13428"/>
    <w:rsid w:val="04E15062"/>
    <w:rsid w:val="04E969F8"/>
    <w:rsid w:val="050B31A9"/>
    <w:rsid w:val="050F406A"/>
    <w:rsid w:val="052D5413"/>
    <w:rsid w:val="052F09B8"/>
    <w:rsid w:val="05327772"/>
    <w:rsid w:val="05367C2D"/>
    <w:rsid w:val="0541619A"/>
    <w:rsid w:val="055C37F7"/>
    <w:rsid w:val="057A1AE8"/>
    <w:rsid w:val="059967DB"/>
    <w:rsid w:val="05C869C2"/>
    <w:rsid w:val="05CC1A0A"/>
    <w:rsid w:val="05D10390"/>
    <w:rsid w:val="05E247B5"/>
    <w:rsid w:val="06070DEB"/>
    <w:rsid w:val="061E4834"/>
    <w:rsid w:val="064047AA"/>
    <w:rsid w:val="06710E08"/>
    <w:rsid w:val="06752CEB"/>
    <w:rsid w:val="06881476"/>
    <w:rsid w:val="06B243DC"/>
    <w:rsid w:val="06B9162D"/>
    <w:rsid w:val="06BC58E5"/>
    <w:rsid w:val="06C278B5"/>
    <w:rsid w:val="06D51397"/>
    <w:rsid w:val="06EF1F55"/>
    <w:rsid w:val="06F37A6F"/>
    <w:rsid w:val="07216796"/>
    <w:rsid w:val="07390674"/>
    <w:rsid w:val="073B3482"/>
    <w:rsid w:val="074573B5"/>
    <w:rsid w:val="074D33F4"/>
    <w:rsid w:val="077B0190"/>
    <w:rsid w:val="07886409"/>
    <w:rsid w:val="07A55D55"/>
    <w:rsid w:val="07A64AE1"/>
    <w:rsid w:val="07B57059"/>
    <w:rsid w:val="07C527CA"/>
    <w:rsid w:val="07C70B7E"/>
    <w:rsid w:val="07DC424A"/>
    <w:rsid w:val="07EA6A0B"/>
    <w:rsid w:val="07F01F7D"/>
    <w:rsid w:val="07FB1491"/>
    <w:rsid w:val="08282C50"/>
    <w:rsid w:val="083467DA"/>
    <w:rsid w:val="084F1F89"/>
    <w:rsid w:val="085F3B5F"/>
    <w:rsid w:val="086D7426"/>
    <w:rsid w:val="089322D6"/>
    <w:rsid w:val="08B3695B"/>
    <w:rsid w:val="08C6543B"/>
    <w:rsid w:val="08F5187C"/>
    <w:rsid w:val="0923633E"/>
    <w:rsid w:val="092B7994"/>
    <w:rsid w:val="092E642F"/>
    <w:rsid w:val="09564701"/>
    <w:rsid w:val="095A15DC"/>
    <w:rsid w:val="09AB2E6D"/>
    <w:rsid w:val="09C37825"/>
    <w:rsid w:val="09CA163A"/>
    <w:rsid w:val="09E4328F"/>
    <w:rsid w:val="0A062C3B"/>
    <w:rsid w:val="0A394B12"/>
    <w:rsid w:val="0A3E2081"/>
    <w:rsid w:val="0A8E0A71"/>
    <w:rsid w:val="0A9E542A"/>
    <w:rsid w:val="0AB15C77"/>
    <w:rsid w:val="0AB91F01"/>
    <w:rsid w:val="0AD35BED"/>
    <w:rsid w:val="0B04095B"/>
    <w:rsid w:val="0B0C69BB"/>
    <w:rsid w:val="0B3D34E2"/>
    <w:rsid w:val="0B3E2A73"/>
    <w:rsid w:val="0B4E3C0A"/>
    <w:rsid w:val="0B5C7B6C"/>
    <w:rsid w:val="0B6A1335"/>
    <w:rsid w:val="0B8E54F7"/>
    <w:rsid w:val="0B950454"/>
    <w:rsid w:val="0B9C1C5F"/>
    <w:rsid w:val="0BAB0918"/>
    <w:rsid w:val="0BC20491"/>
    <w:rsid w:val="0BC23F01"/>
    <w:rsid w:val="0BE301C1"/>
    <w:rsid w:val="0C012C2E"/>
    <w:rsid w:val="0C113A47"/>
    <w:rsid w:val="0C130DCA"/>
    <w:rsid w:val="0C1748CB"/>
    <w:rsid w:val="0C2B1755"/>
    <w:rsid w:val="0C3F33AA"/>
    <w:rsid w:val="0C4B3BFD"/>
    <w:rsid w:val="0C51382F"/>
    <w:rsid w:val="0C5343FD"/>
    <w:rsid w:val="0C6C2A96"/>
    <w:rsid w:val="0C6D0406"/>
    <w:rsid w:val="0C802F4F"/>
    <w:rsid w:val="0C847A0A"/>
    <w:rsid w:val="0C9A091F"/>
    <w:rsid w:val="0CAE1FE3"/>
    <w:rsid w:val="0CAF61E6"/>
    <w:rsid w:val="0CB33F28"/>
    <w:rsid w:val="0D083A90"/>
    <w:rsid w:val="0D0E115E"/>
    <w:rsid w:val="0D29667F"/>
    <w:rsid w:val="0D2D58FB"/>
    <w:rsid w:val="0D3A0CF0"/>
    <w:rsid w:val="0D3B48BC"/>
    <w:rsid w:val="0D527D09"/>
    <w:rsid w:val="0D6860FF"/>
    <w:rsid w:val="0D951958"/>
    <w:rsid w:val="0DCC2CE2"/>
    <w:rsid w:val="0DCC4DDF"/>
    <w:rsid w:val="0DEB4037"/>
    <w:rsid w:val="0E0D7668"/>
    <w:rsid w:val="0E2037D2"/>
    <w:rsid w:val="0E3E1F17"/>
    <w:rsid w:val="0E417312"/>
    <w:rsid w:val="0E557F27"/>
    <w:rsid w:val="0E572AD9"/>
    <w:rsid w:val="0E5F0B0E"/>
    <w:rsid w:val="0E772D33"/>
    <w:rsid w:val="0E872F63"/>
    <w:rsid w:val="0EA9049C"/>
    <w:rsid w:val="0EDB59B8"/>
    <w:rsid w:val="0EDC57C9"/>
    <w:rsid w:val="0F0A671C"/>
    <w:rsid w:val="0F246874"/>
    <w:rsid w:val="0F397214"/>
    <w:rsid w:val="0F4A2BF1"/>
    <w:rsid w:val="0F5F785D"/>
    <w:rsid w:val="0FB028F4"/>
    <w:rsid w:val="0FB87ECD"/>
    <w:rsid w:val="0FBB211F"/>
    <w:rsid w:val="0FC24931"/>
    <w:rsid w:val="0FD73A9D"/>
    <w:rsid w:val="10255737"/>
    <w:rsid w:val="102577AE"/>
    <w:rsid w:val="102C45EE"/>
    <w:rsid w:val="10381AD8"/>
    <w:rsid w:val="103876AB"/>
    <w:rsid w:val="10394744"/>
    <w:rsid w:val="104A11DC"/>
    <w:rsid w:val="104C6C51"/>
    <w:rsid w:val="104E1CA7"/>
    <w:rsid w:val="10754F42"/>
    <w:rsid w:val="10812B4E"/>
    <w:rsid w:val="108509BB"/>
    <w:rsid w:val="10CE2715"/>
    <w:rsid w:val="10DB0C75"/>
    <w:rsid w:val="10F20039"/>
    <w:rsid w:val="10F66827"/>
    <w:rsid w:val="11070D34"/>
    <w:rsid w:val="111B55CA"/>
    <w:rsid w:val="11205953"/>
    <w:rsid w:val="11213F5C"/>
    <w:rsid w:val="1131018A"/>
    <w:rsid w:val="11694CC5"/>
    <w:rsid w:val="11B56B8B"/>
    <w:rsid w:val="11D010D8"/>
    <w:rsid w:val="11E00BDC"/>
    <w:rsid w:val="11E255F9"/>
    <w:rsid w:val="11E624FA"/>
    <w:rsid w:val="121C0D71"/>
    <w:rsid w:val="123553DF"/>
    <w:rsid w:val="12485112"/>
    <w:rsid w:val="125B2D22"/>
    <w:rsid w:val="1262116E"/>
    <w:rsid w:val="126A77BC"/>
    <w:rsid w:val="12824ADD"/>
    <w:rsid w:val="1284411F"/>
    <w:rsid w:val="128B4DFC"/>
    <w:rsid w:val="12A0709F"/>
    <w:rsid w:val="13076B59"/>
    <w:rsid w:val="132E0EFC"/>
    <w:rsid w:val="132F29AD"/>
    <w:rsid w:val="1331204B"/>
    <w:rsid w:val="134A7D3F"/>
    <w:rsid w:val="134B7BE9"/>
    <w:rsid w:val="136E381D"/>
    <w:rsid w:val="136F78CC"/>
    <w:rsid w:val="13A22600"/>
    <w:rsid w:val="13AC46F3"/>
    <w:rsid w:val="13CC1E66"/>
    <w:rsid w:val="13D015A2"/>
    <w:rsid w:val="13D36C5E"/>
    <w:rsid w:val="13D422D4"/>
    <w:rsid w:val="13E35292"/>
    <w:rsid w:val="14264771"/>
    <w:rsid w:val="143308E5"/>
    <w:rsid w:val="143D7B7E"/>
    <w:rsid w:val="144D0092"/>
    <w:rsid w:val="145C422A"/>
    <w:rsid w:val="145D29CB"/>
    <w:rsid w:val="146D6816"/>
    <w:rsid w:val="14786215"/>
    <w:rsid w:val="147C5547"/>
    <w:rsid w:val="14945BDA"/>
    <w:rsid w:val="14B304B2"/>
    <w:rsid w:val="14C17128"/>
    <w:rsid w:val="14D7452C"/>
    <w:rsid w:val="14E247B3"/>
    <w:rsid w:val="1508028E"/>
    <w:rsid w:val="15237771"/>
    <w:rsid w:val="15274088"/>
    <w:rsid w:val="153C7AB5"/>
    <w:rsid w:val="153E6026"/>
    <w:rsid w:val="156813EF"/>
    <w:rsid w:val="158E0267"/>
    <w:rsid w:val="159B06AA"/>
    <w:rsid w:val="15A532B7"/>
    <w:rsid w:val="15B12FCF"/>
    <w:rsid w:val="15D3371D"/>
    <w:rsid w:val="15F95003"/>
    <w:rsid w:val="165014C8"/>
    <w:rsid w:val="165276D8"/>
    <w:rsid w:val="166B30F5"/>
    <w:rsid w:val="16A55445"/>
    <w:rsid w:val="16BB5BD6"/>
    <w:rsid w:val="16BF6521"/>
    <w:rsid w:val="16C71469"/>
    <w:rsid w:val="16E001E5"/>
    <w:rsid w:val="16E73DA3"/>
    <w:rsid w:val="171735A3"/>
    <w:rsid w:val="171A047F"/>
    <w:rsid w:val="1726525E"/>
    <w:rsid w:val="172725F5"/>
    <w:rsid w:val="1748612F"/>
    <w:rsid w:val="176000E3"/>
    <w:rsid w:val="176C7DE5"/>
    <w:rsid w:val="17806FFA"/>
    <w:rsid w:val="17A162C2"/>
    <w:rsid w:val="17A57C09"/>
    <w:rsid w:val="17B5696E"/>
    <w:rsid w:val="17D16259"/>
    <w:rsid w:val="17D4386A"/>
    <w:rsid w:val="18091E39"/>
    <w:rsid w:val="180969AE"/>
    <w:rsid w:val="18442ACF"/>
    <w:rsid w:val="18482C69"/>
    <w:rsid w:val="18550A10"/>
    <w:rsid w:val="18572C26"/>
    <w:rsid w:val="18A12E86"/>
    <w:rsid w:val="18A67014"/>
    <w:rsid w:val="18C23292"/>
    <w:rsid w:val="18DA2A4D"/>
    <w:rsid w:val="18F646AD"/>
    <w:rsid w:val="191B7A42"/>
    <w:rsid w:val="191F1123"/>
    <w:rsid w:val="19287A4C"/>
    <w:rsid w:val="19386FF0"/>
    <w:rsid w:val="194B7296"/>
    <w:rsid w:val="19524AC9"/>
    <w:rsid w:val="198F1212"/>
    <w:rsid w:val="19A85985"/>
    <w:rsid w:val="19B0478E"/>
    <w:rsid w:val="19BE68BB"/>
    <w:rsid w:val="19C13A0A"/>
    <w:rsid w:val="19CB6CC1"/>
    <w:rsid w:val="19F90DF5"/>
    <w:rsid w:val="1A2B43DE"/>
    <w:rsid w:val="1A2C06B6"/>
    <w:rsid w:val="1A483E9D"/>
    <w:rsid w:val="1A7519F7"/>
    <w:rsid w:val="1A8957EA"/>
    <w:rsid w:val="1A9C29B5"/>
    <w:rsid w:val="1AE4072D"/>
    <w:rsid w:val="1AE80E82"/>
    <w:rsid w:val="1AFC1190"/>
    <w:rsid w:val="1B1D2BED"/>
    <w:rsid w:val="1B34527D"/>
    <w:rsid w:val="1B3A1115"/>
    <w:rsid w:val="1B4B17D0"/>
    <w:rsid w:val="1B6A434C"/>
    <w:rsid w:val="1B731E88"/>
    <w:rsid w:val="1B734D6E"/>
    <w:rsid w:val="1B8B4CEB"/>
    <w:rsid w:val="1BA36B65"/>
    <w:rsid w:val="1BB55A27"/>
    <w:rsid w:val="1BB750B7"/>
    <w:rsid w:val="1BE07239"/>
    <w:rsid w:val="1BEB0C75"/>
    <w:rsid w:val="1C494C79"/>
    <w:rsid w:val="1C710564"/>
    <w:rsid w:val="1C870DF4"/>
    <w:rsid w:val="1C9D2195"/>
    <w:rsid w:val="1CB33AD0"/>
    <w:rsid w:val="1CB462C1"/>
    <w:rsid w:val="1CB750E0"/>
    <w:rsid w:val="1CC64075"/>
    <w:rsid w:val="1CCB4AFC"/>
    <w:rsid w:val="1CDF48C5"/>
    <w:rsid w:val="1CE23DA8"/>
    <w:rsid w:val="1CE433CC"/>
    <w:rsid w:val="1CF9545E"/>
    <w:rsid w:val="1CFD3F23"/>
    <w:rsid w:val="1D020BB5"/>
    <w:rsid w:val="1D276497"/>
    <w:rsid w:val="1D3C1C2B"/>
    <w:rsid w:val="1D3E5611"/>
    <w:rsid w:val="1D443099"/>
    <w:rsid w:val="1D4C4104"/>
    <w:rsid w:val="1D757EF6"/>
    <w:rsid w:val="1D772D50"/>
    <w:rsid w:val="1D8B5B16"/>
    <w:rsid w:val="1D915375"/>
    <w:rsid w:val="1D9B7467"/>
    <w:rsid w:val="1DB418AE"/>
    <w:rsid w:val="1DBC2360"/>
    <w:rsid w:val="1DBD1E90"/>
    <w:rsid w:val="1DC0796D"/>
    <w:rsid w:val="1DE127ED"/>
    <w:rsid w:val="1DF32B81"/>
    <w:rsid w:val="1E097409"/>
    <w:rsid w:val="1E184529"/>
    <w:rsid w:val="1E2412CE"/>
    <w:rsid w:val="1E3F2CCB"/>
    <w:rsid w:val="1E7D035A"/>
    <w:rsid w:val="1E950F96"/>
    <w:rsid w:val="1EC479BE"/>
    <w:rsid w:val="1ED14498"/>
    <w:rsid w:val="1ED32208"/>
    <w:rsid w:val="1EEC32CA"/>
    <w:rsid w:val="1F07360D"/>
    <w:rsid w:val="1F1C595D"/>
    <w:rsid w:val="1F506376"/>
    <w:rsid w:val="1F641FD5"/>
    <w:rsid w:val="1F8011E1"/>
    <w:rsid w:val="1F8B14AA"/>
    <w:rsid w:val="1FB931AC"/>
    <w:rsid w:val="1FCC072E"/>
    <w:rsid w:val="1FE214CF"/>
    <w:rsid w:val="1FE454D2"/>
    <w:rsid w:val="1FE968C0"/>
    <w:rsid w:val="1FFE63A0"/>
    <w:rsid w:val="200C7D43"/>
    <w:rsid w:val="200C7F24"/>
    <w:rsid w:val="2075339F"/>
    <w:rsid w:val="20880DD0"/>
    <w:rsid w:val="2093768E"/>
    <w:rsid w:val="209436FE"/>
    <w:rsid w:val="20AD0595"/>
    <w:rsid w:val="20AF0CAD"/>
    <w:rsid w:val="20B03194"/>
    <w:rsid w:val="20C70631"/>
    <w:rsid w:val="20FA1CCE"/>
    <w:rsid w:val="20FE7CCE"/>
    <w:rsid w:val="210F147E"/>
    <w:rsid w:val="21132C4F"/>
    <w:rsid w:val="215A276C"/>
    <w:rsid w:val="215A77B7"/>
    <w:rsid w:val="216554C4"/>
    <w:rsid w:val="219E6AFD"/>
    <w:rsid w:val="21C603EE"/>
    <w:rsid w:val="21E309B4"/>
    <w:rsid w:val="21FF3E73"/>
    <w:rsid w:val="2273709F"/>
    <w:rsid w:val="228D7642"/>
    <w:rsid w:val="22A76CB6"/>
    <w:rsid w:val="22C4176B"/>
    <w:rsid w:val="22E5394B"/>
    <w:rsid w:val="22FB0059"/>
    <w:rsid w:val="230211FF"/>
    <w:rsid w:val="230E1B9C"/>
    <w:rsid w:val="230F463E"/>
    <w:rsid w:val="233471BB"/>
    <w:rsid w:val="235C0A1E"/>
    <w:rsid w:val="23865B04"/>
    <w:rsid w:val="238C653F"/>
    <w:rsid w:val="23B72AC9"/>
    <w:rsid w:val="23F058F5"/>
    <w:rsid w:val="241A4435"/>
    <w:rsid w:val="243272D3"/>
    <w:rsid w:val="248660ED"/>
    <w:rsid w:val="24B86284"/>
    <w:rsid w:val="250B1DA7"/>
    <w:rsid w:val="25423C43"/>
    <w:rsid w:val="254F23F1"/>
    <w:rsid w:val="258E0C37"/>
    <w:rsid w:val="259154A4"/>
    <w:rsid w:val="259B3353"/>
    <w:rsid w:val="25B519D4"/>
    <w:rsid w:val="25CD1E2E"/>
    <w:rsid w:val="26101FFB"/>
    <w:rsid w:val="2632752B"/>
    <w:rsid w:val="267C18A8"/>
    <w:rsid w:val="267C4F33"/>
    <w:rsid w:val="268B27B7"/>
    <w:rsid w:val="26A12BEB"/>
    <w:rsid w:val="26BB1CAD"/>
    <w:rsid w:val="26CB1A16"/>
    <w:rsid w:val="27017BA3"/>
    <w:rsid w:val="27017D9F"/>
    <w:rsid w:val="27044DB2"/>
    <w:rsid w:val="271C3E12"/>
    <w:rsid w:val="27351CB2"/>
    <w:rsid w:val="27391076"/>
    <w:rsid w:val="27526C4A"/>
    <w:rsid w:val="275F6D2E"/>
    <w:rsid w:val="277F4CDB"/>
    <w:rsid w:val="278A7D9B"/>
    <w:rsid w:val="278D1738"/>
    <w:rsid w:val="27965F0D"/>
    <w:rsid w:val="27A86F3F"/>
    <w:rsid w:val="27B11950"/>
    <w:rsid w:val="27D063DE"/>
    <w:rsid w:val="280C3371"/>
    <w:rsid w:val="280D678A"/>
    <w:rsid w:val="28345975"/>
    <w:rsid w:val="285D1C27"/>
    <w:rsid w:val="286B2491"/>
    <w:rsid w:val="289B6538"/>
    <w:rsid w:val="28AF339E"/>
    <w:rsid w:val="28B44E58"/>
    <w:rsid w:val="28FC224A"/>
    <w:rsid w:val="29002F8F"/>
    <w:rsid w:val="290A0F1C"/>
    <w:rsid w:val="292506E6"/>
    <w:rsid w:val="293F10A9"/>
    <w:rsid w:val="29620E3C"/>
    <w:rsid w:val="296C1376"/>
    <w:rsid w:val="297B67C3"/>
    <w:rsid w:val="29C55126"/>
    <w:rsid w:val="29D64FAB"/>
    <w:rsid w:val="29FA689B"/>
    <w:rsid w:val="2A1A098F"/>
    <w:rsid w:val="2A391AB9"/>
    <w:rsid w:val="2A4042D8"/>
    <w:rsid w:val="2A94362E"/>
    <w:rsid w:val="2AA43F70"/>
    <w:rsid w:val="2AC70AF5"/>
    <w:rsid w:val="2AD950E0"/>
    <w:rsid w:val="2AE17A5A"/>
    <w:rsid w:val="2AEF5FDE"/>
    <w:rsid w:val="2AF74503"/>
    <w:rsid w:val="2AFD2A6B"/>
    <w:rsid w:val="2B0A3E18"/>
    <w:rsid w:val="2B22325F"/>
    <w:rsid w:val="2B3A14CC"/>
    <w:rsid w:val="2B4A15F9"/>
    <w:rsid w:val="2B4D6793"/>
    <w:rsid w:val="2B626910"/>
    <w:rsid w:val="2B770F44"/>
    <w:rsid w:val="2B7B1C5D"/>
    <w:rsid w:val="2B927310"/>
    <w:rsid w:val="2B985FCE"/>
    <w:rsid w:val="2B9D013B"/>
    <w:rsid w:val="2BD01A9C"/>
    <w:rsid w:val="2BE5357A"/>
    <w:rsid w:val="2C0C310F"/>
    <w:rsid w:val="2C123167"/>
    <w:rsid w:val="2C2C5168"/>
    <w:rsid w:val="2C307416"/>
    <w:rsid w:val="2C8332C8"/>
    <w:rsid w:val="2CC43190"/>
    <w:rsid w:val="2CCF3C37"/>
    <w:rsid w:val="2CE37E0A"/>
    <w:rsid w:val="2CF9372C"/>
    <w:rsid w:val="2D031F0A"/>
    <w:rsid w:val="2D2646FE"/>
    <w:rsid w:val="2D393B7E"/>
    <w:rsid w:val="2D3F1D00"/>
    <w:rsid w:val="2D5A0264"/>
    <w:rsid w:val="2D8E5E19"/>
    <w:rsid w:val="2DA136BD"/>
    <w:rsid w:val="2DA354EC"/>
    <w:rsid w:val="2DA64D5F"/>
    <w:rsid w:val="2E07322B"/>
    <w:rsid w:val="2E0B66F6"/>
    <w:rsid w:val="2E1600CA"/>
    <w:rsid w:val="2E330841"/>
    <w:rsid w:val="2E33680B"/>
    <w:rsid w:val="2E742ED5"/>
    <w:rsid w:val="2E756E38"/>
    <w:rsid w:val="2E904FE0"/>
    <w:rsid w:val="2EA81859"/>
    <w:rsid w:val="2EB42CB5"/>
    <w:rsid w:val="2EBC4A66"/>
    <w:rsid w:val="2EC15BD9"/>
    <w:rsid w:val="2ECF5B72"/>
    <w:rsid w:val="2EED4D73"/>
    <w:rsid w:val="2EFE33FF"/>
    <w:rsid w:val="2F3445FD"/>
    <w:rsid w:val="2F587C89"/>
    <w:rsid w:val="2F6A001E"/>
    <w:rsid w:val="2F880DEC"/>
    <w:rsid w:val="2F902F9E"/>
    <w:rsid w:val="2F997048"/>
    <w:rsid w:val="2FBA3392"/>
    <w:rsid w:val="2FCC06F3"/>
    <w:rsid w:val="30073AA2"/>
    <w:rsid w:val="3023373B"/>
    <w:rsid w:val="302A6F11"/>
    <w:rsid w:val="30445008"/>
    <w:rsid w:val="30705B08"/>
    <w:rsid w:val="309B5472"/>
    <w:rsid w:val="30CC4AC8"/>
    <w:rsid w:val="30E07452"/>
    <w:rsid w:val="30E22CDA"/>
    <w:rsid w:val="30F03A7B"/>
    <w:rsid w:val="30FB7D0C"/>
    <w:rsid w:val="30FC4936"/>
    <w:rsid w:val="312B4FE7"/>
    <w:rsid w:val="31440D43"/>
    <w:rsid w:val="318E1B60"/>
    <w:rsid w:val="319E66A5"/>
    <w:rsid w:val="31EB7793"/>
    <w:rsid w:val="320B040B"/>
    <w:rsid w:val="321542F4"/>
    <w:rsid w:val="32366E89"/>
    <w:rsid w:val="324A2389"/>
    <w:rsid w:val="325E10CC"/>
    <w:rsid w:val="32642633"/>
    <w:rsid w:val="326A6587"/>
    <w:rsid w:val="327F1618"/>
    <w:rsid w:val="3296159F"/>
    <w:rsid w:val="32B56802"/>
    <w:rsid w:val="32C8687F"/>
    <w:rsid w:val="33064502"/>
    <w:rsid w:val="333762E9"/>
    <w:rsid w:val="333A7F4C"/>
    <w:rsid w:val="33680D19"/>
    <w:rsid w:val="336A16B5"/>
    <w:rsid w:val="336E72DC"/>
    <w:rsid w:val="33792F26"/>
    <w:rsid w:val="33855536"/>
    <w:rsid w:val="339035F3"/>
    <w:rsid w:val="33AD03DD"/>
    <w:rsid w:val="33BA79B1"/>
    <w:rsid w:val="33C071A7"/>
    <w:rsid w:val="33C60D78"/>
    <w:rsid w:val="33CB0884"/>
    <w:rsid w:val="33E705FA"/>
    <w:rsid w:val="33EE6027"/>
    <w:rsid w:val="340565DE"/>
    <w:rsid w:val="3415376D"/>
    <w:rsid w:val="34311DA2"/>
    <w:rsid w:val="343F1A8A"/>
    <w:rsid w:val="346D4BEC"/>
    <w:rsid w:val="34D86D0D"/>
    <w:rsid w:val="34E645EB"/>
    <w:rsid w:val="34FF0F8F"/>
    <w:rsid w:val="35325A82"/>
    <w:rsid w:val="354B7C37"/>
    <w:rsid w:val="354C5F65"/>
    <w:rsid w:val="356A4E92"/>
    <w:rsid w:val="357D4824"/>
    <w:rsid w:val="35977EFB"/>
    <w:rsid w:val="35EA6199"/>
    <w:rsid w:val="35F11DA3"/>
    <w:rsid w:val="35FC48CB"/>
    <w:rsid w:val="35FD2848"/>
    <w:rsid w:val="3600792F"/>
    <w:rsid w:val="36110EAD"/>
    <w:rsid w:val="363A2EB3"/>
    <w:rsid w:val="3656754F"/>
    <w:rsid w:val="36604942"/>
    <w:rsid w:val="366F15CE"/>
    <w:rsid w:val="36943F62"/>
    <w:rsid w:val="36943F71"/>
    <w:rsid w:val="36A31EF8"/>
    <w:rsid w:val="36BA16FC"/>
    <w:rsid w:val="36DB3546"/>
    <w:rsid w:val="36EE7B6E"/>
    <w:rsid w:val="36FC72C0"/>
    <w:rsid w:val="3714674C"/>
    <w:rsid w:val="37185D64"/>
    <w:rsid w:val="372907BF"/>
    <w:rsid w:val="372C4C9A"/>
    <w:rsid w:val="372F7FE4"/>
    <w:rsid w:val="373F4589"/>
    <w:rsid w:val="375A0B7F"/>
    <w:rsid w:val="376D5C1A"/>
    <w:rsid w:val="378E2D18"/>
    <w:rsid w:val="37A91900"/>
    <w:rsid w:val="37B5205E"/>
    <w:rsid w:val="37F76B0F"/>
    <w:rsid w:val="38010506"/>
    <w:rsid w:val="383E2EE0"/>
    <w:rsid w:val="38603B6D"/>
    <w:rsid w:val="386F3902"/>
    <w:rsid w:val="387367EB"/>
    <w:rsid w:val="387F7C2E"/>
    <w:rsid w:val="38997BC6"/>
    <w:rsid w:val="38B70B26"/>
    <w:rsid w:val="39004451"/>
    <w:rsid w:val="390A2872"/>
    <w:rsid w:val="39256203"/>
    <w:rsid w:val="39365837"/>
    <w:rsid w:val="394744BB"/>
    <w:rsid w:val="39565A6C"/>
    <w:rsid w:val="39634D86"/>
    <w:rsid w:val="398A74B1"/>
    <w:rsid w:val="39BC1DBE"/>
    <w:rsid w:val="39C56CED"/>
    <w:rsid w:val="39D22C91"/>
    <w:rsid w:val="39F63D73"/>
    <w:rsid w:val="3A051D39"/>
    <w:rsid w:val="3A0D641E"/>
    <w:rsid w:val="3A3758E9"/>
    <w:rsid w:val="3A462921"/>
    <w:rsid w:val="3A5B6852"/>
    <w:rsid w:val="3AE77731"/>
    <w:rsid w:val="3B11102B"/>
    <w:rsid w:val="3B1459DF"/>
    <w:rsid w:val="3B2D1AF4"/>
    <w:rsid w:val="3B4C6D0D"/>
    <w:rsid w:val="3B4E2EEA"/>
    <w:rsid w:val="3B7A1FA2"/>
    <w:rsid w:val="3B7A3481"/>
    <w:rsid w:val="3B847376"/>
    <w:rsid w:val="3B8763FC"/>
    <w:rsid w:val="3B91005A"/>
    <w:rsid w:val="3B985F13"/>
    <w:rsid w:val="3B9D4E98"/>
    <w:rsid w:val="3B9E599D"/>
    <w:rsid w:val="3BA96B9F"/>
    <w:rsid w:val="3BB30A96"/>
    <w:rsid w:val="3BB448FC"/>
    <w:rsid w:val="3BD47BAC"/>
    <w:rsid w:val="3BEF39AA"/>
    <w:rsid w:val="3BF526DA"/>
    <w:rsid w:val="3C010052"/>
    <w:rsid w:val="3C2123AD"/>
    <w:rsid w:val="3C3266B0"/>
    <w:rsid w:val="3C4542ED"/>
    <w:rsid w:val="3C5761B9"/>
    <w:rsid w:val="3CA9101D"/>
    <w:rsid w:val="3CBA010B"/>
    <w:rsid w:val="3CE63FF6"/>
    <w:rsid w:val="3CE97707"/>
    <w:rsid w:val="3CF1446D"/>
    <w:rsid w:val="3D0575D8"/>
    <w:rsid w:val="3D070254"/>
    <w:rsid w:val="3D172ACB"/>
    <w:rsid w:val="3D29798B"/>
    <w:rsid w:val="3D6A7333"/>
    <w:rsid w:val="3D7B789B"/>
    <w:rsid w:val="3D7D5C9B"/>
    <w:rsid w:val="3D864BBD"/>
    <w:rsid w:val="3DC4614D"/>
    <w:rsid w:val="3E210596"/>
    <w:rsid w:val="3E3C1553"/>
    <w:rsid w:val="3E3E29D5"/>
    <w:rsid w:val="3E59146A"/>
    <w:rsid w:val="3E5F7DF0"/>
    <w:rsid w:val="3E674205"/>
    <w:rsid w:val="3E6831F2"/>
    <w:rsid w:val="3E690F29"/>
    <w:rsid w:val="3E7D4DC3"/>
    <w:rsid w:val="3E8D0601"/>
    <w:rsid w:val="3EBF7709"/>
    <w:rsid w:val="3EE00D6B"/>
    <w:rsid w:val="3F275F2C"/>
    <w:rsid w:val="3F2803B7"/>
    <w:rsid w:val="3F3E4986"/>
    <w:rsid w:val="3F4F07DB"/>
    <w:rsid w:val="3F596E1D"/>
    <w:rsid w:val="3F663A28"/>
    <w:rsid w:val="3F957A93"/>
    <w:rsid w:val="3FCD7EEB"/>
    <w:rsid w:val="3FD116C7"/>
    <w:rsid w:val="40077CAA"/>
    <w:rsid w:val="400B56FF"/>
    <w:rsid w:val="40146203"/>
    <w:rsid w:val="404668A2"/>
    <w:rsid w:val="406A776C"/>
    <w:rsid w:val="406C39F6"/>
    <w:rsid w:val="40727F32"/>
    <w:rsid w:val="407D0566"/>
    <w:rsid w:val="409962AF"/>
    <w:rsid w:val="40C26FA7"/>
    <w:rsid w:val="40C95534"/>
    <w:rsid w:val="40E652D8"/>
    <w:rsid w:val="40F459B6"/>
    <w:rsid w:val="40FA32D9"/>
    <w:rsid w:val="415D3E37"/>
    <w:rsid w:val="417E5FE2"/>
    <w:rsid w:val="41A01FC6"/>
    <w:rsid w:val="41AF045B"/>
    <w:rsid w:val="41B0508B"/>
    <w:rsid w:val="41CB01CC"/>
    <w:rsid w:val="41D161DF"/>
    <w:rsid w:val="41D81175"/>
    <w:rsid w:val="41ED7B8A"/>
    <w:rsid w:val="41EE2D3B"/>
    <w:rsid w:val="420E0BBE"/>
    <w:rsid w:val="42365C09"/>
    <w:rsid w:val="42546B06"/>
    <w:rsid w:val="4259518B"/>
    <w:rsid w:val="425B6370"/>
    <w:rsid w:val="427958E3"/>
    <w:rsid w:val="428F02E8"/>
    <w:rsid w:val="429C5A1C"/>
    <w:rsid w:val="42CE7546"/>
    <w:rsid w:val="42D9578F"/>
    <w:rsid w:val="42EA7825"/>
    <w:rsid w:val="42EC6FA1"/>
    <w:rsid w:val="42FD0171"/>
    <w:rsid w:val="430C6828"/>
    <w:rsid w:val="432A3CB6"/>
    <w:rsid w:val="43373CF9"/>
    <w:rsid w:val="437904AB"/>
    <w:rsid w:val="43895B1D"/>
    <w:rsid w:val="43BB385B"/>
    <w:rsid w:val="43D5619A"/>
    <w:rsid w:val="43DE7009"/>
    <w:rsid w:val="43E258D5"/>
    <w:rsid w:val="43EA4AF7"/>
    <w:rsid w:val="43EA6E04"/>
    <w:rsid w:val="4412289F"/>
    <w:rsid w:val="442C6742"/>
    <w:rsid w:val="442F42E4"/>
    <w:rsid w:val="44302301"/>
    <w:rsid w:val="44457194"/>
    <w:rsid w:val="44666E10"/>
    <w:rsid w:val="4473751E"/>
    <w:rsid w:val="447D214A"/>
    <w:rsid w:val="44B606E1"/>
    <w:rsid w:val="44CB1108"/>
    <w:rsid w:val="44D2693A"/>
    <w:rsid w:val="44D7085B"/>
    <w:rsid w:val="44DD7EF9"/>
    <w:rsid w:val="44EC29EA"/>
    <w:rsid w:val="45077CDF"/>
    <w:rsid w:val="45230FBE"/>
    <w:rsid w:val="45314A96"/>
    <w:rsid w:val="45336CAD"/>
    <w:rsid w:val="453452ED"/>
    <w:rsid w:val="45813EBC"/>
    <w:rsid w:val="45C37881"/>
    <w:rsid w:val="45CE0F29"/>
    <w:rsid w:val="45CE4EB5"/>
    <w:rsid w:val="45DA5119"/>
    <w:rsid w:val="45E643C0"/>
    <w:rsid w:val="45EC547B"/>
    <w:rsid w:val="45F76DD6"/>
    <w:rsid w:val="45F94A6C"/>
    <w:rsid w:val="460C5318"/>
    <w:rsid w:val="461C0F8E"/>
    <w:rsid w:val="46372BC7"/>
    <w:rsid w:val="463C3836"/>
    <w:rsid w:val="463F2996"/>
    <w:rsid w:val="465678FE"/>
    <w:rsid w:val="465C2B1B"/>
    <w:rsid w:val="46692122"/>
    <w:rsid w:val="46767799"/>
    <w:rsid w:val="469A3062"/>
    <w:rsid w:val="469F2B0B"/>
    <w:rsid w:val="46BB3260"/>
    <w:rsid w:val="46F346FE"/>
    <w:rsid w:val="477B383C"/>
    <w:rsid w:val="477F0350"/>
    <w:rsid w:val="47A04ACD"/>
    <w:rsid w:val="47AA14A8"/>
    <w:rsid w:val="47AB53A5"/>
    <w:rsid w:val="47C8054B"/>
    <w:rsid w:val="47E66258"/>
    <w:rsid w:val="481873BA"/>
    <w:rsid w:val="48315726"/>
    <w:rsid w:val="483C445F"/>
    <w:rsid w:val="48490ACA"/>
    <w:rsid w:val="48634790"/>
    <w:rsid w:val="48780586"/>
    <w:rsid w:val="489839F7"/>
    <w:rsid w:val="48D14E5B"/>
    <w:rsid w:val="48E416F1"/>
    <w:rsid w:val="48E4308C"/>
    <w:rsid w:val="48FC3545"/>
    <w:rsid w:val="492144DB"/>
    <w:rsid w:val="492445A0"/>
    <w:rsid w:val="49434102"/>
    <w:rsid w:val="496B4C67"/>
    <w:rsid w:val="499872CD"/>
    <w:rsid w:val="49A34401"/>
    <w:rsid w:val="49B86B7B"/>
    <w:rsid w:val="49B900C8"/>
    <w:rsid w:val="49D26F45"/>
    <w:rsid w:val="49DE656F"/>
    <w:rsid w:val="49FC17F1"/>
    <w:rsid w:val="4A165468"/>
    <w:rsid w:val="4A3A2CE8"/>
    <w:rsid w:val="4A3A490C"/>
    <w:rsid w:val="4A5403A7"/>
    <w:rsid w:val="4A665E5F"/>
    <w:rsid w:val="4A6F0787"/>
    <w:rsid w:val="4A914B8A"/>
    <w:rsid w:val="4AA24DDB"/>
    <w:rsid w:val="4ABE0BC4"/>
    <w:rsid w:val="4ACF7478"/>
    <w:rsid w:val="4AD351BA"/>
    <w:rsid w:val="4AF633EE"/>
    <w:rsid w:val="4B1A2A23"/>
    <w:rsid w:val="4B2E6817"/>
    <w:rsid w:val="4B5E2E45"/>
    <w:rsid w:val="4B8B5712"/>
    <w:rsid w:val="4BAA0017"/>
    <w:rsid w:val="4BB723E6"/>
    <w:rsid w:val="4BE451C3"/>
    <w:rsid w:val="4BFF5B3B"/>
    <w:rsid w:val="4C383661"/>
    <w:rsid w:val="4C5869A7"/>
    <w:rsid w:val="4C605FA0"/>
    <w:rsid w:val="4C787DC7"/>
    <w:rsid w:val="4C94689F"/>
    <w:rsid w:val="4C9677DB"/>
    <w:rsid w:val="4CA7014F"/>
    <w:rsid w:val="4CBA5E50"/>
    <w:rsid w:val="4CE5738F"/>
    <w:rsid w:val="4CEC4311"/>
    <w:rsid w:val="4D081C4E"/>
    <w:rsid w:val="4D1C1FDA"/>
    <w:rsid w:val="4D2C0592"/>
    <w:rsid w:val="4D750DD8"/>
    <w:rsid w:val="4D7E147A"/>
    <w:rsid w:val="4DA644C0"/>
    <w:rsid w:val="4DAE6B42"/>
    <w:rsid w:val="4E005067"/>
    <w:rsid w:val="4E067A35"/>
    <w:rsid w:val="4E511110"/>
    <w:rsid w:val="4E5F6E5C"/>
    <w:rsid w:val="4E707C06"/>
    <w:rsid w:val="4E7D0233"/>
    <w:rsid w:val="4E80097E"/>
    <w:rsid w:val="4E810A89"/>
    <w:rsid w:val="4EBA68A6"/>
    <w:rsid w:val="4ED565FD"/>
    <w:rsid w:val="4EFD15F8"/>
    <w:rsid w:val="4F027E1C"/>
    <w:rsid w:val="4F262BD6"/>
    <w:rsid w:val="4F3D0E54"/>
    <w:rsid w:val="4F552641"/>
    <w:rsid w:val="4F697E9B"/>
    <w:rsid w:val="4F857791"/>
    <w:rsid w:val="4FA34B34"/>
    <w:rsid w:val="4FAD7032"/>
    <w:rsid w:val="4FB22F45"/>
    <w:rsid w:val="4FBD7D5C"/>
    <w:rsid w:val="4FE328B2"/>
    <w:rsid w:val="4FE87889"/>
    <w:rsid w:val="4FEB08B0"/>
    <w:rsid w:val="4FF27E90"/>
    <w:rsid w:val="50153B7F"/>
    <w:rsid w:val="504601DC"/>
    <w:rsid w:val="504B75A0"/>
    <w:rsid w:val="50CC09BA"/>
    <w:rsid w:val="50DF2A38"/>
    <w:rsid w:val="50FD3857"/>
    <w:rsid w:val="51055FB9"/>
    <w:rsid w:val="51063CEB"/>
    <w:rsid w:val="51484BDA"/>
    <w:rsid w:val="514C06D8"/>
    <w:rsid w:val="5157197B"/>
    <w:rsid w:val="518020DE"/>
    <w:rsid w:val="518A4E47"/>
    <w:rsid w:val="51935AB4"/>
    <w:rsid w:val="51977D33"/>
    <w:rsid w:val="51A66892"/>
    <w:rsid w:val="51E90E1F"/>
    <w:rsid w:val="51EF580A"/>
    <w:rsid w:val="51F804E9"/>
    <w:rsid w:val="51FB089A"/>
    <w:rsid w:val="51FD764E"/>
    <w:rsid w:val="52085E07"/>
    <w:rsid w:val="52140A2F"/>
    <w:rsid w:val="52144CDC"/>
    <w:rsid w:val="52481FEA"/>
    <w:rsid w:val="526756C3"/>
    <w:rsid w:val="526828D5"/>
    <w:rsid w:val="52A64ECE"/>
    <w:rsid w:val="52BC3937"/>
    <w:rsid w:val="52BC6534"/>
    <w:rsid w:val="52C553E8"/>
    <w:rsid w:val="52D7511B"/>
    <w:rsid w:val="52DE5DF2"/>
    <w:rsid w:val="53040D3D"/>
    <w:rsid w:val="53163E96"/>
    <w:rsid w:val="5325232B"/>
    <w:rsid w:val="533802B0"/>
    <w:rsid w:val="53461839"/>
    <w:rsid w:val="534C773C"/>
    <w:rsid w:val="534E68DB"/>
    <w:rsid w:val="53826977"/>
    <w:rsid w:val="5383116D"/>
    <w:rsid w:val="53980D4F"/>
    <w:rsid w:val="53993795"/>
    <w:rsid w:val="539B3325"/>
    <w:rsid w:val="53A64422"/>
    <w:rsid w:val="53B3027B"/>
    <w:rsid w:val="53DC08CD"/>
    <w:rsid w:val="53E13A6F"/>
    <w:rsid w:val="541E3B71"/>
    <w:rsid w:val="5430783C"/>
    <w:rsid w:val="543C3DD0"/>
    <w:rsid w:val="546832F7"/>
    <w:rsid w:val="5470563E"/>
    <w:rsid w:val="54715FE7"/>
    <w:rsid w:val="548C31C2"/>
    <w:rsid w:val="549D5EC1"/>
    <w:rsid w:val="54A25B6B"/>
    <w:rsid w:val="54AD25D8"/>
    <w:rsid w:val="54B81381"/>
    <w:rsid w:val="54F368F0"/>
    <w:rsid w:val="55154E2C"/>
    <w:rsid w:val="552002FF"/>
    <w:rsid w:val="552374E5"/>
    <w:rsid w:val="55440D6F"/>
    <w:rsid w:val="554D1082"/>
    <w:rsid w:val="555A08F7"/>
    <w:rsid w:val="555C70E9"/>
    <w:rsid w:val="55881546"/>
    <w:rsid w:val="558E1079"/>
    <w:rsid w:val="55C612E4"/>
    <w:rsid w:val="55D50097"/>
    <w:rsid w:val="56013DBF"/>
    <w:rsid w:val="56302182"/>
    <w:rsid w:val="565316A8"/>
    <w:rsid w:val="565F4449"/>
    <w:rsid w:val="56744885"/>
    <w:rsid w:val="569513B9"/>
    <w:rsid w:val="56A84DFD"/>
    <w:rsid w:val="56B71078"/>
    <w:rsid w:val="56B924B7"/>
    <w:rsid w:val="56D076F9"/>
    <w:rsid w:val="56DD5751"/>
    <w:rsid w:val="571C1C97"/>
    <w:rsid w:val="572841C2"/>
    <w:rsid w:val="57597A6C"/>
    <w:rsid w:val="575E5672"/>
    <w:rsid w:val="576D24F2"/>
    <w:rsid w:val="57CF2865"/>
    <w:rsid w:val="57EE02F3"/>
    <w:rsid w:val="57EE1517"/>
    <w:rsid w:val="57F27C08"/>
    <w:rsid w:val="57F66044"/>
    <w:rsid w:val="57F82EC8"/>
    <w:rsid w:val="58180BA5"/>
    <w:rsid w:val="583E466B"/>
    <w:rsid w:val="587F072F"/>
    <w:rsid w:val="58B01D17"/>
    <w:rsid w:val="58C51A96"/>
    <w:rsid w:val="58EB1FE8"/>
    <w:rsid w:val="59042B8F"/>
    <w:rsid w:val="591A510F"/>
    <w:rsid w:val="59283E98"/>
    <w:rsid w:val="594F2822"/>
    <w:rsid w:val="595105F8"/>
    <w:rsid w:val="59631D88"/>
    <w:rsid w:val="59723DF0"/>
    <w:rsid w:val="597F015D"/>
    <w:rsid w:val="59842D5C"/>
    <w:rsid w:val="598C3104"/>
    <w:rsid w:val="599643F5"/>
    <w:rsid w:val="59A75862"/>
    <w:rsid w:val="59A860E0"/>
    <w:rsid w:val="59A919AD"/>
    <w:rsid w:val="59B34A74"/>
    <w:rsid w:val="59B768CA"/>
    <w:rsid w:val="59F71FB1"/>
    <w:rsid w:val="59F96B47"/>
    <w:rsid w:val="5A105259"/>
    <w:rsid w:val="5A3529AA"/>
    <w:rsid w:val="5A673229"/>
    <w:rsid w:val="5A7B6C3C"/>
    <w:rsid w:val="5A7C4549"/>
    <w:rsid w:val="5A8753AD"/>
    <w:rsid w:val="5A934FEE"/>
    <w:rsid w:val="5AD352CB"/>
    <w:rsid w:val="5AE45E3B"/>
    <w:rsid w:val="5B2E6441"/>
    <w:rsid w:val="5B4B48F9"/>
    <w:rsid w:val="5B501227"/>
    <w:rsid w:val="5B633C33"/>
    <w:rsid w:val="5B7B12F1"/>
    <w:rsid w:val="5B7E57D9"/>
    <w:rsid w:val="5B8118C0"/>
    <w:rsid w:val="5B8E24BC"/>
    <w:rsid w:val="5B922527"/>
    <w:rsid w:val="5B941CEC"/>
    <w:rsid w:val="5BBC1C48"/>
    <w:rsid w:val="5BC31F9B"/>
    <w:rsid w:val="5BCE7A03"/>
    <w:rsid w:val="5BE72064"/>
    <w:rsid w:val="5BF0758B"/>
    <w:rsid w:val="5C25643B"/>
    <w:rsid w:val="5C2723A0"/>
    <w:rsid w:val="5C3061BE"/>
    <w:rsid w:val="5C314C9C"/>
    <w:rsid w:val="5C4C77EB"/>
    <w:rsid w:val="5C666FF4"/>
    <w:rsid w:val="5C687665"/>
    <w:rsid w:val="5CBA6CDE"/>
    <w:rsid w:val="5CF1465E"/>
    <w:rsid w:val="5CFB06F8"/>
    <w:rsid w:val="5D016158"/>
    <w:rsid w:val="5D1B0BDF"/>
    <w:rsid w:val="5D1B2F0E"/>
    <w:rsid w:val="5D1B5792"/>
    <w:rsid w:val="5D4B0531"/>
    <w:rsid w:val="5D591019"/>
    <w:rsid w:val="5D69289B"/>
    <w:rsid w:val="5D6972B8"/>
    <w:rsid w:val="5D6A3615"/>
    <w:rsid w:val="5D6D6873"/>
    <w:rsid w:val="5D9D22D5"/>
    <w:rsid w:val="5DB45ED2"/>
    <w:rsid w:val="5DC77F50"/>
    <w:rsid w:val="5DE87D6B"/>
    <w:rsid w:val="5DEE3636"/>
    <w:rsid w:val="5DFB575A"/>
    <w:rsid w:val="5E775EDC"/>
    <w:rsid w:val="5EBC309D"/>
    <w:rsid w:val="5EDF3CD6"/>
    <w:rsid w:val="5EEF5034"/>
    <w:rsid w:val="5EF52EEF"/>
    <w:rsid w:val="5F000370"/>
    <w:rsid w:val="5F0A68E2"/>
    <w:rsid w:val="5F1F564E"/>
    <w:rsid w:val="5F2110E7"/>
    <w:rsid w:val="5F372193"/>
    <w:rsid w:val="5F3B069F"/>
    <w:rsid w:val="5F7D423B"/>
    <w:rsid w:val="5FA35602"/>
    <w:rsid w:val="5FBA4655"/>
    <w:rsid w:val="5FC075BA"/>
    <w:rsid w:val="5FE7085B"/>
    <w:rsid w:val="5FEC248A"/>
    <w:rsid w:val="600A2FD4"/>
    <w:rsid w:val="60192F41"/>
    <w:rsid w:val="602A0F80"/>
    <w:rsid w:val="60343B9C"/>
    <w:rsid w:val="60542072"/>
    <w:rsid w:val="60625EF2"/>
    <w:rsid w:val="60A17B22"/>
    <w:rsid w:val="60E4081F"/>
    <w:rsid w:val="61181721"/>
    <w:rsid w:val="61585BEC"/>
    <w:rsid w:val="617C24AD"/>
    <w:rsid w:val="618011FD"/>
    <w:rsid w:val="61894FF8"/>
    <w:rsid w:val="619553CD"/>
    <w:rsid w:val="61957957"/>
    <w:rsid w:val="6199098D"/>
    <w:rsid w:val="61A739F1"/>
    <w:rsid w:val="61AB589D"/>
    <w:rsid w:val="61AD1E69"/>
    <w:rsid w:val="61B55EFD"/>
    <w:rsid w:val="61E3588B"/>
    <w:rsid w:val="61EF4D70"/>
    <w:rsid w:val="621C08B9"/>
    <w:rsid w:val="62381554"/>
    <w:rsid w:val="62431899"/>
    <w:rsid w:val="624F257E"/>
    <w:rsid w:val="62861FEC"/>
    <w:rsid w:val="62886432"/>
    <w:rsid w:val="6290071C"/>
    <w:rsid w:val="62A349C7"/>
    <w:rsid w:val="62B5090F"/>
    <w:rsid w:val="62E472E7"/>
    <w:rsid w:val="62E934C6"/>
    <w:rsid w:val="63027BFF"/>
    <w:rsid w:val="631B3DC6"/>
    <w:rsid w:val="63232220"/>
    <w:rsid w:val="63275C4B"/>
    <w:rsid w:val="63402869"/>
    <w:rsid w:val="634F128B"/>
    <w:rsid w:val="6360055C"/>
    <w:rsid w:val="63627FE3"/>
    <w:rsid w:val="6387276B"/>
    <w:rsid w:val="63B509D2"/>
    <w:rsid w:val="63D57455"/>
    <w:rsid w:val="63F92934"/>
    <w:rsid w:val="64153CF6"/>
    <w:rsid w:val="64264155"/>
    <w:rsid w:val="64446E69"/>
    <w:rsid w:val="64535DFA"/>
    <w:rsid w:val="645A5BAC"/>
    <w:rsid w:val="647B66A3"/>
    <w:rsid w:val="64884149"/>
    <w:rsid w:val="64EB51AF"/>
    <w:rsid w:val="64F42DDF"/>
    <w:rsid w:val="64F951CE"/>
    <w:rsid w:val="64FC6999"/>
    <w:rsid w:val="65105662"/>
    <w:rsid w:val="65275E7C"/>
    <w:rsid w:val="652C5E68"/>
    <w:rsid w:val="655820EC"/>
    <w:rsid w:val="656A3EBF"/>
    <w:rsid w:val="659D21F5"/>
    <w:rsid w:val="65B869A5"/>
    <w:rsid w:val="66332866"/>
    <w:rsid w:val="6638044C"/>
    <w:rsid w:val="663F32AC"/>
    <w:rsid w:val="6655099B"/>
    <w:rsid w:val="66756CCD"/>
    <w:rsid w:val="6694706E"/>
    <w:rsid w:val="66A45498"/>
    <w:rsid w:val="66A9184D"/>
    <w:rsid w:val="66B5531C"/>
    <w:rsid w:val="66BE4026"/>
    <w:rsid w:val="66BE59D2"/>
    <w:rsid w:val="66CD6B09"/>
    <w:rsid w:val="66D734F0"/>
    <w:rsid w:val="66E9741C"/>
    <w:rsid w:val="66EE06D2"/>
    <w:rsid w:val="66F145A6"/>
    <w:rsid w:val="6707201B"/>
    <w:rsid w:val="67407898"/>
    <w:rsid w:val="67460B8F"/>
    <w:rsid w:val="67522914"/>
    <w:rsid w:val="676870E5"/>
    <w:rsid w:val="677C2850"/>
    <w:rsid w:val="67DF722C"/>
    <w:rsid w:val="67E10ABE"/>
    <w:rsid w:val="67F46606"/>
    <w:rsid w:val="680C5667"/>
    <w:rsid w:val="68325FB4"/>
    <w:rsid w:val="68531926"/>
    <w:rsid w:val="686B2676"/>
    <w:rsid w:val="686F3128"/>
    <w:rsid w:val="688646BE"/>
    <w:rsid w:val="68962385"/>
    <w:rsid w:val="68C12286"/>
    <w:rsid w:val="68EA6894"/>
    <w:rsid w:val="690F791B"/>
    <w:rsid w:val="69123AA6"/>
    <w:rsid w:val="69347570"/>
    <w:rsid w:val="693833C3"/>
    <w:rsid w:val="695B72D9"/>
    <w:rsid w:val="69761FC7"/>
    <w:rsid w:val="6985191D"/>
    <w:rsid w:val="69953160"/>
    <w:rsid w:val="69E66A22"/>
    <w:rsid w:val="69F061AA"/>
    <w:rsid w:val="69F06D97"/>
    <w:rsid w:val="69FA2ED0"/>
    <w:rsid w:val="6A067B6C"/>
    <w:rsid w:val="6A1A3FCA"/>
    <w:rsid w:val="6A3D3953"/>
    <w:rsid w:val="6A6D6639"/>
    <w:rsid w:val="6A7748F7"/>
    <w:rsid w:val="6A827A23"/>
    <w:rsid w:val="6AA87672"/>
    <w:rsid w:val="6ADC3D30"/>
    <w:rsid w:val="6AE9295F"/>
    <w:rsid w:val="6AFB7C79"/>
    <w:rsid w:val="6AFF60EC"/>
    <w:rsid w:val="6B193A93"/>
    <w:rsid w:val="6B307B5B"/>
    <w:rsid w:val="6B367406"/>
    <w:rsid w:val="6B426193"/>
    <w:rsid w:val="6B5414A1"/>
    <w:rsid w:val="6B6A7D58"/>
    <w:rsid w:val="6B7B2FD8"/>
    <w:rsid w:val="6B7C51E5"/>
    <w:rsid w:val="6BC9370D"/>
    <w:rsid w:val="6BCE0449"/>
    <w:rsid w:val="6BD95B9E"/>
    <w:rsid w:val="6C027255"/>
    <w:rsid w:val="6C3F32E4"/>
    <w:rsid w:val="6C4E4ABB"/>
    <w:rsid w:val="6C600A79"/>
    <w:rsid w:val="6C7949EF"/>
    <w:rsid w:val="6CA65ED1"/>
    <w:rsid w:val="6CC624BC"/>
    <w:rsid w:val="6D255513"/>
    <w:rsid w:val="6D295C4A"/>
    <w:rsid w:val="6D3D3C78"/>
    <w:rsid w:val="6D413DAD"/>
    <w:rsid w:val="6D443763"/>
    <w:rsid w:val="6D814C24"/>
    <w:rsid w:val="6DD1011C"/>
    <w:rsid w:val="6DF40DE0"/>
    <w:rsid w:val="6E287F35"/>
    <w:rsid w:val="6E550996"/>
    <w:rsid w:val="6E8977BA"/>
    <w:rsid w:val="6EC16F54"/>
    <w:rsid w:val="6EEB432C"/>
    <w:rsid w:val="6F097AF3"/>
    <w:rsid w:val="6F2C04BF"/>
    <w:rsid w:val="6F317F1E"/>
    <w:rsid w:val="6F431F4B"/>
    <w:rsid w:val="6F4D6A39"/>
    <w:rsid w:val="6F771D08"/>
    <w:rsid w:val="6F8074E6"/>
    <w:rsid w:val="6F875705"/>
    <w:rsid w:val="6FB0143C"/>
    <w:rsid w:val="6FBB68F4"/>
    <w:rsid w:val="6FC05FD8"/>
    <w:rsid w:val="6FD3672A"/>
    <w:rsid w:val="700329D1"/>
    <w:rsid w:val="700851FC"/>
    <w:rsid w:val="70225169"/>
    <w:rsid w:val="70257F6E"/>
    <w:rsid w:val="702E45E1"/>
    <w:rsid w:val="703F2826"/>
    <w:rsid w:val="70497DD7"/>
    <w:rsid w:val="705E0D61"/>
    <w:rsid w:val="706526AE"/>
    <w:rsid w:val="706F29D8"/>
    <w:rsid w:val="7082659E"/>
    <w:rsid w:val="708E730A"/>
    <w:rsid w:val="70C20D67"/>
    <w:rsid w:val="70DF6A44"/>
    <w:rsid w:val="711A620B"/>
    <w:rsid w:val="71291691"/>
    <w:rsid w:val="713505CF"/>
    <w:rsid w:val="715224D0"/>
    <w:rsid w:val="7153779F"/>
    <w:rsid w:val="71591FF4"/>
    <w:rsid w:val="715A787F"/>
    <w:rsid w:val="71600CA6"/>
    <w:rsid w:val="71770ED1"/>
    <w:rsid w:val="717B2890"/>
    <w:rsid w:val="719D62C8"/>
    <w:rsid w:val="71A80FED"/>
    <w:rsid w:val="71C209E1"/>
    <w:rsid w:val="71C27EB0"/>
    <w:rsid w:val="71D5281A"/>
    <w:rsid w:val="71D562E1"/>
    <w:rsid w:val="71E459BD"/>
    <w:rsid w:val="72111FA0"/>
    <w:rsid w:val="722C4233"/>
    <w:rsid w:val="725637C4"/>
    <w:rsid w:val="725B6DAA"/>
    <w:rsid w:val="72742724"/>
    <w:rsid w:val="7289591C"/>
    <w:rsid w:val="728D30AF"/>
    <w:rsid w:val="72A82982"/>
    <w:rsid w:val="72C4455E"/>
    <w:rsid w:val="72EA5416"/>
    <w:rsid w:val="73061702"/>
    <w:rsid w:val="730B1075"/>
    <w:rsid w:val="73147065"/>
    <w:rsid w:val="73206D14"/>
    <w:rsid w:val="73231CF3"/>
    <w:rsid w:val="73383A24"/>
    <w:rsid w:val="7344125C"/>
    <w:rsid w:val="73457DE6"/>
    <w:rsid w:val="734C0764"/>
    <w:rsid w:val="737C09CA"/>
    <w:rsid w:val="73813468"/>
    <w:rsid w:val="7386251A"/>
    <w:rsid w:val="73910333"/>
    <w:rsid w:val="73C03F50"/>
    <w:rsid w:val="73C44CED"/>
    <w:rsid w:val="74037D58"/>
    <w:rsid w:val="742B148A"/>
    <w:rsid w:val="742C3196"/>
    <w:rsid w:val="742C7450"/>
    <w:rsid w:val="743B5C12"/>
    <w:rsid w:val="74462C4A"/>
    <w:rsid w:val="74471506"/>
    <w:rsid w:val="7474144A"/>
    <w:rsid w:val="748D71DC"/>
    <w:rsid w:val="74954DF3"/>
    <w:rsid w:val="749F177B"/>
    <w:rsid w:val="74BA691F"/>
    <w:rsid w:val="750E700E"/>
    <w:rsid w:val="75425B57"/>
    <w:rsid w:val="75502D90"/>
    <w:rsid w:val="755B11BC"/>
    <w:rsid w:val="755B5EAC"/>
    <w:rsid w:val="758E3908"/>
    <w:rsid w:val="75AF0860"/>
    <w:rsid w:val="75B954D0"/>
    <w:rsid w:val="75BA294F"/>
    <w:rsid w:val="75F54148"/>
    <w:rsid w:val="760616F0"/>
    <w:rsid w:val="761144D3"/>
    <w:rsid w:val="762B73A9"/>
    <w:rsid w:val="76323D29"/>
    <w:rsid w:val="763E7E83"/>
    <w:rsid w:val="764673F0"/>
    <w:rsid w:val="764D4C19"/>
    <w:rsid w:val="766B4C39"/>
    <w:rsid w:val="76BC35B7"/>
    <w:rsid w:val="76D27440"/>
    <w:rsid w:val="76D56108"/>
    <w:rsid w:val="770567DF"/>
    <w:rsid w:val="770761C7"/>
    <w:rsid w:val="7718714A"/>
    <w:rsid w:val="776311EF"/>
    <w:rsid w:val="778704BE"/>
    <w:rsid w:val="77931C97"/>
    <w:rsid w:val="779571D0"/>
    <w:rsid w:val="779C67B0"/>
    <w:rsid w:val="779D7D11"/>
    <w:rsid w:val="77B4528F"/>
    <w:rsid w:val="780800A8"/>
    <w:rsid w:val="78116641"/>
    <w:rsid w:val="78237905"/>
    <w:rsid w:val="78326989"/>
    <w:rsid w:val="78372A30"/>
    <w:rsid w:val="783E45AE"/>
    <w:rsid w:val="7845393E"/>
    <w:rsid w:val="784A077E"/>
    <w:rsid w:val="784A7FBA"/>
    <w:rsid w:val="785250C1"/>
    <w:rsid w:val="78674FC3"/>
    <w:rsid w:val="78855ED9"/>
    <w:rsid w:val="78940C6A"/>
    <w:rsid w:val="789A6AB2"/>
    <w:rsid w:val="789B24E3"/>
    <w:rsid w:val="78A53442"/>
    <w:rsid w:val="78AD0ACD"/>
    <w:rsid w:val="78B25737"/>
    <w:rsid w:val="79167E9C"/>
    <w:rsid w:val="79280CDA"/>
    <w:rsid w:val="7929073A"/>
    <w:rsid w:val="79341AEB"/>
    <w:rsid w:val="795D2CF0"/>
    <w:rsid w:val="79612734"/>
    <w:rsid w:val="79687C77"/>
    <w:rsid w:val="79812F93"/>
    <w:rsid w:val="798C77C2"/>
    <w:rsid w:val="79986B03"/>
    <w:rsid w:val="79A71817"/>
    <w:rsid w:val="79D02741"/>
    <w:rsid w:val="79D33DC3"/>
    <w:rsid w:val="79E5377F"/>
    <w:rsid w:val="79ED369C"/>
    <w:rsid w:val="7A2860D7"/>
    <w:rsid w:val="7A374C0C"/>
    <w:rsid w:val="7A4A67F9"/>
    <w:rsid w:val="7A4D3F8B"/>
    <w:rsid w:val="7A546ECE"/>
    <w:rsid w:val="7A6335B5"/>
    <w:rsid w:val="7A8C22DE"/>
    <w:rsid w:val="7AA175DD"/>
    <w:rsid w:val="7ABD4654"/>
    <w:rsid w:val="7ACA058E"/>
    <w:rsid w:val="7AEF5C92"/>
    <w:rsid w:val="7AF272FC"/>
    <w:rsid w:val="7AF628AF"/>
    <w:rsid w:val="7AFB35C8"/>
    <w:rsid w:val="7B220EF6"/>
    <w:rsid w:val="7B5D6256"/>
    <w:rsid w:val="7B65510B"/>
    <w:rsid w:val="7B69292E"/>
    <w:rsid w:val="7B6F4FCF"/>
    <w:rsid w:val="7B8437E3"/>
    <w:rsid w:val="7B846009"/>
    <w:rsid w:val="7BB34DD5"/>
    <w:rsid w:val="7BB7235B"/>
    <w:rsid w:val="7C0A3837"/>
    <w:rsid w:val="7C1A3DCC"/>
    <w:rsid w:val="7C1D4C9E"/>
    <w:rsid w:val="7C201D13"/>
    <w:rsid w:val="7C371C6E"/>
    <w:rsid w:val="7C4F2043"/>
    <w:rsid w:val="7C6D071B"/>
    <w:rsid w:val="7CBB6B0D"/>
    <w:rsid w:val="7CC925B3"/>
    <w:rsid w:val="7CD95DB0"/>
    <w:rsid w:val="7D0A7D18"/>
    <w:rsid w:val="7D0A7E5C"/>
    <w:rsid w:val="7D485A6F"/>
    <w:rsid w:val="7D696DE8"/>
    <w:rsid w:val="7D756300"/>
    <w:rsid w:val="7D7E4262"/>
    <w:rsid w:val="7D8B7AD0"/>
    <w:rsid w:val="7DBD084D"/>
    <w:rsid w:val="7DCA5BFC"/>
    <w:rsid w:val="7DD5117F"/>
    <w:rsid w:val="7E1637E3"/>
    <w:rsid w:val="7E2E136F"/>
    <w:rsid w:val="7E3A63DB"/>
    <w:rsid w:val="7E3E7B98"/>
    <w:rsid w:val="7E4B05E8"/>
    <w:rsid w:val="7E4F21A1"/>
    <w:rsid w:val="7E7E67CC"/>
    <w:rsid w:val="7E82290F"/>
    <w:rsid w:val="7EB07120"/>
    <w:rsid w:val="7ED55296"/>
    <w:rsid w:val="7EE713D0"/>
    <w:rsid w:val="7F08094C"/>
    <w:rsid w:val="7F286B7B"/>
    <w:rsid w:val="7F365E04"/>
    <w:rsid w:val="7F472B1E"/>
    <w:rsid w:val="7F4A08A0"/>
    <w:rsid w:val="7F60306F"/>
    <w:rsid w:val="7F7019CC"/>
    <w:rsid w:val="7F8F5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qFormat="1" w:unhideWhenUsed="0" w:uiPriority="99" w:name="envelope address"/>
    <w:lsdException w:qFormat="1" w:unhideWhenUsed="0" w:uiPriority="99" w:name="envelope return"/>
    <w:lsdException w:qFormat="1" w:unhideWhenUsed="0" w:uiPriority="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0"/>
    <w:qFormat/>
    <w:uiPriority w:val="99"/>
    <w:pPr>
      <w:numPr>
        <w:ilvl w:val="0"/>
        <w:numId w:val="1"/>
      </w:numPr>
      <w:tabs>
        <w:tab w:val="right" w:leader="dot" w:pos="9061"/>
      </w:tabs>
      <w:spacing w:line="360" w:lineRule="auto"/>
      <w:jc w:val="center"/>
      <w:outlineLvl w:val="0"/>
    </w:pPr>
    <w:rPr>
      <w:b/>
      <w:iCs/>
      <w:sz w:val="36"/>
      <w:szCs w:val="20"/>
    </w:rPr>
  </w:style>
  <w:style w:type="paragraph" w:styleId="4">
    <w:name w:val="heading 2"/>
    <w:basedOn w:val="1"/>
    <w:next w:val="1"/>
    <w:link w:val="144"/>
    <w:qFormat/>
    <w:uiPriority w:val="0"/>
    <w:pPr>
      <w:numPr>
        <w:ilvl w:val="1"/>
        <w:numId w:val="1"/>
      </w:numPr>
      <w:spacing w:before="50" w:beforeLines="50"/>
      <w:outlineLvl w:val="1"/>
    </w:pPr>
    <w:rPr>
      <w:b/>
    </w:rPr>
  </w:style>
  <w:style w:type="paragraph" w:styleId="5">
    <w:name w:val="heading 3"/>
    <w:basedOn w:val="1"/>
    <w:next w:val="1"/>
    <w:link w:val="141"/>
    <w:qFormat/>
    <w:uiPriority w:val="99"/>
    <w:pPr>
      <w:keepNext/>
      <w:keepLines/>
      <w:numPr>
        <w:ilvl w:val="2"/>
        <w:numId w:val="1"/>
      </w:numPr>
      <w:spacing w:line="360" w:lineRule="auto"/>
      <w:ind w:left="720" w:hanging="720" w:firstLineChars="0"/>
      <w:jc w:val="left"/>
      <w:outlineLvl w:val="2"/>
    </w:pPr>
    <w:rPr>
      <w:bCs/>
      <w:kern w:val="0"/>
      <w:sz w:val="24"/>
      <w:szCs w:val="32"/>
    </w:rPr>
  </w:style>
  <w:style w:type="paragraph" w:styleId="6">
    <w:name w:val="heading 4"/>
    <w:basedOn w:val="1"/>
    <w:next w:val="1"/>
    <w:link w:val="145"/>
    <w:qFormat/>
    <w:uiPriority w:val="99"/>
    <w:pPr>
      <w:keepNext/>
      <w:keepLines/>
      <w:numPr>
        <w:ilvl w:val="3"/>
        <w:numId w:val="1"/>
      </w:numPr>
      <w:spacing w:before="280" w:after="290" w:line="376" w:lineRule="auto"/>
      <w:outlineLvl w:val="3"/>
    </w:pPr>
    <w:rPr>
      <w:rFonts w:ascii="Arial" w:hAnsi="Arial" w:eastAsia="黑体"/>
      <w:b/>
      <w:bCs/>
      <w:kern w:val="0"/>
      <w:sz w:val="28"/>
      <w:szCs w:val="28"/>
    </w:rPr>
  </w:style>
  <w:style w:type="paragraph" w:styleId="7">
    <w:name w:val="heading 5"/>
    <w:basedOn w:val="1"/>
    <w:next w:val="1"/>
    <w:link w:val="146"/>
    <w:qFormat/>
    <w:uiPriority w:val="99"/>
    <w:pPr>
      <w:keepNext/>
      <w:keepLines/>
      <w:numPr>
        <w:ilvl w:val="4"/>
        <w:numId w:val="1"/>
      </w:numPr>
      <w:spacing w:before="280" w:after="290" w:line="376" w:lineRule="auto"/>
      <w:outlineLvl w:val="4"/>
    </w:pPr>
    <w:rPr>
      <w:b/>
      <w:bCs/>
      <w:kern w:val="0"/>
      <w:sz w:val="28"/>
      <w:szCs w:val="28"/>
    </w:rPr>
  </w:style>
  <w:style w:type="paragraph" w:styleId="8">
    <w:name w:val="heading 6"/>
    <w:basedOn w:val="1"/>
    <w:next w:val="1"/>
    <w:link w:val="147"/>
    <w:qFormat/>
    <w:uiPriority w:val="99"/>
    <w:pPr>
      <w:keepNext/>
      <w:keepLines/>
      <w:numPr>
        <w:ilvl w:val="5"/>
        <w:numId w:val="1"/>
      </w:numPr>
      <w:spacing w:before="240" w:after="64" w:line="320" w:lineRule="auto"/>
      <w:outlineLvl w:val="5"/>
    </w:pPr>
    <w:rPr>
      <w:rFonts w:ascii="Arial" w:hAnsi="Arial" w:eastAsia="黑体"/>
      <w:b/>
      <w:bCs/>
      <w:kern w:val="0"/>
      <w:sz w:val="20"/>
      <w:szCs w:val="20"/>
    </w:rPr>
  </w:style>
  <w:style w:type="paragraph" w:styleId="9">
    <w:name w:val="heading 7"/>
    <w:basedOn w:val="1"/>
    <w:next w:val="1"/>
    <w:link w:val="148"/>
    <w:qFormat/>
    <w:uiPriority w:val="99"/>
    <w:pPr>
      <w:keepNext/>
      <w:keepLines/>
      <w:numPr>
        <w:ilvl w:val="6"/>
        <w:numId w:val="1"/>
      </w:numPr>
      <w:spacing w:before="240" w:after="64" w:line="320" w:lineRule="auto"/>
      <w:jc w:val="left"/>
      <w:outlineLvl w:val="6"/>
    </w:pPr>
    <w:rPr>
      <w:b/>
      <w:bCs/>
      <w:kern w:val="0"/>
      <w:sz w:val="24"/>
      <w:szCs w:val="24"/>
    </w:rPr>
  </w:style>
  <w:style w:type="paragraph" w:styleId="10">
    <w:name w:val="heading 8"/>
    <w:basedOn w:val="1"/>
    <w:next w:val="1"/>
    <w:link w:val="149"/>
    <w:qFormat/>
    <w:uiPriority w:val="99"/>
    <w:pPr>
      <w:keepNext/>
      <w:keepLines/>
      <w:numPr>
        <w:ilvl w:val="7"/>
        <w:numId w:val="1"/>
      </w:numPr>
      <w:tabs>
        <w:tab w:val="left" w:pos="1440"/>
      </w:tabs>
      <w:adjustRightInd w:val="0"/>
      <w:spacing w:line="360" w:lineRule="atLeast"/>
      <w:outlineLvl w:val="7"/>
    </w:pPr>
    <w:rPr>
      <w:rFonts w:ascii="Cambria" w:hAnsi="Cambria"/>
      <w:kern w:val="0"/>
      <w:sz w:val="24"/>
      <w:szCs w:val="24"/>
    </w:rPr>
  </w:style>
  <w:style w:type="paragraph" w:styleId="11">
    <w:name w:val="heading 9"/>
    <w:basedOn w:val="1"/>
    <w:next w:val="1"/>
    <w:link w:val="150"/>
    <w:qFormat/>
    <w:uiPriority w:val="99"/>
    <w:pPr>
      <w:keepNext/>
      <w:keepLines/>
      <w:numPr>
        <w:ilvl w:val="8"/>
        <w:numId w:val="1"/>
      </w:numPr>
      <w:tabs>
        <w:tab w:val="left" w:pos="1584"/>
      </w:tabs>
      <w:adjustRightInd w:val="0"/>
      <w:spacing w:line="360" w:lineRule="atLeast"/>
      <w:outlineLvl w:val="8"/>
    </w:pPr>
    <w:rPr>
      <w:rFonts w:ascii="Cambria" w:hAnsi="Cambria"/>
      <w:kern w:val="0"/>
    </w:rPr>
  </w:style>
  <w:style w:type="character" w:default="1" w:styleId="121">
    <w:name w:val="Default Paragraph Font"/>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39"/>
    <w:qFormat/>
    <w:uiPriority w:val="99"/>
    <w:pPr>
      <w:ind w:firstLine="420" w:firstLineChars="200"/>
    </w:pPr>
    <w:rPr>
      <w:kern w:val="0"/>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39"/>
    <w:pPr>
      <w:ind w:left="1260"/>
      <w:jc w:val="left"/>
    </w:pPr>
    <w:rPr>
      <w:sz w:val="18"/>
      <w:szCs w:val="18"/>
    </w:rPr>
  </w:style>
  <w:style w:type="paragraph" w:styleId="14">
    <w:name w:val="List Number 2"/>
    <w:basedOn w:val="1"/>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5">
    <w:name w:val="table of authorities"/>
    <w:basedOn w:val="1"/>
    <w:next w:val="1"/>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6">
    <w:name w:val="Note Heading"/>
    <w:basedOn w:val="1"/>
    <w:next w:val="1"/>
    <w:link w:val="151"/>
    <w:semiHidden/>
    <w:qFormat/>
    <w:uiPriority w:val="99"/>
    <w:pPr>
      <w:spacing w:after="200" w:line="276" w:lineRule="auto"/>
      <w:jc w:val="center"/>
    </w:pPr>
    <w:rPr>
      <w:kern w:val="0"/>
    </w:rPr>
  </w:style>
  <w:style w:type="paragraph" w:styleId="17">
    <w:name w:val="List Bullet 4"/>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8">
    <w:name w:val="E-mail Signature"/>
    <w:basedOn w:val="1"/>
    <w:link w:val="152"/>
    <w:semiHidden/>
    <w:qFormat/>
    <w:uiPriority w:val="99"/>
    <w:pPr>
      <w:spacing w:after="200" w:line="276" w:lineRule="auto"/>
      <w:jc w:val="left"/>
    </w:pPr>
    <w:rPr>
      <w:kern w:val="0"/>
    </w:rPr>
  </w:style>
  <w:style w:type="paragraph" w:styleId="19">
    <w:name w:val="List Number"/>
    <w:basedOn w:val="1"/>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0">
    <w:name w:val="caption"/>
    <w:basedOn w:val="1"/>
    <w:next w:val="1"/>
    <w:qFormat/>
    <w:uiPriority w:val="0"/>
    <w:pPr>
      <w:spacing w:before="152" w:after="160"/>
    </w:pPr>
    <w:rPr>
      <w:rFonts w:ascii="Arial" w:hAnsi="Arial" w:eastAsia="黑体" w:cs="Arial"/>
      <w:sz w:val="20"/>
      <w:szCs w:val="20"/>
    </w:rPr>
  </w:style>
  <w:style w:type="paragraph" w:styleId="21">
    <w:name w:val="List Bullet"/>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2">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3">
    <w:name w:val="Document Map"/>
    <w:basedOn w:val="1"/>
    <w:link w:val="153"/>
    <w:qFormat/>
    <w:uiPriority w:val="0"/>
    <w:pPr>
      <w:shd w:val="clear" w:color="auto" w:fill="000080"/>
    </w:pPr>
    <w:rPr>
      <w:kern w:val="0"/>
      <w:sz w:val="2"/>
      <w:szCs w:val="2"/>
    </w:rPr>
  </w:style>
  <w:style w:type="paragraph" w:styleId="24">
    <w:name w:val="toa heading"/>
    <w:basedOn w:val="1"/>
    <w:next w:val="1"/>
    <w:qFormat/>
    <w:uiPriority w:val="0"/>
    <w:pPr>
      <w:spacing w:before="120"/>
    </w:pPr>
    <w:rPr>
      <w:rFonts w:ascii="Arial" w:hAnsi="Arial" w:cs="Arial"/>
      <w:sz w:val="24"/>
      <w:szCs w:val="24"/>
    </w:rPr>
  </w:style>
  <w:style w:type="paragraph" w:styleId="25">
    <w:name w:val="annotation text"/>
    <w:basedOn w:val="1"/>
    <w:link w:val="154"/>
    <w:qFormat/>
    <w:uiPriority w:val="99"/>
    <w:pPr>
      <w:spacing w:after="200" w:line="276" w:lineRule="auto"/>
      <w:jc w:val="left"/>
    </w:pPr>
    <w:rPr>
      <w:kern w:val="0"/>
    </w:rPr>
  </w:style>
  <w:style w:type="paragraph" w:styleId="26">
    <w:name w:val="Salutation"/>
    <w:basedOn w:val="1"/>
    <w:next w:val="1"/>
    <w:link w:val="155"/>
    <w:qFormat/>
    <w:uiPriority w:val="99"/>
    <w:pPr>
      <w:spacing w:after="200" w:line="276" w:lineRule="auto"/>
      <w:jc w:val="left"/>
    </w:pPr>
    <w:rPr>
      <w:kern w:val="0"/>
    </w:rPr>
  </w:style>
  <w:style w:type="paragraph" w:styleId="27">
    <w:name w:val="Body Text 3"/>
    <w:basedOn w:val="1"/>
    <w:link w:val="156"/>
    <w:qFormat/>
    <w:uiPriority w:val="99"/>
    <w:rPr>
      <w:kern w:val="0"/>
      <w:sz w:val="16"/>
      <w:szCs w:val="16"/>
    </w:rPr>
  </w:style>
  <w:style w:type="paragraph" w:styleId="28">
    <w:name w:val="Closing"/>
    <w:basedOn w:val="1"/>
    <w:link w:val="157"/>
    <w:semiHidden/>
    <w:qFormat/>
    <w:uiPriority w:val="99"/>
    <w:pPr>
      <w:spacing w:after="200" w:line="276" w:lineRule="auto"/>
      <w:ind w:left="100" w:leftChars="2100"/>
      <w:jc w:val="left"/>
    </w:pPr>
    <w:rPr>
      <w:kern w:val="0"/>
    </w:rPr>
  </w:style>
  <w:style w:type="paragraph" w:styleId="29">
    <w:name w:val="List Bullet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0">
    <w:name w:val="Body Text"/>
    <w:basedOn w:val="1"/>
    <w:link w:val="143"/>
    <w:qFormat/>
    <w:uiPriority w:val="99"/>
    <w:pPr>
      <w:spacing w:after="120"/>
    </w:pPr>
    <w:rPr>
      <w:kern w:val="0"/>
    </w:rPr>
  </w:style>
  <w:style w:type="paragraph" w:styleId="31">
    <w:name w:val="Body Text Indent"/>
    <w:basedOn w:val="1"/>
    <w:link w:val="158"/>
    <w:qFormat/>
    <w:uiPriority w:val="0"/>
    <w:pPr>
      <w:spacing w:line="500" w:lineRule="exact"/>
      <w:ind w:left="1588" w:leftChars="832" w:firstLine="433" w:firstLineChars="196"/>
    </w:pPr>
    <w:rPr>
      <w:kern w:val="0"/>
    </w:rPr>
  </w:style>
  <w:style w:type="paragraph" w:styleId="32">
    <w:name w:val="List Number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3">
    <w:name w:val="List 2"/>
    <w:basedOn w:val="1"/>
    <w:qFormat/>
    <w:uiPriority w:val="99"/>
    <w:pPr>
      <w:ind w:left="100" w:leftChars="200" w:hanging="200" w:hangingChars="200"/>
    </w:pPr>
  </w:style>
  <w:style w:type="paragraph" w:styleId="34">
    <w:name w:val="List Continue"/>
    <w:basedOn w:val="1"/>
    <w:qFormat/>
    <w:uiPriority w:val="99"/>
    <w:pPr>
      <w:spacing w:after="120"/>
      <w:ind w:left="420" w:leftChars="200"/>
    </w:pPr>
  </w:style>
  <w:style w:type="paragraph" w:styleId="35">
    <w:name w:val="Block Text"/>
    <w:basedOn w:val="1"/>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6">
    <w:name w:val="List Bullet 2"/>
    <w:basedOn w:val="1"/>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7">
    <w:name w:val="HTML Address"/>
    <w:basedOn w:val="1"/>
    <w:link w:val="159"/>
    <w:semiHidden/>
    <w:qFormat/>
    <w:uiPriority w:val="99"/>
    <w:pPr>
      <w:spacing w:after="200" w:line="276" w:lineRule="auto"/>
      <w:jc w:val="left"/>
    </w:pPr>
    <w:rPr>
      <w:i/>
      <w:iCs/>
      <w:kern w:val="0"/>
    </w:rPr>
  </w:style>
  <w:style w:type="paragraph" w:styleId="38">
    <w:name w:val="toc 5"/>
    <w:basedOn w:val="1"/>
    <w:next w:val="1"/>
    <w:qFormat/>
    <w:uiPriority w:val="39"/>
    <w:pPr>
      <w:ind w:left="840"/>
      <w:jc w:val="left"/>
    </w:pPr>
    <w:rPr>
      <w:sz w:val="18"/>
      <w:szCs w:val="18"/>
    </w:rPr>
  </w:style>
  <w:style w:type="paragraph" w:styleId="39">
    <w:name w:val="toc 3"/>
    <w:basedOn w:val="1"/>
    <w:next w:val="1"/>
    <w:qFormat/>
    <w:uiPriority w:val="39"/>
    <w:pPr>
      <w:spacing w:line="360" w:lineRule="auto"/>
      <w:ind w:left="420"/>
      <w:jc w:val="left"/>
    </w:pPr>
    <w:rPr>
      <w:iCs/>
      <w:sz w:val="24"/>
      <w:szCs w:val="20"/>
    </w:rPr>
  </w:style>
  <w:style w:type="paragraph" w:styleId="40">
    <w:name w:val="Plain Text"/>
    <w:basedOn w:val="1"/>
    <w:link w:val="160"/>
    <w:qFormat/>
    <w:uiPriority w:val="0"/>
    <w:rPr>
      <w:rFonts w:ascii="宋体" w:hAnsi="Courier New"/>
      <w:kern w:val="0"/>
    </w:rPr>
  </w:style>
  <w:style w:type="paragraph" w:styleId="41">
    <w:name w:val="List Bullet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2">
    <w:name w:val="List Number 4"/>
    <w:basedOn w:val="1"/>
    <w:semiHidden/>
    <w:qFormat/>
    <w:uiPriority w:val="99"/>
    <w:pPr>
      <w:numPr>
        <w:ilvl w:val="0"/>
        <w:numId w:val="2"/>
      </w:numPr>
      <w:spacing w:after="200" w:line="276" w:lineRule="auto"/>
      <w:jc w:val="left"/>
    </w:pPr>
    <w:rPr>
      <w:rFonts w:ascii="Calibri" w:hAnsi="Calibri" w:cs="Calibri"/>
      <w:kern w:val="0"/>
      <w:sz w:val="22"/>
      <w:szCs w:val="22"/>
      <w:lang w:eastAsia="en-US"/>
    </w:rPr>
  </w:style>
  <w:style w:type="paragraph" w:styleId="43">
    <w:name w:val="toc 8"/>
    <w:basedOn w:val="1"/>
    <w:next w:val="1"/>
    <w:qFormat/>
    <w:uiPriority w:val="39"/>
    <w:pPr>
      <w:ind w:left="1470"/>
      <w:jc w:val="left"/>
    </w:pPr>
    <w:rPr>
      <w:sz w:val="18"/>
      <w:szCs w:val="18"/>
    </w:rPr>
  </w:style>
  <w:style w:type="paragraph" w:styleId="44">
    <w:name w:val="Date"/>
    <w:basedOn w:val="1"/>
    <w:next w:val="1"/>
    <w:link w:val="161"/>
    <w:qFormat/>
    <w:uiPriority w:val="0"/>
    <w:pPr>
      <w:ind w:left="100" w:leftChars="2500"/>
    </w:pPr>
    <w:rPr>
      <w:kern w:val="0"/>
    </w:rPr>
  </w:style>
  <w:style w:type="paragraph" w:styleId="45">
    <w:name w:val="Body Text Indent 2"/>
    <w:basedOn w:val="1"/>
    <w:link w:val="162"/>
    <w:qFormat/>
    <w:uiPriority w:val="0"/>
    <w:pPr>
      <w:spacing w:line="500" w:lineRule="exact"/>
      <w:ind w:firstLine="442" w:firstLineChars="200"/>
    </w:pPr>
    <w:rPr>
      <w:kern w:val="0"/>
    </w:rPr>
  </w:style>
  <w:style w:type="paragraph" w:styleId="46">
    <w:name w:val="List Continue 5"/>
    <w:basedOn w:val="1"/>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7">
    <w:name w:val="Balloon Text"/>
    <w:basedOn w:val="1"/>
    <w:link w:val="163"/>
    <w:qFormat/>
    <w:uiPriority w:val="99"/>
    <w:rPr>
      <w:sz w:val="18"/>
      <w:szCs w:val="18"/>
    </w:rPr>
  </w:style>
  <w:style w:type="paragraph" w:styleId="48">
    <w:name w:val="footer"/>
    <w:basedOn w:val="1"/>
    <w:link w:val="164"/>
    <w:qFormat/>
    <w:uiPriority w:val="99"/>
    <w:pPr>
      <w:tabs>
        <w:tab w:val="center" w:pos="4153"/>
        <w:tab w:val="right" w:pos="8306"/>
      </w:tabs>
      <w:snapToGrid w:val="0"/>
      <w:jc w:val="left"/>
    </w:pPr>
    <w:rPr>
      <w:kern w:val="0"/>
      <w:sz w:val="18"/>
      <w:szCs w:val="18"/>
    </w:rPr>
  </w:style>
  <w:style w:type="paragraph" w:styleId="49">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50">
    <w:name w:val="header"/>
    <w:basedOn w:val="1"/>
    <w:link w:val="165"/>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Signature"/>
    <w:basedOn w:val="1"/>
    <w:link w:val="166"/>
    <w:qFormat/>
    <w:uiPriority w:val="99"/>
    <w:pPr>
      <w:ind w:left="100" w:leftChars="2100"/>
    </w:pPr>
    <w:rPr>
      <w:kern w:val="0"/>
    </w:rPr>
  </w:style>
  <w:style w:type="paragraph" w:styleId="52">
    <w:name w:val="toc 1"/>
    <w:basedOn w:val="1"/>
    <w:next w:val="1"/>
    <w:qFormat/>
    <w:uiPriority w:val="39"/>
    <w:pPr>
      <w:spacing w:before="120" w:after="120"/>
      <w:jc w:val="left"/>
    </w:pPr>
    <w:rPr>
      <w:b/>
      <w:bCs/>
      <w:caps/>
      <w:sz w:val="24"/>
      <w:szCs w:val="20"/>
    </w:rPr>
  </w:style>
  <w:style w:type="paragraph" w:styleId="53">
    <w:name w:val="List Continue 4"/>
    <w:basedOn w:val="1"/>
    <w:qFormat/>
    <w:uiPriority w:val="99"/>
    <w:pPr>
      <w:spacing w:after="120"/>
      <w:ind w:left="1680" w:leftChars="800"/>
    </w:pPr>
  </w:style>
  <w:style w:type="paragraph" w:styleId="54">
    <w:name w:val="toc 4"/>
    <w:basedOn w:val="1"/>
    <w:next w:val="1"/>
    <w:qFormat/>
    <w:uiPriority w:val="39"/>
    <w:pPr>
      <w:ind w:left="630"/>
      <w:jc w:val="left"/>
    </w:pPr>
    <w:rPr>
      <w:sz w:val="18"/>
      <w:szCs w:val="18"/>
    </w:rPr>
  </w:style>
  <w:style w:type="paragraph" w:styleId="55">
    <w:name w:val="Subtitle"/>
    <w:basedOn w:val="1"/>
    <w:link w:val="167"/>
    <w:qFormat/>
    <w:uiPriority w:val="99"/>
    <w:pPr>
      <w:spacing w:before="240" w:after="60" w:line="312" w:lineRule="auto"/>
      <w:jc w:val="center"/>
      <w:outlineLvl w:val="1"/>
    </w:pPr>
    <w:rPr>
      <w:rFonts w:ascii="Cambria" w:hAnsi="Cambria"/>
      <w:b/>
      <w:bCs/>
      <w:kern w:val="28"/>
      <w:sz w:val="32"/>
      <w:szCs w:val="32"/>
    </w:rPr>
  </w:style>
  <w:style w:type="paragraph" w:styleId="56">
    <w:name w:val="List Number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7">
    <w:name w:val="List"/>
    <w:basedOn w:val="1"/>
    <w:qFormat/>
    <w:uiPriority w:val="0"/>
    <w:pPr>
      <w:ind w:left="200" w:hanging="200" w:hangingChars="200"/>
    </w:pPr>
  </w:style>
  <w:style w:type="paragraph" w:styleId="58">
    <w:name w:val="footnote text"/>
    <w:basedOn w:val="1"/>
    <w:semiHidden/>
    <w:qFormat/>
    <w:locked/>
    <w:uiPriority w:val="0"/>
    <w:pPr>
      <w:snapToGrid w:val="0"/>
      <w:jc w:val="left"/>
    </w:pPr>
    <w:rPr>
      <w:sz w:val="18"/>
      <w:szCs w:val="18"/>
    </w:rPr>
  </w:style>
  <w:style w:type="paragraph" w:styleId="59">
    <w:name w:val="toc 6"/>
    <w:basedOn w:val="1"/>
    <w:next w:val="1"/>
    <w:qFormat/>
    <w:uiPriority w:val="39"/>
    <w:pPr>
      <w:ind w:left="1050"/>
      <w:jc w:val="left"/>
    </w:pPr>
    <w:rPr>
      <w:sz w:val="18"/>
      <w:szCs w:val="18"/>
    </w:rPr>
  </w:style>
  <w:style w:type="paragraph" w:styleId="60">
    <w:name w:val="List 5"/>
    <w:basedOn w:val="1"/>
    <w:qFormat/>
    <w:uiPriority w:val="99"/>
    <w:pPr>
      <w:ind w:left="100" w:leftChars="800" w:hanging="200" w:hangingChars="200"/>
    </w:pPr>
  </w:style>
  <w:style w:type="paragraph" w:styleId="61">
    <w:name w:val="Body Text Indent 3"/>
    <w:basedOn w:val="1"/>
    <w:link w:val="168"/>
    <w:qFormat/>
    <w:uiPriority w:val="0"/>
    <w:pPr>
      <w:tabs>
        <w:tab w:val="left" w:pos="1134"/>
        <w:tab w:val="left" w:pos="5481"/>
        <w:tab w:val="left" w:pos="5859"/>
      </w:tabs>
      <w:spacing w:line="500" w:lineRule="exact"/>
      <w:ind w:firstLine="8275" w:firstLineChars="1200"/>
    </w:pPr>
    <w:rPr>
      <w:kern w:val="0"/>
      <w:sz w:val="16"/>
      <w:szCs w:val="16"/>
    </w:rPr>
  </w:style>
  <w:style w:type="paragraph" w:styleId="62">
    <w:name w:val="toc 2"/>
    <w:basedOn w:val="1"/>
    <w:next w:val="1"/>
    <w:qFormat/>
    <w:uiPriority w:val="39"/>
    <w:pPr>
      <w:spacing w:line="360" w:lineRule="auto"/>
      <w:ind w:left="210"/>
      <w:jc w:val="left"/>
    </w:pPr>
    <w:rPr>
      <w:smallCaps/>
      <w:sz w:val="24"/>
      <w:szCs w:val="20"/>
    </w:rPr>
  </w:style>
  <w:style w:type="paragraph" w:styleId="63">
    <w:name w:val="toc 9"/>
    <w:basedOn w:val="1"/>
    <w:next w:val="1"/>
    <w:qFormat/>
    <w:uiPriority w:val="39"/>
    <w:pPr>
      <w:ind w:left="1680"/>
      <w:jc w:val="left"/>
    </w:pPr>
    <w:rPr>
      <w:sz w:val="18"/>
      <w:szCs w:val="18"/>
    </w:rPr>
  </w:style>
  <w:style w:type="paragraph" w:styleId="64">
    <w:name w:val="Body Text 2"/>
    <w:basedOn w:val="1"/>
    <w:link w:val="169"/>
    <w:qFormat/>
    <w:uiPriority w:val="99"/>
    <w:rPr>
      <w:kern w:val="0"/>
    </w:rPr>
  </w:style>
  <w:style w:type="paragraph" w:styleId="65">
    <w:name w:val="List 4"/>
    <w:basedOn w:val="1"/>
    <w:qFormat/>
    <w:uiPriority w:val="99"/>
    <w:pPr>
      <w:ind w:left="100" w:leftChars="600" w:hanging="200" w:hangingChars="200"/>
    </w:pPr>
  </w:style>
  <w:style w:type="paragraph" w:styleId="66">
    <w:name w:val="List Continue 2"/>
    <w:basedOn w:val="1"/>
    <w:qFormat/>
    <w:uiPriority w:val="99"/>
    <w:pPr>
      <w:spacing w:after="120"/>
      <w:ind w:left="840" w:leftChars="400"/>
    </w:pPr>
  </w:style>
  <w:style w:type="paragraph" w:styleId="67">
    <w:name w:val="Message Header"/>
    <w:basedOn w:val="1"/>
    <w:link w:val="170"/>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4"/>
    </w:rPr>
  </w:style>
  <w:style w:type="paragraph" w:styleId="68">
    <w:name w:val="HTML Preformatted"/>
    <w:basedOn w:val="1"/>
    <w:link w:val="171"/>
    <w:semiHidden/>
    <w:qFormat/>
    <w:uiPriority w:val="99"/>
    <w:pPr>
      <w:spacing w:after="200" w:line="276" w:lineRule="auto"/>
      <w:jc w:val="left"/>
    </w:pPr>
    <w:rPr>
      <w:rFonts w:ascii="Courier New" w:hAnsi="Courier New"/>
      <w:kern w:val="0"/>
      <w:sz w:val="20"/>
      <w:szCs w:val="20"/>
    </w:rPr>
  </w:style>
  <w:style w:type="paragraph" w:styleId="6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0">
    <w:name w:val="List Continue 3"/>
    <w:basedOn w:val="1"/>
    <w:qFormat/>
    <w:uiPriority w:val="99"/>
    <w:pPr>
      <w:spacing w:after="120"/>
      <w:ind w:left="1260" w:leftChars="600"/>
    </w:pPr>
  </w:style>
  <w:style w:type="paragraph" w:styleId="71">
    <w:name w:val="index 1"/>
    <w:basedOn w:val="1"/>
    <w:next w:val="1"/>
    <w:qFormat/>
    <w:locked/>
    <w:uiPriority w:val="0"/>
    <w:rPr>
      <w:sz w:val="24"/>
      <w:szCs w:val="24"/>
    </w:rPr>
  </w:style>
  <w:style w:type="paragraph" w:styleId="72">
    <w:name w:val="Title"/>
    <w:basedOn w:val="1"/>
    <w:link w:val="172"/>
    <w:qFormat/>
    <w:uiPriority w:val="0"/>
    <w:pPr>
      <w:numPr>
        <w:ilvl w:val="0"/>
        <w:numId w:val="3"/>
      </w:numPr>
      <w:spacing w:before="240" w:after="60" w:line="276" w:lineRule="auto"/>
      <w:jc w:val="center"/>
      <w:outlineLvl w:val="0"/>
    </w:pPr>
    <w:rPr>
      <w:b/>
      <w:bCs/>
      <w:kern w:val="0"/>
      <w:sz w:val="32"/>
      <w:szCs w:val="32"/>
    </w:rPr>
  </w:style>
  <w:style w:type="paragraph" w:styleId="73">
    <w:name w:val="annotation subject"/>
    <w:basedOn w:val="25"/>
    <w:next w:val="25"/>
    <w:link w:val="173"/>
    <w:semiHidden/>
    <w:qFormat/>
    <w:uiPriority w:val="99"/>
    <w:pPr>
      <w:spacing w:after="0" w:line="240" w:lineRule="auto"/>
    </w:pPr>
    <w:rPr>
      <w:rFonts w:ascii="Calibri" w:hAnsi="Calibri"/>
      <w:b/>
      <w:bCs/>
      <w:lang w:eastAsia="en-US"/>
    </w:rPr>
  </w:style>
  <w:style w:type="paragraph" w:styleId="74">
    <w:name w:val="Body Text First Indent"/>
    <w:basedOn w:val="30"/>
    <w:link w:val="174"/>
    <w:qFormat/>
    <w:uiPriority w:val="99"/>
    <w:pPr>
      <w:spacing w:line="400" w:lineRule="exact"/>
      <w:ind w:firstLine="200" w:firstLineChars="200"/>
    </w:pPr>
  </w:style>
  <w:style w:type="paragraph" w:styleId="75">
    <w:name w:val="Body Text First Indent 2"/>
    <w:basedOn w:val="31"/>
    <w:link w:val="175"/>
    <w:semiHidden/>
    <w:qFormat/>
    <w:uiPriority w:val="99"/>
    <w:pPr>
      <w:spacing w:after="120" w:line="276" w:lineRule="auto"/>
      <w:ind w:left="420" w:leftChars="200" w:firstLine="420" w:firstLineChars="200"/>
      <w:jc w:val="left"/>
    </w:pPr>
  </w:style>
  <w:style w:type="table" w:styleId="77">
    <w:name w:val="Table Grid"/>
    <w:basedOn w:val="76"/>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Theme"/>
    <w:basedOn w:val="76"/>
    <w:semiHidden/>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Colorful 1"/>
    <w:basedOn w:val="76"/>
    <w:semiHidden/>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黑体"/>
        <w:b/>
        <w:bCs/>
        <w:i/>
        <w:iCs/>
      </w:rPr>
      <w:tblPr/>
      <w:tcPr>
        <w:tcBorders>
          <w:top w:val="nil"/>
          <w:left w:val="nil"/>
          <w:bottom w:val="nil"/>
          <w:right w:val="nil"/>
          <w:insideH w:val="nil"/>
          <w:insideV w:val="nil"/>
          <w:tl2br w:val="nil"/>
          <w:tr2bl w:val="nil"/>
        </w:tcBorders>
        <w:shd w:val="solid" w:color="000000" w:fill="FFFFFF"/>
      </w:tcPr>
    </w:tblStylePr>
    <w:tblStylePr w:type="firstCol">
      <w:rPr>
        <w:rFonts w:cs="黑体"/>
        <w:b/>
        <w:bCs/>
        <w:i/>
        <w:iCs/>
      </w:rPr>
      <w:tblPr/>
      <w:tcPr>
        <w:tcBorders>
          <w:top w:val="nil"/>
          <w:left w:val="nil"/>
          <w:bottom w:val="nil"/>
          <w:right w:val="nil"/>
          <w:insideH w:val="nil"/>
          <w:insideV w:val="nil"/>
          <w:tl2br w:val="nil"/>
          <w:tr2bl w:val="nil"/>
        </w:tcBorders>
        <w:shd w:val="solid" w:color="000080" w:fill="FFFFFF"/>
      </w:tcPr>
    </w:tblStylePr>
    <w:tblStylePr w:type="nwCell">
      <w:rPr>
        <w:rFonts w:cs="黑体"/>
      </w:rPr>
      <w:tblPr/>
      <w:tcPr>
        <w:tcBorders>
          <w:top w:val="nil"/>
          <w:left w:val="nil"/>
          <w:bottom w:val="nil"/>
          <w:right w:val="nil"/>
          <w:insideH w:val="nil"/>
          <w:insideV w:val="nil"/>
          <w:tl2br w:val="nil"/>
          <w:tr2bl w:val="nil"/>
        </w:tcBorders>
        <w:shd w:val="solid" w:color="000000" w:fill="FFFFFF"/>
      </w:tcPr>
    </w:tblStylePr>
    <w:tblStylePr w:type="swCell">
      <w:rPr>
        <w:rFonts w:cs="黑体"/>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semiHidden/>
    <w:qFormat/>
    <w:uiPriority w:val="99"/>
    <w:pPr>
      <w:widowControl w:val="0"/>
      <w:spacing w:after="200" w:line="276" w:lineRule="auto"/>
    </w:pPr>
    <w:rPr>
      <w:rFonts w:ascii="Calibri" w:hAnsi="Calibri" w:cs="Calibri"/>
    </w:rPr>
    <w:tblPr>
      <w:tblBorders>
        <w:bottom w:val="single" w:color="000000" w:sz="12" w:space="0"/>
      </w:tblBorders>
    </w:tblPr>
    <w:tcPr>
      <w:shd w:val="pct20" w:color="FFFF00" w:fill="FFFFFF"/>
    </w:tcPr>
    <w:tblStylePr w:type="firstRow">
      <w:rPr>
        <w:rFonts w:cs="黑体"/>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黑体"/>
        <w:b/>
        <w:bCs/>
        <w:i/>
        <w:iCs/>
      </w:rPr>
      <w:tblPr/>
      <w:tcPr>
        <w:tcBorders>
          <w:top w:val="nil"/>
          <w:left w:val="nil"/>
          <w:bottom w:val="nil"/>
          <w:right w:val="nil"/>
          <w:insideH w:val="nil"/>
          <w:insideV w:val="nil"/>
          <w:tl2br w:val="nil"/>
          <w:tr2bl w:val="nil"/>
        </w:tcBorders>
      </w:tcPr>
    </w:tblStylePr>
    <w:tblStylePr w:type="lastCol">
      <w:rPr>
        <w:rFonts w:cs="黑体"/>
      </w:rPr>
      <w:tblPr/>
      <w:tcPr>
        <w:tcBorders>
          <w:top w:val="nil"/>
          <w:left w:val="nil"/>
          <w:bottom w:val="nil"/>
          <w:right w:val="nil"/>
          <w:insideH w:val="nil"/>
          <w:insideV w:val="nil"/>
          <w:tl2br w:val="nil"/>
          <w:tr2bl w:val="nil"/>
        </w:tcBorders>
        <w:shd w:val="solid" w:color="C0C0C0" w:fill="FFFFFF"/>
      </w:tcPr>
    </w:tblStylePr>
    <w:tblStylePr w:type="swCell">
      <w:rPr>
        <w:rFonts w:cs="黑体"/>
        <w:b/>
        <w:bCs/>
        <w:i w:val="0"/>
        <w:iCs w:val="0"/>
      </w:rPr>
      <w:tblPr/>
      <w:tcPr>
        <w:tcBorders>
          <w:top w:val="nil"/>
          <w:left w:val="nil"/>
          <w:bottom w:val="nil"/>
          <w:right w:val="nil"/>
          <w:insideH w:val="nil"/>
          <w:insideV w:val="nil"/>
          <w:tl2br w:val="nil"/>
          <w:tr2bl w:val="nil"/>
        </w:tcBorders>
      </w:tcPr>
    </w:tblStylePr>
  </w:style>
  <w:style w:type="table" w:styleId="81">
    <w:name w:val="Table Colorful 3"/>
    <w:basedOn w:val="76"/>
    <w:semiHidden/>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黑体"/>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黑体"/>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黑体"/>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Elegant"/>
    <w:basedOn w:val="76"/>
    <w:semiHidden/>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黑体"/>
        <w:caps/>
        <w:color w:val="auto"/>
      </w:rPr>
      <w:tblPr/>
      <w:tcPr>
        <w:tcBorders>
          <w:top w:val="nil"/>
          <w:left w:val="nil"/>
          <w:bottom w:val="nil"/>
          <w:right w:val="nil"/>
          <w:insideH w:val="nil"/>
          <w:insideV w:val="nil"/>
          <w:tl2br w:val="nil"/>
          <w:tr2bl w:val="nil"/>
        </w:tcBorders>
      </w:tcPr>
    </w:tblStylePr>
  </w:style>
  <w:style w:type="table" w:styleId="83">
    <w:name w:val="Table Classic 1"/>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黑体"/>
        <w:i/>
        <w:iCs/>
      </w:rPr>
      <w:tblPr/>
      <w:tcPr>
        <w:tcBorders>
          <w:top w:val="nil"/>
          <w:left w:val="nil"/>
          <w:bottom w:val="single" w:color="000000" w:sz="6" w:space="0"/>
          <w:right w:val="nil"/>
          <w:insideH w:val="nil"/>
          <w:insideV w:val="nil"/>
          <w:tl2br w:val="nil"/>
          <w:tr2bl w:val="nil"/>
        </w:tcBorders>
      </w:tcPr>
    </w:tblStylePr>
    <w:tblStylePr w:type="lastRow">
      <w:rPr>
        <w:rFonts w:cs="黑体"/>
        <w:color w:val="auto"/>
      </w:rPr>
      <w:tblPr/>
      <w:tcPr>
        <w:tcBorders>
          <w:top w:val="single" w:color="000000" w:sz="6" w:space="0"/>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000000" w:sz="6" w:space="0"/>
          <w:insideH w:val="nil"/>
          <w:insideV w:val="nil"/>
          <w:tl2br w:val="nil"/>
          <w:tr2bl w:val="nil"/>
        </w:tcBorders>
      </w:tcPr>
    </w:tblStylePr>
    <w:tblStylePr w:type="neCell">
      <w:rPr>
        <w:rFonts w:cs="黑体"/>
        <w:b/>
        <w:bCs/>
        <w:i w:val="0"/>
        <w:iCs w:val="0"/>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84">
    <w:name w:val="Table Classic 2"/>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黑体"/>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shd w:val="solid" w:color="C0C0C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nil"/>
          <w:tr2bl w:val="nil"/>
        </w:tcBorders>
        <w:shd w:val="solid" w:color="800080" w:fill="FFFFFF"/>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85">
    <w:name w:val="Table Classic 3"/>
    <w:basedOn w:val="76"/>
    <w:semiHidden/>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黑体"/>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黑体"/>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黑体"/>
        <w:b/>
        <w:bCs/>
        <w:color w:val="000000"/>
      </w:rPr>
      <w:tblPr/>
      <w:tcPr>
        <w:tcBorders>
          <w:top w:val="nil"/>
          <w:left w:val="nil"/>
          <w:bottom w:val="nil"/>
          <w:right w:val="nil"/>
          <w:insideH w:val="nil"/>
          <w:insideV w:val="nil"/>
          <w:tl2br w:val="nil"/>
          <w:tr2bl w:val="nil"/>
        </w:tcBorders>
      </w:tcPr>
    </w:tblStylePr>
  </w:style>
  <w:style w:type="table" w:styleId="86">
    <w:name w:val="Table Classic 4"/>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rFonts w:cs="黑体"/>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黑体"/>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黑体"/>
        <w:b/>
        <w:bCs/>
      </w:rPr>
      <w:tblPr/>
      <w:tcPr>
        <w:tcBorders>
          <w:top w:val="nil"/>
          <w:left w:val="nil"/>
          <w:bottom w:val="nil"/>
          <w:right w:val="nil"/>
          <w:insideH w:val="nil"/>
          <w:insideV w:val="nil"/>
          <w:tl2br w:val="nil"/>
          <w:tr2bl w:val="nil"/>
        </w:tcBorders>
      </w:tcPr>
    </w:tblStylePr>
    <w:tblStylePr w:type="nwCell">
      <w:rPr>
        <w:rFonts w:cs="黑体"/>
        <w:b/>
        <w:bCs/>
      </w:rPr>
      <w:tblPr/>
      <w:tcPr>
        <w:tcBorders>
          <w:top w:val="nil"/>
          <w:left w:val="nil"/>
          <w:bottom w:val="nil"/>
          <w:right w:val="nil"/>
          <w:insideH w:val="nil"/>
          <w:insideV w:val="nil"/>
          <w:tl2br w:val="nil"/>
          <w:tr2bl w:val="nil"/>
        </w:tcBorders>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87">
    <w:name w:val="Table Simple 1"/>
    <w:basedOn w:val="76"/>
    <w:semiHidden/>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Pr>
    <w:tblStylePr w:type="firstRow">
      <w:rPr>
        <w:rFonts w:cs="黑体"/>
      </w:rPr>
      <w:tblPr/>
      <w:tcPr>
        <w:tcBorders>
          <w:top w:val="nil"/>
          <w:left w:val="nil"/>
          <w:bottom w:val="single" w:color="008000" w:sz="6" w:space="0"/>
          <w:right w:val="nil"/>
          <w:insideH w:val="nil"/>
          <w:insideV w:val="nil"/>
          <w:tl2br w:val="nil"/>
          <w:tr2bl w:val="nil"/>
        </w:tcBorders>
      </w:tcPr>
    </w:tblStylePr>
    <w:tblStylePr w:type="lastRow">
      <w:rPr>
        <w:rFonts w:cs="黑体"/>
      </w:rPr>
      <w:tblPr/>
      <w:tcPr>
        <w:tcBorders>
          <w:top w:val="single" w:color="008000" w:sz="6" w:space="0"/>
          <w:left w:val="nil"/>
          <w:bottom w:val="nil"/>
          <w:right w:val="nil"/>
          <w:insideH w:val="nil"/>
          <w:insideV w:val="nil"/>
          <w:tl2br w:val="nil"/>
          <w:tr2bl w:val="nil"/>
        </w:tcBorders>
      </w:tcPr>
    </w:tblStylePr>
  </w:style>
  <w:style w:type="table" w:styleId="88">
    <w:name w:val="Table Simple 2"/>
    <w:basedOn w:val="76"/>
    <w:semiHidden/>
    <w:qFormat/>
    <w:uiPriority w:val="99"/>
    <w:pPr>
      <w:widowControl w:val="0"/>
      <w:spacing w:after="200" w:line="276" w:lineRule="auto"/>
    </w:pPr>
    <w:rPr>
      <w:rFonts w:ascii="Calibri" w:hAnsi="Calibri" w:cs="Calibri"/>
    </w:rPr>
    <w:tbl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lastRow">
      <w:rPr>
        <w:rFonts w:cs="黑体"/>
        <w:b/>
        <w:bCs/>
        <w:color w:val="auto"/>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single" w:color="000000" w:sz="12" w:space="0"/>
          <w:insideH w:val="nil"/>
          <w:insideV w:val="nil"/>
          <w:tl2br w:val="nil"/>
          <w:tr2bl w:val="nil"/>
        </w:tcBorders>
      </w:tcPr>
    </w:tblStylePr>
    <w:tblStylePr w:type="lastCol">
      <w:rPr>
        <w:rFonts w:cs="黑体"/>
        <w:b/>
        <w:bCs/>
      </w:rPr>
      <w:tblPr/>
      <w:tcPr>
        <w:tcBorders>
          <w:top w:val="nil"/>
          <w:left w:val="single" w:color="000000" w:sz="6" w:space="0"/>
          <w:bottom w:val="nil"/>
          <w:right w:val="nil"/>
          <w:insideH w:val="nil"/>
          <w:insideV w:val="nil"/>
          <w:tl2br w:val="nil"/>
          <w:tr2bl w:val="nil"/>
        </w:tcBorders>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89">
    <w:name w:val="Table Simple 3"/>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rFonts w:cs="黑体"/>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0">
    <w:name w:val="Table Subtle 1"/>
    <w:basedOn w:val="76"/>
    <w:semiHidden/>
    <w:qFormat/>
    <w:uiPriority w:val="99"/>
    <w:pPr>
      <w:widowControl w:val="0"/>
      <w:spacing w:after="200" w:line="276" w:lineRule="auto"/>
    </w:pPr>
    <w:rPr>
      <w:rFonts w:ascii="Calibri" w:hAnsi="Calibri" w:cs="Calibri"/>
    </w:rPr>
    <w:tblPr>
      <w:tblStyleRowBandSize w:val="1"/>
    </w:tblPr>
    <w:tblStylePr w:type="firstRow">
      <w:rPr>
        <w:rFonts w:cs="黑体"/>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黑体"/>
      </w:rPr>
      <w:tblPr/>
      <w:tcPr>
        <w:tcBorders>
          <w:top w:val="nil"/>
          <w:left w:val="nil"/>
          <w:bottom w:val="nil"/>
          <w:right w:val="single" w:color="000000" w:sz="12" w:space="0"/>
          <w:insideH w:val="nil"/>
          <w:insideV w:val="nil"/>
          <w:tl2br w:val="nil"/>
          <w:tr2bl w:val="nil"/>
        </w:tcBorders>
      </w:tcPr>
    </w:tblStylePr>
    <w:tblStylePr w:type="lastCol">
      <w:rPr>
        <w:rFonts w:cs="黑体"/>
      </w:rPr>
      <w:tblPr/>
      <w:tcPr>
        <w:tcBorders>
          <w:top w:val="nil"/>
          <w:left w:val="single" w:color="000000" w:sz="12" w:space="0"/>
          <w:bottom w:val="nil"/>
          <w:right w:val="nil"/>
          <w:insideH w:val="nil"/>
          <w:insideV w:val="nil"/>
          <w:tl2br w:val="nil"/>
          <w:tr2bl w:val="nil"/>
        </w:tcBorders>
      </w:tcPr>
    </w:tblStylePr>
    <w:tblStylePr w:type="band1Horz">
      <w:rPr>
        <w:rFonts w:cs="黑体"/>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1">
    <w:name w:val="Table Subtle 2"/>
    <w:basedOn w:val="76"/>
    <w:semiHidden/>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Pr>
    <w:tblStylePr w:type="firstRow">
      <w:rPr>
        <w:rFonts w:cs="黑体"/>
      </w:rPr>
      <w:tblPr/>
      <w:tcPr>
        <w:tcBorders>
          <w:top w:val="nil"/>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黑体"/>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2">
    <w:name w:val="Table 3D effects 1"/>
    <w:basedOn w:val="76"/>
    <w:semiHidden/>
    <w:qFormat/>
    <w:uiPriority w:val="99"/>
    <w:pPr>
      <w:widowControl w:val="0"/>
      <w:spacing w:after="200" w:line="276" w:lineRule="auto"/>
    </w:pPr>
    <w:rPr>
      <w:rFonts w:ascii="Calibri" w:hAnsi="Calibri" w:cs="Calibri"/>
    </w:rPr>
    <w:tblPr/>
    <w:tcPr>
      <w:shd w:val="solid" w:color="C0C0C0" w:fill="FFFFFF"/>
    </w:tcPr>
    <w:tblStylePr w:type="firstRow">
      <w:rPr>
        <w:rFonts w:cs="黑体"/>
        <w:b/>
        <w:bCs/>
        <w:color w:val="800080"/>
      </w:rPr>
      <w:tblPr/>
      <w:tcPr>
        <w:tcBorders>
          <w:top w:val="nil"/>
          <w:left w:val="nil"/>
          <w:bottom w:val="single" w:color="808080" w:sz="6" w:space="0"/>
          <w:right w:val="nil"/>
          <w:insideH w:val="nil"/>
          <w:insideV w:val="nil"/>
          <w:tl2br w:val="nil"/>
          <w:tr2bl w:val="nil"/>
        </w:tcBorders>
      </w:tcPr>
    </w:tblStylePr>
    <w:tblStylePr w:type="lastRow">
      <w:rPr>
        <w:rFonts w:cs="黑体"/>
      </w:rPr>
      <w:tblPr/>
      <w:tcPr>
        <w:tcBorders>
          <w:top w:val="single" w:color="FFFFFF"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single" w:color="FFFFFF" w:sz="6" w:space="0"/>
          <w:bottom w:val="nil"/>
          <w:right w:val="nil"/>
          <w:insideH w:val="nil"/>
          <w:insideV w:val="nil"/>
          <w:tl2br w:val="nil"/>
          <w:tr2bl w:val="nil"/>
        </w:tcBorders>
      </w:tcPr>
    </w:tblStylePr>
    <w:tblStylePr w:type="neCell">
      <w:rPr>
        <w:rFonts w:cs="黑体"/>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nil"/>
          <w:tr2bl w:val="nil"/>
        </w:tcBorders>
      </w:tcPr>
    </w:tblStylePr>
    <w:tblStylePr w:type="seCell">
      <w:rPr>
        <w:rFonts w:cs="黑体"/>
      </w:rPr>
      <w:tblPr/>
      <w:tcPr>
        <w:tcBorders>
          <w:top w:val="nil"/>
          <w:left w:val="nil"/>
          <w:bottom w:val="nil"/>
          <w:right w:val="nil"/>
          <w:insideH w:val="nil"/>
          <w:insideV w:val="nil"/>
          <w:tl2br w:val="nil"/>
          <w:tr2bl w:val="nil"/>
        </w:tcBorders>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93">
    <w:name w:val="Table 3D effects 2"/>
    <w:basedOn w:val="76"/>
    <w:semiHidden/>
    <w:qFormat/>
    <w:uiPriority w:val="99"/>
    <w:pPr>
      <w:widowControl w:val="0"/>
      <w:spacing w:after="200" w:line="276" w:lineRule="auto"/>
    </w:pPr>
    <w:rPr>
      <w:rFonts w:ascii="Calibri" w:hAnsi="Calibri" w:cs="Calibri"/>
    </w:rPr>
    <w:tblPr>
      <w:tblStyleRowBandSize w:val="1"/>
    </w:tblPr>
    <w:tcPr>
      <w:shd w:val="solid" w:color="C0C0C0" w:fill="FFFFFF"/>
    </w:tcPr>
    <w:tblStylePr w:type="firstRow">
      <w:rPr>
        <w:rFonts w:cs="黑体"/>
        <w:b/>
        <w:bCs/>
      </w:rPr>
      <w:tblPr/>
      <w:tcPr>
        <w:tcBorders>
          <w:top w:val="nil"/>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nil"/>
          <w:bottom w:val="nil"/>
          <w:right w:val="single" w:color="FFFFFF" w:sz="6" w:space="0"/>
          <w:insideH w:val="nil"/>
          <w:insideV w:val="nil"/>
          <w:tl2br w:val="nil"/>
          <w:tr2bl w:val="nil"/>
        </w:tcBorders>
      </w:tcPr>
    </w:tblStylePr>
    <w:tblStylePr w:type="band1Horz">
      <w:rPr>
        <w:rFonts w:cs="黑体"/>
      </w:rPr>
      <w:tblPr/>
      <w:tcPr>
        <w:tcBorders>
          <w:top w:val="single" w:color="808080" w:sz="6" w:space="0"/>
          <w:left w:val="nil"/>
          <w:bottom w:val="single" w:color="FFFFFF" w:sz="6" w:space="0"/>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4">
    <w:name w:val="Table 3D effects 3"/>
    <w:basedOn w:val="76"/>
    <w:semiHidden/>
    <w:qFormat/>
    <w:uiPriority w:val="99"/>
    <w:pPr>
      <w:widowControl w:val="0"/>
      <w:spacing w:after="200" w:line="276" w:lineRule="auto"/>
    </w:pPr>
    <w:rPr>
      <w:rFonts w:ascii="Calibri" w:hAnsi="Calibri" w:cs="Calibri"/>
    </w:rPr>
    <w:tblPr>
      <w:tblStyleRowBandSize w:val="1"/>
      <w:tblStyleColBandSize w:val="1"/>
    </w:tblPr>
    <w:tblStylePr w:type="firstRow">
      <w:rPr>
        <w:rFonts w:cs="黑体"/>
        <w:b/>
        <w:bCs/>
      </w:rPr>
      <w:tblPr/>
      <w:tcPr>
        <w:tcBorders>
          <w:top w:val="nil"/>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nil"/>
          <w:bottom w:val="nil"/>
          <w:right w:val="single" w:color="FFFFFF" w:sz="6" w:space="0"/>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Pr/>
      <w:tcPr>
        <w:shd w:val="pct50" w:color="C0C0C0" w:fill="FFFFFF"/>
      </w:tcPr>
    </w:tblStylePr>
    <w:tblStylePr w:type="band1Horz">
      <w:rPr>
        <w:rFonts w:cs="黑体"/>
      </w:rPr>
      <w:tblPr/>
      <w:tcPr>
        <w:tcBorders>
          <w:top w:val="single" w:color="808080" w:sz="6" w:space="0"/>
          <w:left w:val="nil"/>
          <w:bottom w:val="single" w:color="FFFFFF" w:sz="6" w:space="0"/>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5">
    <w:name w:val="Table List 1"/>
    <w:basedOn w:val="76"/>
    <w:semiHidden/>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rFonts w:cs="黑体"/>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黑体"/>
        <w:color w:val="auto"/>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6">
    <w:name w:val="Table List 2"/>
    <w:basedOn w:val="76"/>
    <w:semiHidden/>
    <w:qFormat/>
    <w:uiPriority w:val="99"/>
    <w:pPr>
      <w:widowControl w:val="0"/>
      <w:spacing w:after="200" w:line="276" w:lineRule="auto"/>
    </w:pPr>
    <w:rPr>
      <w:rFonts w:ascii="Calibri" w:hAnsi="Calibri" w:cs="Calibri"/>
    </w:rPr>
    <w:tblPr>
      <w:tblBorders>
        <w:bottom w:val="single" w:color="808080" w:sz="12" w:space="0"/>
      </w:tblBorders>
    </w:tblPr>
    <w:tblStylePr w:type="firstRow">
      <w:rPr>
        <w:rFonts w:cs="黑体"/>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黑体"/>
        <w:color w:val="auto"/>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7">
    <w:name w:val="Table List 3"/>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Pr>
    <w:tblStylePr w:type="firstRow">
      <w:rPr>
        <w:rFonts w:cs="黑体"/>
        <w:b/>
        <w:bCs/>
        <w:color w:val="000080"/>
      </w:rPr>
      <w:tblPr/>
      <w:tcPr>
        <w:tcBorders>
          <w:top w:val="nil"/>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tcPr>
    </w:tblStylePr>
    <w:tblStylePr w:type="swCell">
      <w:rPr>
        <w:rFonts w:cs="黑体"/>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黑体"/>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99">
    <w:name w:val="Table List 5"/>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style>
  <w:style w:type="table" w:styleId="100">
    <w:name w:val="Table List 6"/>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firstCol">
      <w:rPr>
        <w:rFonts w:cs="黑体"/>
        <w:b/>
        <w:bCs/>
      </w:rPr>
      <w:tblPr/>
      <w:tcPr>
        <w:tcBorders>
          <w:top w:val="nil"/>
          <w:left w:val="nil"/>
          <w:bottom w:val="nil"/>
          <w:right w:val="single" w:color="000000" w:sz="12" w:space="0"/>
          <w:insideH w:val="nil"/>
          <w:insideV w:val="nil"/>
          <w:tl2br w:val="nil"/>
          <w:tr2bl w:val="nil"/>
        </w:tcBorders>
      </w:tcPr>
    </w:tblStylePr>
    <w:tblStylePr w:type="band1Horz">
      <w:rPr>
        <w:rFonts w:cs="黑体"/>
      </w:rPr>
      <w:tblPr/>
      <w:tcPr>
        <w:tcBorders>
          <w:top w:val="nil"/>
          <w:left w:val="nil"/>
          <w:bottom w:val="nil"/>
          <w:right w:val="nil"/>
          <w:insideH w:val="nil"/>
          <w:insideV w:val="nil"/>
          <w:tl2br w:val="nil"/>
          <w:tr2bl w:val="nil"/>
        </w:tcBorders>
        <w:shd w:val="pct25" w:color="000000" w:fill="FFFFFF"/>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01">
    <w:name w:val="Table List 7"/>
    <w:basedOn w:val="76"/>
    <w:semiHidden/>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黑体"/>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黑体"/>
        <w:b/>
        <w:bCs/>
      </w:rPr>
      <w:tblPr/>
      <w:tcPr>
        <w:tcBorders>
          <w:top w:val="single" w:color="008000" w:sz="12"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黑体"/>
      </w:rPr>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黑体"/>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黑体"/>
        <w:b/>
        <w:bCs/>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黑体"/>
      </w:rPr>
      <w:tblPr/>
      <w:tcPr>
        <w:tcBorders>
          <w:top w:val="nil"/>
          <w:left w:val="nil"/>
          <w:bottom w:val="nil"/>
          <w:right w:val="nil"/>
          <w:insideH w:val="nil"/>
          <w:insideV w:val="nil"/>
          <w:tl2br w:val="nil"/>
          <w:tr2bl w:val="nil"/>
        </w:tcBorders>
        <w:shd w:val="pct50" w:color="FF0000" w:fill="FFFFFF"/>
      </w:tcPr>
    </w:tblStylePr>
    <w:tblStylePr w:type="nwCell">
      <w:rPr>
        <w:rFonts w:cs="黑体"/>
      </w:rPr>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6"/>
    <w:semiHidden/>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Pr>
    <w:tblStylePr w:type="firstRow">
      <w:rPr>
        <w:rFonts w:cs="黑体"/>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黑体"/>
        <w:color w:val="auto"/>
      </w:rPr>
      <w:tblPr/>
      <w:tcPr>
        <w:tcBorders>
          <w:top w:val="nil"/>
          <w:left w:val="nil"/>
          <w:bottom w:val="nil"/>
          <w:right w:val="nil"/>
          <w:insideH w:val="nil"/>
          <w:insideV w:val="nil"/>
          <w:tl2br w:val="nil"/>
          <w:tr2bl w:val="nil"/>
        </w:tcBorders>
        <w:shd w:val="pct5" w:color="000000" w:fill="FFFFFF"/>
      </w:tcPr>
    </w:tblStylePr>
    <w:tblStylePr w:type="band2Horz">
      <w:rPr>
        <w:rFonts w:cs="黑体"/>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Columns 1"/>
    <w:basedOn w:val="76"/>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rFonts w:cs="黑体"/>
        <w:b w:val="0"/>
        <w:bCs w:val="0"/>
      </w:rPr>
      <w:tblPr/>
      <w:tcPr>
        <w:tcBorders>
          <w:top w:val="nil"/>
          <w:left w:val="nil"/>
          <w:bottom w:val="double" w:color="000000" w:sz="6" w:space="0"/>
          <w:right w:val="nil"/>
          <w:insideH w:val="nil"/>
          <w:insideV w:val="nil"/>
          <w:tl2br w:val="nil"/>
          <w:tr2bl w:val="nil"/>
        </w:tcBorders>
      </w:tcPr>
    </w:tblStylePr>
    <w:tblStylePr w:type="lastRow">
      <w:rPr>
        <w:rFonts w:cs="黑体"/>
        <w:b w:val="0"/>
        <w:bCs w:val="0"/>
      </w:rPr>
      <w:tblPr/>
      <w:tcPr>
        <w:tcBorders>
          <w:top w:val="nil"/>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pct25" w:color="000000" w:fill="FFFFFF"/>
      </w:tcPr>
    </w:tblStylePr>
    <w:tblStylePr w:type="band2Vert">
      <w:rPr>
        <w:rFonts w:cs="黑体"/>
        <w:color w:val="auto"/>
      </w:rPr>
      <w:tblPr/>
      <w:tcPr>
        <w:shd w:val="pct25" w:color="FFFF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105">
    <w:name w:val="Table Columns 2"/>
    <w:basedOn w:val="76"/>
    <w:semiHidden/>
    <w:qFormat/>
    <w:uiPriority w:val="99"/>
    <w:pPr>
      <w:widowControl w:val="0"/>
      <w:spacing w:after="200" w:line="276" w:lineRule="auto"/>
    </w:pPr>
    <w:rPr>
      <w:rFonts w:ascii="Calibri" w:hAnsi="Calibri" w:cs="Calibri"/>
      <w:b/>
      <w:bCs/>
    </w:rPr>
    <w:tblPr>
      <w:tblStyleColBandSize w:val="1"/>
    </w:tblPr>
    <w:tblStylePr w:type="firstRow">
      <w:rPr>
        <w:rFonts w:cs="黑体"/>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val="0"/>
        <w:bCs w:val="0"/>
      </w:rPr>
      <w:tblPr/>
      <w:tcPr>
        <w:tcBorders>
          <w:top w:val="nil"/>
          <w:left w:val="nil"/>
          <w:bottom w:val="nil"/>
          <w:right w:val="nil"/>
          <w:insideH w:val="nil"/>
          <w:insideV w:val="nil"/>
          <w:tl2br w:val="nil"/>
          <w:tr2bl w:val="nil"/>
        </w:tcBorders>
      </w:tcPr>
    </w:tblStylePr>
    <w:tblStylePr w:type="firstCol">
      <w:rPr>
        <w:rFonts w:cs="黑体"/>
        <w:b w:val="0"/>
        <w:bCs w:val="0"/>
        <w:color w:val="00000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pct30" w:color="000000" w:fill="FFFFFF"/>
      </w:tcPr>
    </w:tblStylePr>
    <w:tblStylePr w:type="band2Vert">
      <w:rPr>
        <w:rFonts w:cs="黑体"/>
        <w:color w:val="auto"/>
      </w:rPr>
      <w:tblPr/>
      <w:tcPr>
        <w:shd w:val="pct25" w:color="00FF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106">
    <w:name w:val="Table Columns 3"/>
    <w:basedOn w:val="76"/>
    <w:semiHidden/>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黑体"/>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val="0"/>
        <w:bCs w:val="0"/>
      </w:rPr>
      <w:tblPr/>
      <w:tcPr>
        <w:tcBorders>
          <w:top w:val="single" w:color="000080" w:sz="6" w:space="0"/>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Pr/>
      <w:tcPr>
        <w:shd w:val="pct10" w:color="000000" w:fill="FFFFFF"/>
      </w:tcPr>
    </w:tblStylePr>
    <w:tblStylePr w:type="neCell">
      <w:rPr>
        <w:rFonts w:cs="黑体"/>
        <w:b/>
        <w:bCs/>
      </w:rPr>
      <w:tblPr/>
      <w:tcPr>
        <w:tcBorders>
          <w:top w:val="nil"/>
          <w:left w:val="nil"/>
          <w:bottom w:val="nil"/>
          <w:right w:val="nil"/>
          <w:insideH w:val="nil"/>
          <w:insideV w:val="nil"/>
          <w:tl2br w:val="nil"/>
          <w:tr2bl w:val="nil"/>
        </w:tcBorders>
      </w:tcPr>
    </w:tblStylePr>
  </w:style>
  <w:style w:type="table" w:styleId="107">
    <w:name w:val="Table Columns 4"/>
    <w:basedOn w:val="76"/>
    <w:semiHidden/>
    <w:qFormat/>
    <w:uiPriority w:val="99"/>
    <w:pPr>
      <w:widowControl w:val="0"/>
      <w:spacing w:after="200" w:line="276" w:lineRule="auto"/>
    </w:pPr>
    <w:rPr>
      <w:rFonts w:ascii="Calibri" w:hAnsi="Calibri" w:cs="Calibri"/>
    </w:rPr>
    <w:tblPr>
      <w:tblStyleColBandSize w:val="1"/>
    </w:tblPr>
    <w:tblStylePr w:type="firstRow">
      <w:rPr>
        <w:rFonts w:cs="黑体"/>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Vert">
      <w:rPr>
        <w:rFonts w:cs="黑体"/>
        <w:color w:val="auto"/>
      </w:rPr>
      <w:tblPr/>
      <w:tcPr>
        <w:shd w:val="pct50" w:color="008080" w:fill="FFFFFF"/>
      </w:tcPr>
    </w:tblStylePr>
    <w:tblStylePr w:type="band2Vert">
      <w:rPr>
        <w:rFonts w:cs="黑体"/>
        <w:color w:val="auto"/>
      </w:rPr>
      <w:tblPr/>
      <w:tcPr>
        <w:shd w:val="pct10" w:color="000000" w:fill="FFFFFF"/>
      </w:tcPr>
    </w:tblStylePr>
  </w:style>
  <w:style w:type="table" w:styleId="108">
    <w:name w:val="Table Columns 5"/>
    <w:basedOn w:val="76"/>
    <w:semiHidden/>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黑体"/>
        <w:b/>
        <w:bCs/>
        <w:i/>
        <w:iCs/>
      </w:rPr>
      <w:tblPr/>
      <w:tcPr>
        <w:tcBorders>
          <w:top w:val="nil"/>
          <w:left w:val="nil"/>
          <w:bottom w:val="single" w:color="808080" w:sz="6" w:space="0"/>
          <w:right w:val="nil"/>
          <w:insideH w:val="nil"/>
          <w:insideV w:val="nil"/>
          <w:tl2br w:val="nil"/>
          <w:tr2bl w:val="nil"/>
        </w:tcBorders>
      </w:tcPr>
    </w:tblStylePr>
    <w:tblStylePr w:type="lastRow">
      <w:rPr>
        <w:rFonts w:cs="黑体"/>
        <w:b/>
        <w:bCs/>
      </w:rPr>
      <w:tblPr/>
      <w:tcPr>
        <w:tcBorders>
          <w:top w:val="single" w:color="80808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StylePr>
  </w:style>
  <w:style w:type="table" w:styleId="109">
    <w:name w:val="Table Grid 1"/>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黑体"/>
        <w:i/>
        <w:iCs/>
      </w:rPr>
      <w:tblPr/>
      <w:tcPr>
        <w:tcBorders>
          <w:top w:val="nil"/>
          <w:left w:val="nil"/>
          <w:bottom w:val="nil"/>
          <w:right w:val="nil"/>
          <w:insideH w:val="nil"/>
          <w:insideV w:val="nil"/>
          <w:tl2br w:val="nil"/>
          <w:tr2bl w:val="nil"/>
        </w:tcBorders>
      </w:tcPr>
    </w:tblStylePr>
    <w:tblStylePr w:type="lastCol">
      <w:rPr>
        <w:rFonts w:cs="黑体"/>
        <w:i/>
        <w:i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0">
    <w:name w:val="Table Grid 2"/>
    <w:basedOn w:val="76"/>
    <w:semiHidden/>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Pr>
    <w:tblStylePr w:type="firstRow">
      <w:rPr>
        <w:rFonts w:cs="黑体"/>
        <w:b/>
        <w:bCs/>
      </w:rPr>
      <w:tblPr/>
      <w:tcPr>
        <w:tcBorders>
          <w:top w:val="nil"/>
          <w:left w:val="nil"/>
          <w:bottom w:val="nil"/>
          <w:right w:val="nil"/>
          <w:insideH w:val="nil"/>
          <w:insideV w:val="nil"/>
          <w:tl2br w:val="nil"/>
          <w:tr2bl w:val="nil"/>
        </w:tcBorders>
      </w:tcPr>
    </w:tblStylePr>
    <w:tblStylePr w:type="lastRow">
      <w:rPr>
        <w:rFonts w:cs="黑体"/>
        <w:b/>
        <w:bCs/>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style>
  <w:style w:type="table" w:styleId="111">
    <w:name w:val="Table Grid 3"/>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黑体"/>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2">
    <w:name w:val="Table Grid 4"/>
    <w:basedOn w:val="76"/>
    <w:semiHidden/>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rFonts w:cs="黑体"/>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黑体"/>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黑体"/>
        <w:b/>
        <w:bCs/>
        <w:color w:val="auto"/>
      </w:rPr>
      <w:tblPr/>
      <w:tcPr>
        <w:tcBorders>
          <w:top w:val="nil"/>
          <w:left w:val="nil"/>
          <w:bottom w:val="nil"/>
          <w:right w:val="nil"/>
          <w:insideH w:val="nil"/>
          <w:insideV w:val="nil"/>
          <w:tl2br w:val="nil"/>
          <w:tr2bl w:val="nil"/>
        </w:tcBorders>
      </w:tcPr>
    </w:tblStylePr>
  </w:style>
  <w:style w:type="table" w:styleId="113">
    <w:name w:val="Table Grid 5"/>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黑体"/>
      </w:rPr>
      <w:tblPr/>
      <w:tcPr>
        <w:tcBorders>
          <w:top w:val="nil"/>
          <w:left w:val="nil"/>
          <w:bottom w:val="single" w:color="000000" w:sz="12" w:space="0"/>
          <w:right w:val="nil"/>
          <w:insideH w:val="nil"/>
          <w:insideV w:val="nil"/>
          <w:tl2br w:val="nil"/>
          <w:tr2bl w:val="nil"/>
        </w:tcBorders>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4">
    <w:name w:val="Table Grid 6"/>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黑体"/>
        <w:b/>
        <w:bCs/>
      </w:rPr>
      <w:tblPr/>
      <w:tcPr>
        <w:tcBorders>
          <w:top w:val="nil"/>
          <w:left w:val="nil"/>
          <w:bottom w:val="single" w:color="000000" w:sz="6" w:space="0"/>
          <w:right w:val="nil"/>
          <w:insideH w:val="nil"/>
          <w:insideV w:val="nil"/>
          <w:tl2br w:val="nil"/>
          <w:tr2bl w:val="nil"/>
        </w:tcBorders>
      </w:tcPr>
    </w:tblStylePr>
    <w:tblStylePr w:type="lastRow">
      <w:rPr>
        <w:rFonts w:cs="黑体"/>
        <w:color w:val="auto"/>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5">
    <w:name w:val="Table Grid 7"/>
    <w:basedOn w:val="76"/>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黑体"/>
        <w:b w:val="0"/>
        <w:bCs w:val="0"/>
      </w:rPr>
      <w:tblPr/>
      <w:tcPr>
        <w:tcBorders>
          <w:top w:val="nil"/>
          <w:left w:val="nil"/>
          <w:bottom w:val="single" w:color="000000" w:sz="12" w:space="0"/>
          <w:right w:val="nil"/>
          <w:insideH w:val="nil"/>
          <w:insideV w:val="nil"/>
          <w:tl2br w:val="nil"/>
          <w:tr2bl w:val="nil"/>
        </w:tcBorders>
      </w:tcPr>
    </w:tblStylePr>
    <w:tblStylePr w:type="lastRow">
      <w:rPr>
        <w:rFonts w:cs="黑体"/>
        <w:b w:val="0"/>
        <w:bCs w:val="0"/>
      </w:rPr>
      <w:tblPr/>
      <w:tcPr>
        <w:tcBorders>
          <w:top w:val="single" w:color="000000" w:sz="6" w:space="0"/>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6">
    <w:name w:val="Table Grid 8"/>
    <w:basedOn w:val="76"/>
    <w:semiHidden/>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黑体"/>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bCs/>
        <w:color w:val="auto"/>
      </w:rPr>
      <w:tblPr/>
      <w:tcPr>
        <w:tcBorders>
          <w:top w:val="nil"/>
          <w:left w:val="nil"/>
          <w:bottom w:val="nil"/>
          <w:right w:val="nil"/>
          <w:insideH w:val="nil"/>
          <w:insideV w:val="nil"/>
          <w:tl2br w:val="nil"/>
          <w:tr2bl w:val="nil"/>
        </w:tcBorders>
      </w:tcPr>
    </w:tblStylePr>
    <w:tblStylePr w:type="lastCol">
      <w:rPr>
        <w:rFonts w:cs="黑体"/>
        <w:b/>
        <w:bCs/>
        <w:color w:val="auto"/>
      </w:rPr>
      <w:tblPr/>
      <w:tcPr>
        <w:tcBorders>
          <w:top w:val="nil"/>
          <w:left w:val="nil"/>
          <w:bottom w:val="nil"/>
          <w:right w:val="nil"/>
          <w:insideH w:val="nil"/>
          <w:insideV w:val="nil"/>
          <w:tl2br w:val="nil"/>
          <w:tr2bl w:val="nil"/>
        </w:tcBorders>
      </w:tcPr>
    </w:tblStylePr>
  </w:style>
  <w:style w:type="table" w:styleId="117">
    <w:name w:val="Table Web 1"/>
    <w:basedOn w:val="76"/>
    <w:semiHidden/>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18">
    <w:name w:val="Table Web 2"/>
    <w:basedOn w:val="76"/>
    <w:semiHidden/>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19">
    <w:name w:val="Table Web 3"/>
    <w:basedOn w:val="76"/>
    <w:semiHidden/>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20">
    <w:name w:val="Table Professional"/>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黑体"/>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2">
    <w:name w:val="Strong"/>
    <w:qFormat/>
    <w:uiPriority w:val="0"/>
    <w:rPr>
      <w:rFonts w:cs="Times New Roman"/>
      <w:b/>
      <w:bCs/>
    </w:rPr>
  </w:style>
  <w:style w:type="character" w:styleId="123">
    <w:name w:val="page number"/>
    <w:basedOn w:val="121"/>
    <w:qFormat/>
    <w:uiPriority w:val="0"/>
    <w:rPr>
      <w:rFonts w:cs="Times New Roman"/>
    </w:rPr>
  </w:style>
  <w:style w:type="character" w:styleId="124">
    <w:name w:val="FollowedHyperlink"/>
    <w:qFormat/>
    <w:uiPriority w:val="0"/>
    <w:rPr>
      <w:rFonts w:cs="Times New Roman"/>
      <w:color w:val="1F4F88"/>
      <w:u w:val="none"/>
    </w:rPr>
  </w:style>
  <w:style w:type="character" w:styleId="125">
    <w:name w:val="Emphasis"/>
    <w:qFormat/>
    <w:uiPriority w:val="99"/>
    <w:rPr>
      <w:rFonts w:cs="Times New Roman"/>
      <w:color w:val="auto"/>
    </w:rPr>
  </w:style>
  <w:style w:type="character" w:styleId="126">
    <w:name w:val="line number"/>
    <w:qFormat/>
    <w:uiPriority w:val="99"/>
    <w:rPr>
      <w:rFonts w:cs="Times New Roman"/>
    </w:rPr>
  </w:style>
  <w:style w:type="character" w:styleId="127">
    <w:name w:val="HTML Definition"/>
    <w:semiHidden/>
    <w:qFormat/>
    <w:uiPriority w:val="99"/>
    <w:rPr>
      <w:rFonts w:cs="Times New Roman"/>
      <w:i/>
      <w:iCs/>
    </w:rPr>
  </w:style>
  <w:style w:type="character" w:styleId="128">
    <w:name w:val="HTML Typewriter"/>
    <w:semiHidden/>
    <w:qFormat/>
    <w:uiPriority w:val="99"/>
    <w:rPr>
      <w:rFonts w:ascii="Courier New" w:hAnsi="Courier New" w:cs="Courier New"/>
      <w:sz w:val="20"/>
      <w:szCs w:val="20"/>
    </w:rPr>
  </w:style>
  <w:style w:type="character" w:styleId="129">
    <w:name w:val="HTML Acronym"/>
    <w:semiHidden/>
    <w:qFormat/>
    <w:uiPriority w:val="99"/>
    <w:rPr>
      <w:rFonts w:cs="Times New Roman"/>
    </w:rPr>
  </w:style>
  <w:style w:type="character" w:styleId="130">
    <w:name w:val="HTML Variable"/>
    <w:semiHidden/>
    <w:qFormat/>
    <w:uiPriority w:val="99"/>
    <w:rPr>
      <w:rFonts w:cs="Times New Roman"/>
      <w:i/>
      <w:iCs/>
    </w:rPr>
  </w:style>
  <w:style w:type="character" w:styleId="131">
    <w:name w:val="Hyperlink"/>
    <w:qFormat/>
    <w:uiPriority w:val="99"/>
    <w:rPr>
      <w:rFonts w:cs="Times New Roman"/>
      <w:color w:val="1F4F88"/>
      <w:u w:val="none"/>
    </w:rPr>
  </w:style>
  <w:style w:type="character" w:styleId="132">
    <w:name w:val="HTML Code"/>
    <w:semiHidden/>
    <w:qFormat/>
    <w:uiPriority w:val="99"/>
    <w:rPr>
      <w:rFonts w:ascii="Courier New" w:hAnsi="Courier New" w:cs="Courier New"/>
      <w:sz w:val="20"/>
      <w:szCs w:val="20"/>
    </w:rPr>
  </w:style>
  <w:style w:type="character" w:styleId="133">
    <w:name w:val="annotation reference"/>
    <w:qFormat/>
    <w:uiPriority w:val="99"/>
    <w:rPr>
      <w:rFonts w:cs="Times New Roman"/>
      <w:sz w:val="21"/>
      <w:szCs w:val="21"/>
    </w:rPr>
  </w:style>
  <w:style w:type="character" w:styleId="134">
    <w:name w:val="HTML Cite"/>
    <w:semiHidden/>
    <w:qFormat/>
    <w:uiPriority w:val="99"/>
    <w:rPr>
      <w:rFonts w:cs="Times New Roman"/>
      <w:i/>
      <w:iCs/>
    </w:rPr>
  </w:style>
  <w:style w:type="character" w:styleId="135">
    <w:name w:val="footnote reference"/>
    <w:semiHidden/>
    <w:qFormat/>
    <w:locked/>
    <w:uiPriority w:val="0"/>
    <w:rPr>
      <w:vertAlign w:val="superscript"/>
    </w:rPr>
  </w:style>
  <w:style w:type="character" w:styleId="136">
    <w:name w:val="HTML Keyboard"/>
    <w:semiHidden/>
    <w:qFormat/>
    <w:uiPriority w:val="99"/>
    <w:rPr>
      <w:rFonts w:ascii="Courier New" w:hAnsi="Courier New" w:cs="Courier New"/>
      <w:sz w:val="20"/>
      <w:szCs w:val="20"/>
    </w:rPr>
  </w:style>
  <w:style w:type="character" w:styleId="137">
    <w:name w:val="HTML Sample"/>
    <w:semiHidden/>
    <w:qFormat/>
    <w:uiPriority w:val="99"/>
    <w:rPr>
      <w:rFonts w:ascii="Courier New" w:hAnsi="Courier New" w:cs="Courier New"/>
    </w:rPr>
  </w:style>
  <w:style w:type="paragraph" w:customStyle="1" w:styleId="138">
    <w:name w:val="标题2"/>
    <w:basedOn w:val="5"/>
    <w:next w:val="30"/>
    <w:link w:val="142"/>
    <w:qFormat/>
    <w:uiPriority w:val="0"/>
    <w:pPr>
      <w:outlineLvl w:val="1"/>
    </w:pPr>
  </w:style>
  <w:style w:type="character" w:customStyle="1" w:styleId="139">
    <w:name w:val="正文缩进 字符"/>
    <w:link w:val="2"/>
    <w:qFormat/>
    <w:locked/>
    <w:uiPriority w:val="99"/>
    <w:rPr>
      <w:rFonts w:eastAsia="宋体" w:cs="Times New Roman"/>
      <w:sz w:val="21"/>
      <w:szCs w:val="21"/>
    </w:rPr>
  </w:style>
  <w:style w:type="character" w:customStyle="1" w:styleId="140">
    <w:name w:val="标题 1 字符"/>
    <w:link w:val="3"/>
    <w:qFormat/>
    <w:locked/>
    <w:uiPriority w:val="99"/>
    <w:rPr>
      <w:b/>
      <w:iCs/>
      <w:kern w:val="2"/>
      <w:sz w:val="36"/>
    </w:rPr>
  </w:style>
  <w:style w:type="character" w:customStyle="1" w:styleId="141">
    <w:name w:val="标题 3 字符"/>
    <w:link w:val="5"/>
    <w:qFormat/>
    <w:locked/>
    <w:uiPriority w:val="99"/>
    <w:rPr>
      <w:bCs/>
      <w:sz w:val="24"/>
      <w:szCs w:val="32"/>
    </w:rPr>
  </w:style>
  <w:style w:type="character" w:customStyle="1" w:styleId="142">
    <w:name w:val="标题2 字符"/>
    <w:link w:val="138"/>
    <w:qFormat/>
    <w:uiPriority w:val="0"/>
  </w:style>
  <w:style w:type="character" w:customStyle="1" w:styleId="143">
    <w:name w:val="正文文本 字符"/>
    <w:link w:val="30"/>
    <w:semiHidden/>
    <w:qFormat/>
    <w:locked/>
    <w:uiPriority w:val="99"/>
    <w:rPr>
      <w:rFonts w:cs="Times New Roman"/>
      <w:sz w:val="21"/>
      <w:szCs w:val="21"/>
    </w:rPr>
  </w:style>
  <w:style w:type="character" w:customStyle="1" w:styleId="144">
    <w:name w:val="标题 2 字符"/>
    <w:link w:val="4"/>
    <w:qFormat/>
    <w:locked/>
    <w:uiPriority w:val="0"/>
    <w:rPr>
      <w:b/>
      <w:sz w:val="24"/>
      <w:szCs w:val="32"/>
    </w:rPr>
  </w:style>
  <w:style w:type="character" w:customStyle="1" w:styleId="145">
    <w:name w:val="标题 4 字符"/>
    <w:link w:val="6"/>
    <w:qFormat/>
    <w:locked/>
    <w:uiPriority w:val="99"/>
    <w:rPr>
      <w:rFonts w:ascii="Arial" w:hAnsi="Arial" w:eastAsia="黑体"/>
      <w:b/>
      <w:bCs/>
      <w:sz w:val="28"/>
      <w:szCs w:val="28"/>
    </w:rPr>
  </w:style>
  <w:style w:type="character" w:customStyle="1" w:styleId="146">
    <w:name w:val="标题 5 字符"/>
    <w:link w:val="7"/>
    <w:qFormat/>
    <w:locked/>
    <w:uiPriority w:val="99"/>
    <w:rPr>
      <w:b/>
      <w:bCs/>
      <w:sz w:val="28"/>
      <w:szCs w:val="28"/>
    </w:rPr>
  </w:style>
  <w:style w:type="character" w:customStyle="1" w:styleId="147">
    <w:name w:val="标题 6 字符"/>
    <w:link w:val="8"/>
    <w:qFormat/>
    <w:locked/>
    <w:uiPriority w:val="99"/>
    <w:rPr>
      <w:rFonts w:ascii="Arial" w:hAnsi="Arial" w:eastAsia="黑体"/>
      <w:b/>
      <w:bCs/>
    </w:rPr>
  </w:style>
  <w:style w:type="character" w:customStyle="1" w:styleId="148">
    <w:name w:val="标题 7 字符"/>
    <w:link w:val="9"/>
    <w:qFormat/>
    <w:locked/>
    <w:uiPriority w:val="99"/>
    <w:rPr>
      <w:b/>
      <w:bCs/>
      <w:sz w:val="24"/>
      <w:szCs w:val="24"/>
    </w:rPr>
  </w:style>
  <w:style w:type="character" w:customStyle="1" w:styleId="149">
    <w:name w:val="标题 8 字符"/>
    <w:link w:val="10"/>
    <w:qFormat/>
    <w:locked/>
    <w:uiPriority w:val="99"/>
    <w:rPr>
      <w:rFonts w:ascii="Cambria" w:hAnsi="Cambria"/>
      <w:sz w:val="24"/>
      <w:szCs w:val="24"/>
    </w:rPr>
  </w:style>
  <w:style w:type="character" w:customStyle="1" w:styleId="150">
    <w:name w:val="标题 9 字符"/>
    <w:link w:val="11"/>
    <w:qFormat/>
    <w:locked/>
    <w:uiPriority w:val="99"/>
    <w:rPr>
      <w:rFonts w:ascii="Cambria" w:hAnsi="Cambria"/>
      <w:sz w:val="21"/>
      <w:szCs w:val="21"/>
    </w:rPr>
  </w:style>
  <w:style w:type="character" w:customStyle="1" w:styleId="151">
    <w:name w:val="注释标题 字符"/>
    <w:link w:val="16"/>
    <w:semiHidden/>
    <w:qFormat/>
    <w:locked/>
    <w:uiPriority w:val="99"/>
    <w:rPr>
      <w:rFonts w:cs="Times New Roman"/>
      <w:sz w:val="21"/>
      <w:szCs w:val="21"/>
    </w:rPr>
  </w:style>
  <w:style w:type="character" w:customStyle="1" w:styleId="152">
    <w:name w:val="电子邮件签名 字符"/>
    <w:link w:val="18"/>
    <w:semiHidden/>
    <w:qFormat/>
    <w:locked/>
    <w:uiPriority w:val="99"/>
    <w:rPr>
      <w:rFonts w:cs="Times New Roman"/>
      <w:sz w:val="21"/>
      <w:szCs w:val="21"/>
    </w:rPr>
  </w:style>
  <w:style w:type="character" w:customStyle="1" w:styleId="153">
    <w:name w:val="文档结构图 字符"/>
    <w:link w:val="23"/>
    <w:qFormat/>
    <w:locked/>
    <w:uiPriority w:val="0"/>
    <w:rPr>
      <w:rFonts w:cs="Times New Roman"/>
      <w:sz w:val="2"/>
      <w:szCs w:val="2"/>
    </w:rPr>
  </w:style>
  <w:style w:type="character" w:customStyle="1" w:styleId="154">
    <w:name w:val="批注文字 字符"/>
    <w:link w:val="25"/>
    <w:qFormat/>
    <w:locked/>
    <w:uiPriority w:val="99"/>
    <w:rPr>
      <w:rFonts w:cs="Times New Roman"/>
      <w:sz w:val="21"/>
      <w:szCs w:val="21"/>
    </w:rPr>
  </w:style>
  <w:style w:type="character" w:customStyle="1" w:styleId="155">
    <w:name w:val="称呼 字符"/>
    <w:link w:val="26"/>
    <w:semiHidden/>
    <w:qFormat/>
    <w:locked/>
    <w:uiPriority w:val="99"/>
    <w:rPr>
      <w:rFonts w:cs="Times New Roman"/>
      <w:sz w:val="21"/>
      <w:szCs w:val="21"/>
    </w:rPr>
  </w:style>
  <w:style w:type="character" w:customStyle="1" w:styleId="156">
    <w:name w:val="正文文本 3 字符"/>
    <w:link w:val="27"/>
    <w:semiHidden/>
    <w:qFormat/>
    <w:locked/>
    <w:uiPriority w:val="99"/>
    <w:rPr>
      <w:rFonts w:cs="Times New Roman"/>
      <w:sz w:val="16"/>
      <w:szCs w:val="16"/>
    </w:rPr>
  </w:style>
  <w:style w:type="character" w:customStyle="1" w:styleId="157">
    <w:name w:val="结束语 字符"/>
    <w:link w:val="28"/>
    <w:semiHidden/>
    <w:qFormat/>
    <w:locked/>
    <w:uiPriority w:val="99"/>
    <w:rPr>
      <w:rFonts w:cs="Times New Roman"/>
      <w:sz w:val="21"/>
      <w:szCs w:val="21"/>
    </w:rPr>
  </w:style>
  <w:style w:type="character" w:customStyle="1" w:styleId="158">
    <w:name w:val="正文文本缩进 字符"/>
    <w:link w:val="31"/>
    <w:qFormat/>
    <w:locked/>
    <w:uiPriority w:val="0"/>
    <w:rPr>
      <w:rFonts w:cs="Times New Roman"/>
      <w:sz w:val="21"/>
      <w:szCs w:val="21"/>
    </w:rPr>
  </w:style>
  <w:style w:type="character" w:customStyle="1" w:styleId="159">
    <w:name w:val="HTML 地址 字符"/>
    <w:link w:val="37"/>
    <w:semiHidden/>
    <w:qFormat/>
    <w:locked/>
    <w:uiPriority w:val="99"/>
    <w:rPr>
      <w:rFonts w:cs="Times New Roman"/>
      <w:i/>
      <w:iCs/>
      <w:sz w:val="21"/>
      <w:szCs w:val="21"/>
    </w:rPr>
  </w:style>
  <w:style w:type="character" w:customStyle="1" w:styleId="160">
    <w:name w:val="纯文本 字符1"/>
    <w:link w:val="40"/>
    <w:qFormat/>
    <w:locked/>
    <w:uiPriority w:val="0"/>
    <w:rPr>
      <w:rFonts w:ascii="宋体" w:hAnsi="Courier New" w:cs="宋体"/>
      <w:sz w:val="21"/>
      <w:szCs w:val="21"/>
    </w:rPr>
  </w:style>
  <w:style w:type="character" w:customStyle="1" w:styleId="161">
    <w:name w:val="日期 字符"/>
    <w:link w:val="44"/>
    <w:qFormat/>
    <w:locked/>
    <w:uiPriority w:val="0"/>
    <w:rPr>
      <w:rFonts w:cs="Times New Roman"/>
      <w:sz w:val="21"/>
      <w:szCs w:val="21"/>
    </w:rPr>
  </w:style>
  <w:style w:type="character" w:customStyle="1" w:styleId="162">
    <w:name w:val="正文文本缩进 2 字符"/>
    <w:link w:val="45"/>
    <w:qFormat/>
    <w:locked/>
    <w:uiPriority w:val="0"/>
    <w:rPr>
      <w:rFonts w:cs="Times New Roman"/>
      <w:sz w:val="21"/>
      <w:szCs w:val="21"/>
    </w:rPr>
  </w:style>
  <w:style w:type="character" w:customStyle="1" w:styleId="163">
    <w:name w:val="批注框文本 字符"/>
    <w:link w:val="47"/>
    <w:qFormat/>
    <w:uiPriority w:val="99"/>
    <w:rPr>
      <w:kern w:val="2"/>
      <w:sz w:val="18"/>
      <w:szCs w:val="18"/>
    </w:rPr>
  </w:style>
  <w:style w:type="character" w:customStyle="1" w:styleId="164">
    <w:name w:val="页脚 字符"/>
    <w:link w:val="48"/>
    <w:qFormat/>
    <w:locked/>
    <w:uiPriority w:val="99"/>
    <w:rPr>
      <w:rFonts w:cs="Times New Roman"/>
      <w:sz w:val="18"/>
      <w:szCs w:val="18"/>
    </w:rPr>
  </w:style>
  <w:style w:type="character" w:customStyle="1" w:styleId="165">
    <w:name w:val="页眉 字符"/>
    <w:link w:val="50"/>
    <w:qFormat/>
    <w:locked/>
    <w:uiPriority w:val="99"/>
    <w:rPr>
      <w:rFonts w:cs="Times New Roman"/>
      <w:sz w:val="18"/>
      <w:szCs w:val="18"/>
    </w:rPr>
  </w:style>
  <w:style w:type="character" w:customStyle="1" w:styleId="166">
    <w:name w:val="签名 字符"/>
    <w:link w:val="51"/>
    <w:semiHidden/>
    <w:qFormat/>
    <w:locked/>
    <w:uiPriority w:val="99"/>
    <w:rPr>
      <w:rFonts w:cs="Times New Roman"/>
      <w:sz w:val="21"/>
      <w:szCs w:val="21"/>
    </w:rPr>
  </w:style>
  <w:style w:type="character" w:customStyle="1" w:styleId="167">
    <w:name w:val="副标题 字符"/>
    <w:link w:val="55"/>
    <w:qFormat/>
    <w:locked/>
    <w:uiPriority w:val="99"/>
    <w:rPr>
      <w:rFonts w:ascii="Cambria" w:hAnsi="Cambria" w:cs="Cambria"/>
      <w:b/>
      <w:bCs/>
      <w:kern w:val="28"/>
      <w:sz w:val="32"/>
      <w:szCs w:val="32"/>
    </w:rPr>
  </w:style>
  <w:style w:type="character" w:customStyle="1" w:styleId="168">
    <w:name w:val="正文文本缩进 3 字符"/>
    <w:link w:val="61"/>
    <w:qFormat/>
    <w:locked/>
    <w:uiPriority w:val="0"/>
    <w:rPr>
      <w:rFonts w:cs="Times New Roman"/>
      <w:sz w:val="16"/>
      <w:szCs w:val="16"/>
    </w:rPr>
  </w:style>
  <w:style w:type="character" w:customStyle="1" w:styleId="169">
    <w:name w:val="正文文本 2 字符"/>
    <w:link w:val="64"/>
    <w:semiHidden/>
    <w:qFormat/>
    <w:locked/>
    <w:uiPriority w:val="99"/>
    <w:rPr>
      <w:rFonts w:cs="Times New Roman"/>
      <w:sz w:val="21"/>
      <w:szCs w:val="21"/>
    </w:rPr>
  </w:style>
  <w:style w:type="character" w:customStyle="1" w:styleId="170">
    <w:name w:val="信息标题 字符"/>
    <w:link w:val="67"/>
    <w:semiHidden/>
    <w:qFormat/>
    <w:locked/>
    <w:uiPriority w:val="99"/>
    <w:rPr>
      <w:rFonts w:ascii="Cambria" w:hAnsi="Cambria" w:eastAsia="宋体" w:cs="Cambria"/>
      <w:sz w:val="24"/>
      <w:szCs w:val="24"/>
      <w:shd w:val="pct20" w:color="auto" w:fill="auto"/>
    </w:rPr>
  </w:style>
  <w:style w:type="character" w:customStyle="1" w:styleId="171">
    <w:name w:val="HTML 预设格式 字符"/>
    <w:link w:val="68"/>
    <w:semiHidden/>
    <w:qFormat/>
    <w:locked/>
    <w:uiPriority w:val="99"/>
    <w:rPr>
      <w:rFonts w:ascii="Courier New" w:hAnsi="Courier New" w:cs="Courier New"/>
      <w:sz w:val="20"/>
      <w:szCs w:val="20"/>
    </w:rPr>
  </w:style>
  <w:style w:type="character" w:customStyle="1" w:styleId="172">
    <w:name w:val="标题 字符"/>
    <w:link w:val="72"/>
    <w:qFormat/>
    <w:locked/>
    <w:uiPriority w:val="0"/>
    <w:rPr>
      <w:b/>
      <w:bCs/>
      <w:sz w:val="32"/>
      <w:szCs w:val="32"/>
    </w:rPr>
  </w:style>
  <w:style w:type="character" w:customStyle="1" w:styleId="173">
    <w:name w:val="批注主题 字符"/>
    <w:link w:val="73"/>
    <w:semiHidden/>
    <w:qFormat/>
    <w:locked/>
    <w:uiPriority w:val="99"/>
    <w:rPr>
      <w:rFonts w:ascii="Calibri" w:hAnsi="Calibri" w:eastAsia="宋体" w:cs="Calibri"/>
      <w:b/>
      <w:bCs/>
      <w:sz w:val="21"/>
      <w:szCs w:val="21"/>
      <w:lang w:val="en-US" w:eastAsia="en-US"/>
    </w:rPr>
  </w:style>
  <w:style w:type="character" w:customStyle="1" w:styleId="174">
    <w:name w:val="正文文本首行缩进 字符"/>
    <w:link w:val="74"/>
    <w:semiHidden/>
    <w:qFormat/>
    <w:locked/>
    <w:uiPriority w:val="99"/>
    <w:rPr>
      <w:rFonts w:eastAsia="宋体" w:cs="Times New Roman"/>
      <w:sz w:val="21"/>
      <w:szCs w:val="21"/>
    </w:rPr>
  </w:style>
  <w:style w:type="character" w:customStyle="1" w:styleId="175">
    <w:name w:val="正文文本首行缩进 2 字符"/>
    <w:link w:val="75"/>
    <w:semiHidden/>
    <w:qFormat/>
    <w:locked/>
    <w:uiPriority w:val="99"/>
    <w:rPr>
      <w:rFonts w:cs="Times New Roman"/>
      <w:sz w:val="21"/>
      <w:szCs w:val="21"/>
    </w:rPr>
  </w:style>
  <w:style w:type="character" w:customStyle="1" w:styleId="176">
    <w:name w:val="Footer Char"/>
    <w:semiHidden/>
    <w:qFormat/>
    <w:locked/>
    <w:uiPriority w:val="99"/>
    <w:rPr>
      <w:rFonts w:eastAsia="宋体"/>
      <w:sz w:val="18"/>
    </w:rPr>
  </w:style>
  <w:style w:type="character" w:customStyle="1" w:styleId="177">
    <w:name w:val="Default Char"/>
    <w:link w:val="178"/>
    <w:qFormat/>
    <w:uiPriority w:val="0"/>
    <w:rPr>
      <w:rFonts w:ascii="宋体"/>
      <w:color w:val="000000"/>
      <w:sz w:val="24"/>
      <w:szCs w:val="24"/>
      <w:lang w:val="en-US" w:eastAsia="zh-CN" w:bidi="ar-SA"/>
    </w:rPr>
  </w:style>
  <w:style w:type="paragraph" w:customStyle="1" w:styleId="178">
    <w:name w:val="Default"/>
    <w:link w:val="177"/>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79">
    <w:name w:val="正文（缩进） Char"/>
    <w:link w:val="180"/>
    <w:qFormat/>
    <w:locked/>
    <w:uiPriority w:val="99"/>
    <w:rPr>
      <w:rFonts w:eastAsia="宋体"/>
      <w:sz w:val="24"/>
    </w:rPr>
  </w:style>
  <w:style w:type="paragraph" w:customStyle="1" w:styleId="180">
    <w:name w:val="正文（缩进）"/>
    <w:basedOn w:val="1"/>
    <w:link w:val="179"/>
    <w:semiHidden/>
    <w:qFormat/>
    <w:uiPriority w:val="99"/>
    <w:pPr>
      <w:spacing w:beforeLines="50" w:afterLines="50" w:line="360" w:lineRule="auto"/>
      <w:ind w:firstLine="480" w:firstLineChars="200"/>
    </w:pPr>
    <w:rPr>
      <w:kern w:val="0"/>
      <w:sz w:val="24"/>
      <w:szCs w:val="20"/>
    </w:rPr>
  </w:style>
  <w:style w:type="character" w:customStyle="1" w:styleId="181">
    <w:name w:val="Comment Text Char"/>
    <w:qFormat/>
    <w:locked/>
    <w:uiPriority w:val="99"/>
    <w:rPr>
      <w:rFonts w:ascii="Calibri" w:hAnsi="Calibri" w:eastAsia="宋体"/>
      <w:sz w:val="22"/>
      <w:lang w:val="en-US" w:eastAsia="en-US"/>
    </w:rPr>
  </w:style>
  <w:style w:type="character" w:customStyle="1" w:styleId="182">
    <w:name w:val="style61"/>
    <w:qFormat/>
    <w:uiPriority w:val="0"/>
    <w:rPr>
      <w:color w:val="CCCCCC"/>
    </w:rPr>
  </w:style>
  <w:style w:type="character" w:customStyle="1" w:styleId="183">
    <w:name w:val="List Paragraph Char"/>
    <w:link w:val="184"/>
    <w:qFormat/>
    <w:locked/>
    <w:uiPriority w:val="0"/>
    <w:rPr>
      <w:color w:val="262626"/>
    </w:rPr>
  </w:style>
  <w:style w:type="paragraph" w:customStyle="1" w:styleId="184">
    <w:name w:val="列出段落2"/>
    <w:basedOn w:val="1"/>
    <w:link w:val="183"/>
    <w:qFormat/>
    <w:uiPriority w:val="0"/>
    <w:pPr>
      <w:ind w:firstLine="420" w:firstLineChars="200"/>
    </w:pPr>
    <w:rPr>
      <w:color w:val="262626"/>
      <w:kern w:val="0"/>
      <w:sz w:val="20"/>
      <w:szCs w:val="20"/>
    </w:rPr>
  </w:style>
  <w:style w:type="character" w:customStyle="1" w:styleId="185">
    <w:name w:val="HR正文 Char"/>
    <w:link w:val="186"/>
    <w:qFormat/>
    <w:uiPriority w:val="0"/>
    <w:rPr>
      <w:rFonts w:ascii="Calibri" w:hAnsi="Calibri"/>
      <w:kern w:val="2"/>
      <w:sz w:val="24"/>
      <w:szCs w:val="24"/>
    </w:rPr>
  </w:style>
  <w:style w:type="paragraph" w:customStyle="1" w:styleId="186">
    <w:name w:val="HR正文"/>
    <w:basedOn w:val="1"/>
    <w:link w:val="185"/>
    <w:qFormat/>
    <w:uiPriority w:val="0"/>
    <w:pPr>
      <w:spacing w:line="300" w:lineRule="auto"/>
      <w:ind w:firstLine="200" w:firstLineChars="200"/>
    </w:pPr>
    <w:rPr>
      <w:rFonts w:ascii="Calibri" w:hAnsi="Calibri"/>
      <w:sz w:val="24"/>
      <w:szCs w:val="24"/>
    </w:rPr>
  </w:style>
  <w:style w:type="character" w:customStyle="1" w:styleId="187">
    <w:name w:val="HTML Markup"/>
    <w:qFormat/>
    <w:uiPriority w:val="0"/>
    <w:rPr>
      <w:vanish/>
      <w:color w:val="FF0000"/>
    </w:rPr>
  </w:style>
  <w:style w:type="character" w:customStyle="1" w:styleId="188">
    <w:name w:val="ewm"/>
    <w:qFormat/>
    <w:uiPriority w:val="0"/>
  </w:style>
  <w:style w:type="character" w:customStyle="1" w:styleId="189">
    <w:name w:val="段 Char"/>
    <w:link w:val="190"/>
    <w:qFormat/>
    <w:locked/>
    <w:uiPriority w:val="99"/>
    <w:rPr>
      <w:rFonts w:ascii="宋体" w:cs="宋体"/>
      <w:sz w:val="21"/>
      <w:szCs w:val="21"/>
      <w:lang w:val="en-US" w:eastAsia="zh-CN" w:bidi="ar-SA"/>
    </w:rPr>
  </w:style>
  <w:style w:type="paragraph" w:customStyle="1" w:styleId="190">
    <w:name w:val="段"/>
    <w:link w:val="189"/>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91">
    <w:name w:val="r-search"/>
    <w:qFormat/>
    <w:uiPriority w:val="0"/>
  </w:style>
  <w:style w:type="character" w:customStyle="1" w:styleId="192">
    <w:name w:val="Header Char"/>
    <w:semiHidden/>
    <w:qFormat/>
    <w:locked/>
    <w:uiPriority w:val="99"/>
    <w:rPr>
      <w:rFonts w:eastAsia="宋体"/>
      <w:sz w:val="18"/>
    </w:rPr>
  </w:style>
  <w:style w:type="character" w:customStyle="1" w:styleId="193">
    <w:name w:val="hover39"/>
    <w:qFormat/>
    <w:uiPriority w:val="99"/>
    <w:rPr>
      <w:rFonts w:cs="Times New Roman"/>
      <w:color w:val="FFFFFF"/>
      <w:shd w:val="clear" w:color="auto" w:fill="auto"/>
    </w:rPr>
  </w:style>
  <w:style w:type="character" w:customStyle="1" w:styleId="194">
    <w:name w:val="param-name1"/>
    <w:qFormat/>
    <w:uiPriority w:val="99"/>
    <w:rPr>
      <w:rFonts w:cs="Times New Roman"/>
      <w:b/>
      <w:bCs/>
    </w:rPr>
  </w:style>
  <w:style w:type="character" w:customStyle="1" w:styleId="195">
    <w:name w:val="hover40"/>
    <w:qFormat/>
    <w:uiPriority w:val="99"/>
    <w:rPr>
      <w:rFonts w:cs="Times New Roman"/>
      <w:color w:val="auto"/>
      <w:u w:val="single"/>
    </w:rPr>
  </w:style>
  <w:style w:type="character" w:customStyle="1" w:styleId="196">
    <w:name w:val="Body Text Char"/>
    <w:qFormat/>
    <w:locked/>
    <w:uiPriority w:val="99"/>
    <w:rPr>
      <w:rFonts w:eastAsia="宋体"/>
      <w:sz w:val="21"/>
    </w:rPr>
  </w:style>
  <w:style w:type="character" w:customStyle="1" w:styleId="197">
    <w:name w:val="hover34"/>
    <w:qFormat/>
    <w:uiPriority w:val="0"/>
    <w:rPr>
      <w:color w:val="FFFFFF"/>
      <w:bdr w:val="single" w:color="5294E5" w:sz="4" w:space="0"/>
      <w:shd w:val="clear" w:color="auto" w:fill="5294E5"/>
    </w:rPr>
  </w:style>
  <w:style w:type="character" w:customStyle="1" w:styleId="198">
    <w:name w:val="标题 1 Char"/>
    <w:qFormat/>
    <w:uiPriority w:val="0"/>
    <w:rPr>
      <w:rFonts w:eastAsia="宋体" w:cs="Times New Roman"/>
      <w:b/>
      <w:bCs/>
      <w:kern w:val="44"/>
      <w:sz w:val="44"/>
      <w:szCs w:val="44"/>
      <w:lang w:val="en-US" w:eastAsia="zh-CN"/>
    </w:rPr>
  </w:style>
  <w:style w:type="character" w:customStyle="1" w:styleId="199">
    <w:name w:val="bds_more"/>
    <w:qFormat/>
    <w:uiPriority w:val="99"/>
    <w:rPr>
      <w:rFonts w:ascii="Arial" w:hAnsi="Arial" w:cs="Arial"/>
    </w:rPr>
  </w:style>
  <w:style w:type="character" w:customStyle="1" w:styleId="200">
    <w:name w:val="z-crt3"/>
    <w:qFormat/>
    <w:uiPriority w:val="0"/>
    <w:rPr>
      <w:color w:val="FFFFFF"/>
      <w:bdr w:val="single" w:color="5295E6" w:sz="4" w:space="0"/>
      <w:shd w:val="clear" w:color="auto" w:fill="5295E6"/>
    </w:rPr>
  </w:style>
  <w:style w:type="character" w:customStyle="1" w:styleId="201">
    <w:name w:val="hei14"/>
    <w:semiHidden/>
    <w:qFormat/>
    <w:uiPriority w:val="99"/>
    <w:rPr>
      <w:rFonts w:cs="Times New Roman"/>
    </w:rPr>
  </w:style>
  <w:style w:type="character" w:customStyle="1" w:styleId="202">
    <w:name w:val="hover38"/>
    <w:qFormat/>
    <w:uiPriority w:val="99"/>
    <w:rPr>
      <w:rFonts w:cs="Times New Roman"/>
      <w:color w:val="auto"/>
      <w:u w:val="single"/>
    </w:rPr>
  </w:style>
  <w:style w:type="character" w:customStyle="1" w:styleId="203">
    <w:name w:val="Document Map Char"/>
    <w:semiHidden/>
    <w:qFormat/>
    <w:locked/>
    <w:uiPriority w:val="99"/>
    <w:rPr>
      <w:rFonts w:eastAsia="宋体"/>
      <w:sz w:val="21"/>
    </w:rPr>
  </w:style>
  <w:style w:type="character" w:customStyle="1" w:styleId="204">
    <w:name w:val="r-search1"/>
    <w:qFormat/>
    <w:uiPriority w:val="0"/>
  </w:style>
  <w:style w:type="character" w:customStyle="1" w:styleId="205">
    <w:name w:val="Body Text First Indent Char"/>
    <w:qFormat/>
    <w:locked/>
    <w:uiPriority w:val="99"/>
    <w:rPr>
      <w:rFonts w:ascii="宋体" w:hAnsi="宋体" w:eastAsia="宋体"/>
      <w:spacing w:val="20"/>
      <w:sz w:val="24"/>
    </w:rPr>
  </w:style>
  <w:style w:type="character" w:customStyle="1" w:styleId="206">
    <w:name w:val="z-crt4"/>
    <w:qFormat/>
    <w:uiPriority w:val="0"/>
    <w:rPr>
      <w:color w:val="FFFFFF"/>
      <w:bdr w:val="single" w:color="5294E5" w:sz="4" w:space="0"/>
      <w:shd w:val="clear" w:color="auto" w:fill="5294E5"/>
    </w:rPr>
  </w:style>
  <w:style w:type="character" w:customStyle="1" w:styleId="207">
    <w:name w:val="Char Char3"/>
    <w:qFormat/>
    <w:uiPriority w:val="99"/>
    <w:rPr>
      <w:rFonts w:ascii="Calibri" w:hAnsi="Calibri" w:eastAsia="宋体" w:cs="Calibri"/>
      <w:sz w:val="22"/>
      <w:szCs w:val="22"/>
      <w:lang w:eastAsia="en-US"/>
    </w:rPr>
  </w:style>
  <w:style w:type="character" w:customStyle="1" w:styleId="208">
    <w:name w:val="hover43"/>
    <w:qFormat/>
    <w:uiPriority w:val="99"/>
    <w:rPr>
      <w:rFonts w:cs="Times New Roman"/>
      <w:color w:val="auto"/>
      <w:u w:val="single"/>
    </w:rPr>
  </w:style>
  <w:style w:type="character" w:customStyle="1" w:styleId="209">
    <w:name w:val="纯文本 Char1"/>
    <w:semiHidden/>
    <w:qFormat/>
    <w:locked/>
    <w:uiPriority w:val="99"/>
    <w:rPr>
      <w:rFonts w:ascii="宋体" w:hAnsi="Courier New"/>
      <w:kern w:val="2"/>
      <w:sz w:val="21"/>
    </w:rPr>
  </w:style>
  <w:style w:type="character" w:customStyle="1" w:styleId="210">
    <w:name w:val="页眉 Char1"/>
    <w:semiHidden/>
    <w:qFormat/>
    <w:locked/>
    <w:uiPriority w:val="0"/>
    <w:rPr>
      <w:rFonts w:ascii="Calibri" w:hAnsi="Calibri"/>
      <w:sz w:val="18"/>
      <w:szCs w:val="18"/>
    </w:rPr>
  </w:style>
  <w:style w:type="character" w:customStyle="1" w:styleId="211">
    <w:name w:val="纯文本 字符"/>
    <w:qFormat/>
    <w:uiPriority w:val="0"/>
    <w:rPr>
      <w:rFonts w:ascii="宋体" w:hAnsi="Courier New"/>
      <w:kern w:val="2"/>
      <w:sz w:val="21"/>
      <w:szCs w:val="21"/>
    </w:rPr>
  </w:style>
  <w:style w:type="character" w:customStyle="1" w:styleId="212">
    <w:name w:val="first-child"/>
    <w:qFormat/>
    <w:uiPriority w:val="0"/>
  </w:style>
  <w:style w:type="character" w:customStyle="1" w:styleId="213">
    <w:name w:val="hover44"/>
    <w:qFormat/>
    <w:uiPriority w:val="99"/>
    <w:rPr>
      <w:rFonts w:ascii="微软雅黑" w:hAnsi="微软雅黑" w:eastAsia="微软雅黑" w:cs="微软雅黑"/>
      <w:b/>
      <w:bCs/>
      <w:color w:val="auto"/>
      <w:sz w:val="22"/>
      <w:szCs w:val="22"/>
      <w:u w:val="single"/>
    </w:rPr>
  </w:style>
  <w:style w:type="character" w:customStyle="1" w:styleId="214">
    <w:name w:val="apple-converted-space"/>
    <w:qFormat/>
    <w:uiPriority w:val="99"/>
  </w:style>
  <w:style w:type="character" w:customStyle="1" w:styleId="215">
    <w:name w:val="正文文本缩进 2 Char1"/>
    <w:semiHidden/>
    <w:qFormat/>
    <w:locked/>
    <w:uiPriority w:val="99"/>
    <w:rPr>
      <w:sz w:val="21"/>
      <w:szCs w:val="21"/>
    </w:rPr>
  </w:style>
  <w:style w:type="character" w:customStyle="1" w:styleId="216">
    <w:name w:val="hover42"/>
    <w:qFormat/>
    <w:uiPriority w:val="99"/>
    <w:rPr>
      <w:rFonts w:cs="Times New Roman"/>
      <w:color w:val="FFFFFF"/>
      <w:shd w:val="clear" w:color="auto" w:fill="auto"/>
    </w:rPr>
  </w:style>
  <w:style w:type="character" w:customStyle="1" w:styleId="217">
    <w:name w:val="列出段落 Char"/>
    <w:link w:val="218"/>
    <w:qFormat/>
    <w:locked/>
    <w:uiPriority w:val="34"/>
    <w:rPr>
      <w:rFonts w:eastAsia="宋体" w:cs="Times New Roman"/>
      <w:color w:val="262626"/>
    </w:rPr>
  </w:style>
  <w:style w:type="paragraph" w:customStyle="1" w:styleId="218">
    <w:name w:val="List Paragraph1"/>
    <w:basedOn w:val="1"/>
    <w:link w:val="217"/>
    <w:qFormat/>
    <w:uiPriority w:val="34"/>
    <w:pPr>
      <w:spacing w:line="360" w:lineRule="auto"/>
      <w:ind w:firstLine="480" w:firstLineChars="200"/>
    </w:pPr>
    <w:rPr>
      <w:color w:val="262626"/>
      <w:kern w:val="0"/>
      <w:sz w:val="20"/>
      <w:szCs w:val="20"/>
    </w:rPr>
  </w:style>
  <w:style w:type="character" w:customStyle="1" w:styleId="219">
    <w:name w:val="列出段落 字符"/>
    <w:qFormat/>
    <w:locked/>
    <w:uiPriority w:val="34"/>
    <w:rPr>
      <w:kern w:val="2"/>
      <w:sz w:val="21"/>
      <w:szCs w:val="24"/>
    </w:rPr>
  </w:style>
  <w:style w:type="character" w:customStyle="1" w:styleId="220">
    <w:name w:val="HR标题3 Char"/>
    <w:link w:val="221"/>
    <w:qFormat/>
    <w:uiPriority w:val="0"/>
    <w:rPr>
      <w:rFonts w:ascii="Calibri" w:hAnsi="Calibri"/>
      <w:kern w:val="2"/>
      <w:sz w:val="24"/>
      <w:szCs w:val="24"/>
    </w:rPr>
  </w:style>
  <w:style w:type="paragraph" w:customStyle="1" w:styleId="221">
    <w:name w:val="HR标题3"/>
    <w:basedOn w:val="1"/>
    <w:next w:val="186"/>
    <w:link w:val="220"/>
    <w:qFormat/>
    <w:uiPriority w:val="0"/>
    <w:pPr>
      <w:tabs>
        <w:tab w:val="left" w:pos="624"/>
        <w:tab w:val="left" w:pos="1260"/>
      </w:tabs>
      <w:spacing w:line="360" w:lineRule="auto"/>
      <w:ind w:left="1260" w:hanging="420"/>
      <w:outlineLvl w:val="2"/>
    </w:pPr>
    <w:rPr>
      <w:rFonts w:ascii="Calibri" w:hAnsi="Calibri"/>
      <w:sz w:val="24"/>
      <w:szCs w:val="24"/>
    </w:rPr>
  </w:style>
  <w:style w:type="character" w:customStyle="1" w:styleId="222">
    <w:name w:val="HR正文 Char1"/>
    <w:qFormat/>
    <w:uiPriority w:val="0"/>
    <w:rPr>
      <w:kern w:val="2"/>
      <w:sz w:val="24"/>
      <w:szCs w:val="24"/>
    </w:rPr>
  </w:style>
  <w:style w:type="paragraph" w:customStyle="1" w:styleId="223">
    <w:name w:val="样式5"/>
    <w:basedOn w:val="1"/>
    <w:next w:val="39"/>
    <w:qFormat/>
    <w:uiPriority w:val="99"/>
    <w:pPr>
      <w:tabs>
        <w:tab w:val="left" w:pos="980"/>
      </w:tabs>
      <w:spacing w:line="360" w:lineRule="auto"/>
      <w:ind w:left="140" w:right="-20"/>
      <w:outlineLvl w:val="0"/>
    </w:pPr>
    <w:rPr>
      <w:b/>
      <w:bCs/>
      <w:kern w:val="0"/>
      <w:sz w:val="28"/>
      <w:szCs w:val="28"/>
    </w:rPr>
  </w:style>
  <w:style w:type="paragraph" w:customStyle="1" w:styleId="224">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25">
    <w:name w:val="Char Char 字元 字元 字元 Char Char Char Char"/>
    <w:basedOn w:val="1"/>
    <w:qFormat/>
    <w:uiPriority w:val="99"/>
    <w:pPr>
      <w:adjustRightInd w:val="0"/>
      <w:spacing w:line="360" w:lineRule="auto"/>
    </w:pPr>
    <w:rPr>
      <w:kern w:val="0"/>
      <w:sz w:val="24"/>
      <w:szCs w:val="24"/>
    </w:rPr>
  </w:style>
  <w:style w:type="paragraph" w:customStyle="1" w:styleId="226">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227">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9">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30">
    <w:name w:val="表格"/>
    <w:basedOn w:val="1"/>
    <w:next w:val="1"/>
    <w:qFormat/>
    <w:uiPriority w:val="0"/>
    <w:pPr>
      <w:spacing w:beforeLines="50" w:afterLines="50"/>
      <w:jc w:val="left"/>
    </w:pPr>
    <w:rPr>
      <w:rFonts w:ascii="宋体" w:hAnsi="宋体"/>
    </w:rPr>
  </w:style>
  <w:style w:type="paragraph" w:customStyle="1" w:styleId="231">
    <w:name w:val="111111"/>
    <w:basedOn w:val="72"/>
    <w:qFormat/>
    <w:uiPriority w:val="99"/>
    <w:pPr>
      <w:jc w:val="both"/>
    </w:pPr>
  </w:style>
  <w:style w:type="paragraph" w:customStyle="1" w:styleId="232">
    <w:name w:val="HR标题7"/>
    <w:basedOn w:val="1"/>
    <w:next w:val="186"/>
    <w:qFormat/>
    <w:uiPriority w:val="0"/>
    <w:pPr>
      <w:numPr>
        <w:ilvl w:val="6"/>
        <w:numId w:val="2"/>
      </w:numPr>
      <w:tabs>
        <w:tab w:val="left" w:pos="1332"/>
      </w:tabs>
      <w:spacing w:line="360" w:lineRule="auto"/>
      <w:outlineLvl w:val="6"/>
    </w:pPr>
    <w:rPr>
      <w:sz w:val="24"/>
      <w:szCs w:val="24"/>
    </w:rPr>
  </w:style>
  <w:style w:type="paragraph" w:customStyle="1" w:styleId="233">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4">
    <w:name w:val="HR标题8"/>
    <w:basedOn w:val="1"/>
    <w:next w:val="186"/>
    <w:qFormat/>
    <w:uiPriority w:val="0"/>
    <w:pPr>
      <w:numPr>
        <w:ilvl w:val="7"/>
        <w:numId w:val="2"/>
      </w:numPr>
      <w:tabs>
        <w:tab w:val="left" w:pos="1531"/>
      </w:tabs>
      <w:spacing w:line="360" w:lineRule="auto"/>
      <w:outlineLvl w:val="7"/>
    </w:pPr>
    <w:rPr>
      <w:sz w:val="24"/>
      <w:szCs w:val="24"/>
    </w:rPr>
  </w:style>
  <w:style w:type="paragraph" w:customStyle="1" w:styleId="235">
    <w:name w:val="列出段落1"/>
    <w:basedOn w:val="1"/>
    <w:qFormat/>
    <w:uiPriority w:val="34"/>
    <w:pPr>
      <w:ind w:firstLine="420" w:firstLineChars="200"/>
    </w:pPr>
  </w:style>
  <w:style w:type="paragraph" w:customStyle="1" w:styleId="236">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7">
    <w:name w:val="HR标题2"/>
    <w:basedOn w:val="1"/>
    <w:next w:val="186"/>
    <w:qFormat/>
    <w:uiPriority w:val="0"/>
    <w:pPr>
      <w:tabs>
        <w:tab w:val="left" w:pos="454"/>
        <w:tab w:val="left" w:pos="840"/>
      </w:tabs>
      <w:spacing w:line="360" w:lineRule="auto"/>
      <w:ind w:left="840" w:hanging="420"/>
      <w:outlineLvl w:val="1"/>
    </w:pPr>
    <w:rPr>
      <w:rFonts w:eastAsia="黑体"/>
      <w:sz w:val="24"/>
      <w:szCs w:val="24"/>
    </w:rPr>
  </w:style>
  <w:style w:type="paragraph" w:customStyle="1" w:styleId="238">
    <w:name w:val="HR标题4"/>
    <w:basedOn w:val="1"/>
    <w:next w:val="186"/>
    <w:qFormat/>
    <w:uiPriority w:val="0"/>
    <w:pPr>
      <w:tabs>
        <w:tab w:val="left" w:pos="974"/>
        <w:tab w:val="left" w:pos="1680"/>
      </w:tabs>
      <w:spacing w:line="360" w:lineRule="auto"/>
      <w:ind w:left="1680" w:hanging="420"/>
      <w:outlineLvl w:val="3"/>
    </w:pPr>
    <w:rPr>
      <w:sz w:val="24"/>
      <w:szCs w:val="24"/>
    </w:rPr>
  </w:style>
  <w:style w:type="paragraph" w:customStyle="1" w:styleId="239">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0">
    <w:name w:val="style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1">
    <w:name w:val="样式1"/>
    <w:basedOn w:val="6"/>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242">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3">
    <w:name w:val="HR标题6"/>
    <w:basedOn w:val="1"/>
    <w:next w:val="186"/>
    <w:qFormat/>
    <w:uiPriority w:val="0"/>
    <w:pPr>
      <w:tabs>
        <w:tab w:val="left" w:pos="1134"/>
        <w:tab w:val="left" w:pos="2520"/>
      </w:tabs>
      <w:spacing w:line="360" w:lineRule="auto"/>
      <w:ind w:left="2520" w:hanging="420"/>
      <w:outlineLvl w:val="5"/>
    </w:pPr>
    <w:rPr>
      <w:sz w:val="24"/>
      <w:szCs w:val="24"/>
    </w:rPr>
  </w:style>
  <w:style w:type="paragraph" w:customStyle="1" w:styleId="244">
    <w:name w:val="样式4"/>
    <w:basedOn w:val="245"/>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45">
    <w:name w:val="样式2"/>
    <w:basedOn w:val="7"/>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46">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7">
    <w:name w:val="表题"/>
    <w:basedOn w:val="40"/>
    <w:qFormat/>
    <w:uiPriority w:val="99"/>
    <w:pPr>
      <w:adjustRightInd w:val="0"/>
      <w:spacing w:line="480" w:lineRule="auto"/>
      <w:jc w:val="center"/>
    </w:pPr>
    <w:rPr>
      <w:rFonts w:ascii="Times New Roman" w:hAnsi="Times New Roman" w:eastAsia="黑体"/>
      <w:sz w:val="18"/>
      <w:szCs w:val="18"/>
    </w:rPr>
  </w:style>
  <w:style w:type="paragraph" w:customStyle="1" w:styleId="248">
    <w:name w:val="日期11"/>
    <w:basedOn w:val="1"/>
    <w:next w:val="1"/>
    <w:qFormat/>
    <w:uiPriority w:val="0"/>
    <w:pPr>
      <w:adjustRightInd w:val="0"/>
      <w:textAlignment w:val="baseline"/>
    </w:pPr>
    <w:rPr>
      <w:sz w:val="28"/>
      <w:szCs w:val="20"/>
    </w:rPr>
  </w:style>
  <w:style w:type="paragraph" w:customStyle="1" w:styleId="249">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50">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51">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52">
    <w:name w:val="PP 行"/>
    <w:basedOn w:val="51"/>
    <w:qFormat/>
    <w:uiPriority w:val="99"/>
  </w:style>
  <w:style w:type="paragraph" w:customStyle="1" w:styleId="25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4">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55">
    <w:name w:val="HR标题1"/>
    <w:basedOn w:val="1"/>
    <w:next w:val="186"/>
    <w:qFormat/>
    <w:uiPriority w:val="0"/>
    <w:pPr>
      <w:tabs>
        <w:tab w:val="left" w:pos="284"/>
        <w:tab w:val="left" w:pos="360"/>
      </w:tabs>
      <w:spacing w:line="360" w:lineRule="auto"/>
      <w:ind w:left="360" w:hanging="360"/>
      <w:outlineLvl w:val="0"/>
    </w:pPr>
    <w:rPr>
      <w:rFonts w:eastAsia="黑体"/>
      <w:sz w:val="24"/>
      <w:szCs w:val="24"/>
    </w:rPr>
  </w:style>
  <w:style w:type="paragraph" w:customStyle="1" w:styleId="256">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257">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258">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9">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0">
    <w:name w:val="示例"/>
    <w:qFormat/>
    <w:uiPriority w:val="99"/>
    <w:pPr>
      <w:jc w:val="both"/>
    </w:pPr>
    <w:rPr>
      <w:rFonts w:ascii="宋体" w:hAnsi="Times New Roman" w:eastAsia="宋体" w:cs="宋体"/>
      <w:sz w:val="18"/>
      <w:szCs w:val="18"/>
      <w:lang w:val="en-US" w:eastAsia="zh-CN" w:bidi="ar-SA"/>
    </w:rPr>
  </w:style>
  <w:style w:type="paragraph" w:customStyle="1" w:styleId="261">
    <w:name w:val="A Lieferumfang Aufzählung"/>
    <w:basedOn w:val="1"/>
    <w:qFormat/>
    <w:uiPriority w:val="99"/>
    <w:pPr>
      <w:keepNext/>
      <w:widowControl/>
      <w:numPr>
        <w:ilvl w:val="0"/>
        <w:numId w:val="4"/>
      </w:numPr>
      <w:tabs>
        <w:tab w:val="left" w:pos="1701"/>
      </w:tabs>
      <w:spacing w:line="360" w:lineRule="auto"/>
      <w:jc w:val="left"/>
    </w:pPr>
    <w:rPr>
      <w:rFonts w:ascii="Arial" w:hAnsi="Arial"/>
      <w:kern w:val="0"/>
      <w:sz w:val="20"/>
      <w:szCs w:val="20"/>
      <w:lang w:val="de-DE" w:eastAsia="de-DE"/>
    </w:rPr>
  </w:style>
  <w:style w:type="paragraph" w:customStyle="1" w:styleId="262">
    <w:name w:val="_Style 3"/>
    <w:basedOn w:val="3"/>
    <w:next w:val="1"/>
    <w:qFormat/>
    <w:uiPriority w:val="39"/>
    <w:pPr>
      <w:keepNext/>
      <w:keepLines/>
      <w:tabs>
        <w:tab w:val="clear" w:pos="9061"/>
      </w:tabs>
      <w:spacing w:before="340" w:after="330" w:line="578" w:lineRule="auto"/>
      <w:ind w:left="0"/>
      <w:jc w:val="both"/>
      <w:outlineLvl w:val="9"/>
    </w:pPr>
    <w:rPr>
      <w:bCs/>
      <w:iCs w:val="0"/>
      <w:kern w:val="44"/>
      <w:sz w:val="44"/>
      <w:szCs w:val="44"/>
    </w:rPr>
  </w:style>
  <w:style w:type="paragraph" w:customStyle="1" w:styleId="263">
    <w:name w:val="_Style 262"/>
    <w:unhideWhenUsed/>
    <w:qFormat/>
    <w:uiPriority w:val="99"/>
    <w:rPr>
      <w:rFonts w:ascii="Times New Roman" w:hAnsi="Times New Roman" w:eastAsia="宋体" w:cs="Times New Roman"/>
      <w:kern w:val="2"/>
      <w:sz w:val="21"/>
      <w:szCs w:val="21"/>
      <w:lang w:val="en-US" w:eastAsia="zh-CN" w:bidi="ar-SA"/>
    </w:rPr>
  </w:style>
  <w:style w:type="paragraph" w:customStyle="1" w:styleId="264">
    <w:name w:val="t4_2"/>
    <w:basedOn w:val="1"/>
    <w:qFormat/>
    <w:uiPriority w:val="99"/>
    <w:pPr>
      <w:widowControl/>
      <w:tabs>
        <w:tab w:val="left" w:pos="360"/>
      </w:tabs>
      <w:spacing w:line="360" w:lineRule="auto"/>
      <w:ind w:left="420"/>
      <w:jc w:val="left"/>
    </w:pPr>
    <w:rPr>
      <w:b/>
      <w:bCs/>
    </w:rPr>
  </w:style>
  <w:style w:type="paragraph" w:customStyle="1" w:styleId="265">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66">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7">
    <w:name w:val="正文文本 (2)1"/>
    <w:basedOn w:val="1"/>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68">
    <w:name w:val="_Style 267"/>
    <w:basedOn w:val="3"/>
    <w:next w:val="1"/>
    <w:qFormat/>
    <w:uiPriority w:val="39"/>
    <w:pPr>
      <w:keepNext/>
      <w:keepLines/>
      <w:tabs>
        <w:tab w:val="clear" w:pos="9061"/>
      </w:tabs>
      <w:spacing w:before="340" w:after="330" w:line="578" w:lineRule="auto"/>
      <w:ind w:left="0"/>
      <w:jc w:val="both"/>
      <w:outlineLvl w:val="9"/>
    </w:pPr>
    <w:rPr>
      <w:bCs/>
      <w:iCs w:val="0"/>
      <w:kern w:val="44"/>
      <w:sz w:val="44"/>
      <w:szCs w:val="44"/>
    </w:rPr>
  </w:style>
  <w:style w:type="paragraph" w:customStyle="1" w:styleId="26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70">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71">
    <w:name w:val="HR标题5"/>
    <w:basedOn w:val="1"/>
    <w:next w:val="186"/>
    <w:qFormat/>
    <w:uiPriority w:val="0"/>
    <w:pPr>
      <w:tabs>
        <w:tab w:val="left" w:pos="1504"/>
        <w:tab w:val="left" w:pos="2100"/>
      </w:tabs>
      <w:spacing w:line="360" w:lineRule="auto"/>
      <w:ind w:left="2100" w:hanging="420"/>
      <w:outlineLvl w:val="4"/>
    </w:pPr>
    <w:rPr>
      <w:sz w:val="24"/>
      <w:szCs w:val="24"/>
    </w:rPr>
  </w:style>
  <w:style w:type="paragraph" w:customStyle="1" w:styleId="272">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73">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74">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275">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276">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7">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8">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9">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280">
    <w:name w:val="Normal_0"/>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81">
    <w:name w:val="xl33"/>
    <w:basedOn w:val="240"/>
    <w:qFormat/>
    <w:uiPriority w:val="99"/>
    <w:pPr>
      <w:pBdr>
        <w:bottom w:val="single" w:color="auto" w:sz="4" w:space="0"/>
        <w:right w:val="single" w:color="auto" w:sz="4" w:space="0"/>
      </w:pBdr>
      <w:jc w:val="center"/>
    </w:pPr>
    <w:rPr>
      <w:sz w:val="20"/>
      <w:szCs w:val="20"/>
    </w:rPr>
  </w:style>
  <w:style w:type="paragraph" w:customStyle="1" w:styleId="282">
    <w:name w:val="scfErstekopfzeile"/>
    <w:basedOn w:val="1"/>
    <w:qFormat/>
    <w:uiPriority w:val="99"/>
    <w:pPr>
      <w:widowControl/>
      <w:tabs>
        <w:tab w:val="left" w:pos="1701"/>
      </w:tabs>
      <w:jc w:val="left"/>
    </w:pPr>
    <w:rPr>
      <w:rFonts w:ascii="Arial" w:hAnsi="Arial"/>
      <w:vanish/>
      <w:kern w:val="0"/>
      <w:sz w:val="16"/>
      <w:szCs w:val="20"/>
      <w:lang w:val="de-DE" w:eastAsia="en-US"/>
    </w:rPr>
  </w:style>
  <w:style w:type="paragraph" w:customStyle="1" w:styleId="283">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8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8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6">
    <w:name w:val="标题 4（绿盟科技）"/>
    <w:basedOn w:val="6"/>
    <w:next w:val="1"/>
    <w:semiHidden/>
    <w:qFormat/>
    <w:uiPriority w:val="99"/>
    <w:pPr>
      <w:widowControl/>
      <w:tabs>
        <w:tab w:val="left" w:pos="360"/>
      </w:tabs>
      <w:ind w:left="1447" w:hanging="1021"/>
      <w:jc w:val="left"/>
    </w:pPr>
  </w:style>
  <w:style w:type="paragraph" w:customStyle="1" w:styleId="287">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88">
    <w:name w:val="日期5"/>
    <w:basedOn w:val="1"/>
    <w:next w:val="1"/>
    <w:qFormat/>
    <w:uiPriority w:val="0"/>
    <w:pPr>
      <w:adjustRightInd w:val="0"/>
      <w:textAlignment w:val="baseline"/>
    </w:pPr>
    <w:rPr>
      <w:rFonts w:ascii="Calibri" w:hAnsi="Calibri" w:cs="黑体"/>
    </w:rPr>
  </w:style>
  <w:style w:type="paragraph" w:customStyle="1" w:styleId="289">
    <w:name w:val="正文居中"/>
    <w:basedOn w:val="1"/>
    <w:next w:val="74"/>
    <w:qFormat/>
    <w:uiPriority w:val="99"/>
    <w:pPr>
      <w:jc w:val="center"/>
    </w:pPr>
    <w:rPr>
      <w:sz w:val="24"/>
      <w:szCs w:val="24"/>
    </w:rPr>
  </w:style>
  <w:style w:type="paragraph" w:customStyle="1" w:styleId="290">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91">
    <w:name w:val="样式目录三"/>
    <w:basedOn w:val="39"/>
    <w:semiHidden/>
    <w:qFormat/>
    <w:uiPriority w:val="99"/>
    <w:pPr>
      <w:numPr>
        <w:ilvl w:val="5"/>
        <w:numId w:val="2"/>
      </w:numPr>
      <w:tabs>
        <w:tab w:val="left" w:pos="1320"/>
        <w:tab w:val="right" w:leader="dot" w:pos="8597"/>
      </w:tabs>
      <w:ind w:left="0" w:firstLine="0"/>
      <w:outlineLvl w:val="2"/>
    </w:pPr>
    <w:rPr>
      <w:iCs w:val="0"/>
      <w:szCs w:val="24"/>
    </w:rPr>
  </w:style>
  <w:style w:type="paragraph" w:styleId="292">
    <w:name w:val="List Paragraph"/>
    <w:basedOn w:val="1"/>
    <w:qFormat/>
    <w:uiPriority w:val="99"/>
    <w:pPr>
      <w:ind w:firstLine="420" w:firstLineChars="200"/>
    </w:pPr>
    <w:rPr>
      <w:szCs w:val="24"/>
    </w:rPr>
  </w:style>
  <w:style w:type="paragraph" w:customStyle="1" w:styleId="293">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94">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xl43"/>
    <w:basedOn w:val="240"/>
    <w:qFormat/>
    <w:uiPriority w:val="99"/>
    <w:pPr>
      <w:pBdr>
        <w:bottom w:val="single" w:color="auto" w:sz="4" w:space="0"/>
        <w:right w:val="single" w:color="auto" w:sz="4" w:space="0"/>
      </w:pBdr>
      <w:jc w:val="center"/>
    </w:pPr>
    <w:rPr>
      <w:sz w:val="21"/>
      <w:szCs w:val="21"/>
    </w:rPr>
  </w:style>
  <w:style w:type="paragraph" w:customStyle="1" w:styleId="296">
    <w:name w:val="默认段落字体 Para Char Char Char Char Char Char Char Char Char Char Char Char Char Char Char1 Char Char Char Char"/>
    <w:basedOn w:val="23"/>
    <w:qFormat/>
    <w:uiPriority w:val="99"/>
    <w:pPr>
      <w:adjustRightInd w:val="0"/>
      <w:spacing w:line="436" w:lineRule="exact"/>
      <w:ind w:left="357"/>
      <w:jc w:val="left"/>
      <w:outlineLvl w:val="3"/>
    </w:pPr>
    <w:rPr>
      <w:rFonts w:ascii="仿宋_GB2312" w:eastAsia="仿宋_GB2312" w:cs="仿宋_GB2312"/>
      <w:sz w:val="24"/>
      <w:szCs w:val="24"/>
    </w:rPr>
  </w:style>
  <w:style w:type="paragraph" w:customStyle="1" w:styleId="297">
    <w:name w:val="日期4"/>
    <w:basedOn w:val="1"/>
    <w:next w:val="1"/>
    <w:qFormat/>
    <w:uiPriority w:val="0"/>
    <w:pPr>
      <w:adjustRightInd w:val="0"/>
      <w:textAlignment w:val="baseline"/>
    </w:pPr>
    <w:rPr>
      <w:rFonts w:ascii="Calibri" w:hAnsi="Calibri" w:cs="黑体"/>
    </w:rPr>
  </w:style>
  <w:style w:type="paragraph" w:customStyle="1" w:styleId="29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0">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01">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02">
    <w:name w:val="标题 1（绿盟科技）"/>
    <w:basedOn w:val="3"/>
    <w:next w:val="1"/>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03">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4">
    <w:name w:val="Char"/>
    <w:basedOn w:val="1"/>
    <w:qFormat/>
    <w:uiPriority w:val="99"/>
    <w:pPr>
      <w:tabs>
        <w:tab w:val="left" w:pos="708"/>
      </w:tabs>
      <w:ind w:firstLine="420"/>
    </w:pPr>
    <w:rPr>
      <w:rFonts w:ascii="仿宋_GB2312" w:eastAsia="仿宋_GB2312" w:cs="仿宋_GB2312"/>
      <w:sz w:val="24"/>
      <w:szCs w:val="24"/>
    </w:rPr>
  </w:style>
  <w:style w:type="paragraph" w:customStyle="1" w:styleId="305">
    <w:name w:val="p0"/>
    <w:basedOn w:val="1"/>
    <w:semiHidden/>
    <w:qFormat/>
    <w:uiPriority w:val="99"/>
    <w:pPr>
      <w:widowControl/>
      <w:spacing w:after="200" w:line="273" w:lineRule="auto"/>
      <w:jc w:val="left"/>
    </w:pPr>
    <w:rPr>
      <w:rFonts w:ascii="Calibri" w:hAnsi="Calibri" w:cs="Calibri"/>
      <w:kern w:val="0"/>
      <w:sz w:val="22"/>
      <w:szCs w:val="22"/>
    </w:rPr>
  </w:style>
  <w:style w:type="paragraph" w:customStyle="1" w:styleId="306">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07">
    <w:name w:val="列出段落3"/>
    <w:basedOn w:val="1"/>
    <w:qFormat/>
    <w:uiPriority w:val="0"/>
    <w:pPr>
      <w:ind w:firstLine="420" w:firstLineChars="200"/>
    </w:pPr>
    <w:rPr>
      <w:rFonts w:ascii="Calibri" w:hAnsi="Calibri"/>
      <w:sz w:val="22"/>
      <w:szCs w:val="22"/>
    </w:rPr>
  </w:style>
  <w:style w:type="paragraph" w:customStyle="1" w:styleId="308">
    <w:name w:val="五级无标题条"/>
    <w:basedOn w:val="1"/>
    <w:qFormat/>
    <w:uiPriority w:val="99"/>
    <w:pPr>
      <w:tabs>
        <w:tab w:val="left" w:pos="840"/>
      </w:tabs>
      <w:ind w:left="840" w:hanging="630"/>
    </w:pPr>
  </w:style>
  <w:style w:type="paragraph" w:customStyle="1" w:styleId="309">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paragraph" w:customStyle="1" w:styleId="310">
    <w:name w:val="文字正文"/>
    <w:basedOn w:val="1"/>
    <w:qFormat/>
    <w:uiPriority w:val="0"/>
    <w:rPr>
      <w:szCs w:val="24"/>
    </w:rPr>
  </w:style>
  <w:style w:type="paragraph" w:customStyle="1" w:styleId="311">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12">
    <w:name w:val="表内文字"/>
    <w:basedOn w:val="1"/>
    <w:qFormat/>
    <w:uiPriority w:val="0"/>
    <w:pPr>
      <w:spacing w:line="360" w:lineRule="auto"/>
      <w:jc w:val="center"/>
    </w:pPr>
    <w:rPr>
      <w:rFonts w:ascii="宋体" w:hAnsi="宋体"/>
      <w:b/>
      <w:bCs/>
      <w:sz w:val="28"/>
      <w:szCs w:val="24"/>
    </w:rPr>
  </w:style>
  <w:style w:type="paragraph" w:customStyle="1" w:styleId="313">
    <w:name w:val="Char Char Char"/>
    <w:basedOn w:val="1"/>
    <w:qFormat/>
    <w:uiPriority w:val="99"/>
    <w:rPr>
      <w:rFonts w:ascii="宋体" w:hAnsi="宋体" w:cs="宋体"/>
      <w:b/>
      <w:bCs/>
      <w:sz w:val="28"/>
      <w:szCs w:val="28"/>
    </w:rPr>
  </w:style>
  <w:style w:type="paragraph" w:customStyle="1" w:styleId="314">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5">
    <w:name w:val="标题 2（绿盟科技）"/>
    <w:basedOn w:val="4"/>
    <w:next w:val="1"/>
    <w:semiHidden/>
    <w:qFormat/>
    <w:uiPriority w:val="99"/>
    <w:pPr>
      <w:numPr>
        <w:numId w:val="2"/>
      </w:numPr>
      <w:tabs>
        <w:tab w:val="left" w:pos="840"/>
        <w:tab w:val="left" w:pos="1440"/>
      </w:tabs>
      <w:spacing w:line="415" w:lineRule="auto"/>
    </w:pPr>
  </w:style>
  <w:style w:type="paragraph" w:customStyle="1" w:styleId="316">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7">
    <w:name w:val="正文2"/>
    <w:basedOn w:val="1"/>
    <w:semiHidden/>
    <w:qFormat/>
    <w:uiPriority w:val="99"/>
    <w:pPr>
      <w:spacing w:before="156" w:line="360" w:lineRule="auto"/>
      <w:ind w:firstLine="510" w:firstLineChars="200"/>
    </w:pPr>
    <w:rPr>
      <w:sz w:val="24"/>
      <w:szCs w:val="24"/>
    </w:rPr>
  </w:style>
  <w:style w:type="paragraph" w:customStyle="1" w:styleId="318">
    <w:name w:val="表格标注（绿盟科技）"/>
    <w:basedOn w:val="319"/>
    <w:next w:val="1"/>
    <w:semiHidden/>
    <w:qFormat/>
    <w:uiPriority w:val="99"/>
    <w:pPr>
      <w:numPr>
        <w:ilvl w:val="4"/>
      </w:numPr>
      <w:tabs>
        <w:tab w:val="left" w:pos="1620"/>
        <w:tab w:val="left" w:pos="1680"/>
      </w:tabs>
      <w:ind w:left="1620" w:hanging="360"/>
    </w:pPr>
  </w:style>
  <w:style w:type="paragraph" w:customStyle="1" w:styleId="319">
    <w:name w:val="插图标注（绿盟科技）"/>
    <w:next w:val="1"/>
    <w:semiHidden/>
    <w:qFormat/>
    <w:uiPriority w:val="99"/>
    <w:pPr>
      <w:numPr>
        <w:ilvl w:val="3"/>
        <w:numId w:val="2"/>
      </w:numPr>
      <w:spacing w:after="156"/>
      <w:ind w:left="426" w:firstLine="0"/>
      <w:jc w:val="center"/>
    </w:pPr>
    <w:rPr>
      <w:rFonts w:ascii="Arial" w:hAnsi="Arial" w:eastAsia="宋体" w:cs="Arial"/>
      <w:sz w:val="21"/>
      <w:szCs w:val="21"/>
      <w:lang w:val="en-US" w:eastAsia="zh-CN" w:bidi="ar-SA"/>
    </w:rPr>
  </w:style>
  <w:style w:type="paragraph" w:customStyle="1" w:styleId="320">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321">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2">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23">
    <w:name w:val="Char Char Char Char"/>
    <w:basedOn w:val="1"/>
    <w:qFormat/>
    <w:uiPriority w:val="99"/>
    <w:rPr>
      <w:rFonts w:ascii="Tahoma" w:hAnsi="Tahoma" w:cs="Tahoma"/>
      <w:sz w:val="24"/>
      <w:szCs w:val="24"/>
    </w:rPr>
  </w:style>
  <w:style w:type="paragraph" w:customStyle="1" w:styleId="324">
    <w:name w:val="1列"/>
    <w:basedOn w:val="1"/>
    <w:qFormat/>
    <w:uiPriority w:val="0"/>
    <w:pPr>
      <w:numPr>
        <w:ilvl w:val="0"/>
        <w:numId w:val="6"/>
      </w:numPr>
      <w:spacing w:line="360" w:lineRule="auto"/>
    </w:pPr>
    <w:rPr>
      <w:szCs w:val="24"/>
    </w:rPr>
  </w:style>
  <w:style w:type="paragraph" w:customStyle="1" w:styleId="325">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6">
    <w:name w:val="列出段落4"/>
    <w:basedOn w:val="1"/>
    <w:qFormat/>
    <w:uiPriority w:val="0"/>
    <w:pPr>
      <w:ind w:firstLine="420" w:firstLineChars="200"/>
    </w:pPr>
    <w:rPr>
      <w:rFonts w:ascii="Calibri" w:hAnsi="Calibri" w:eastAsia="Times New Roman"/>
      <w:sz w:val="22"/>
      <w:szCs w:val="22"/>
    </w:rPr>
  </w:style>
  <w:style w:type="paragraph" w:customStyle="1" w:styleId="327">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28">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9">
    <w:name w:val="标题 6（有编号）（绿盟科技）"/>
    <w:basedOn w:val="1"/>
    <w:next w:val="1"/>
    <w:semiHidden/>
    <w:qFormat/>
    <w:uiPriority w:val="99"/>
    <w:pPr>
      <w:keepNext/>
      <w:keepLines/>
      <w:numPr>
        <w:ilvl w:val="2"/>
        <w:numId w:val="2"/>
      </w:numPr>
      <w:spacing w:line="319" w:lineRule="auto"/>
      <w:ind w:left="1673" w:hanging="1247"/>
      <w:jc w:val="left"/>
      <w:outlineLvl w:val="5"/>
    </w:pPr>
    <w:rPr>
      <w:rFonts w:ascii="Arial" w:hAnsi="Arial" w:eastAsia="黑体" w:cs="Arial"/>
      <w:b/>
      <w:bCs/>
      <w:kern w:val="0"/>
    </w:rPr>
  </w:style>
  <w:style w:type="paragraph" w:customStyle="1" w:styleId="330">
    <w:name w:val="简单回函地址"/>
    <w:basedOn w:val="1"/>
    <w:qFormat/>
    <w:uiPriority w:val="99"/>
  </w:style>
  <w:style w:type="paragraph" w:customStyle="1" w:styleId="331">
    <w:name w:val="需求书2"/>
    <w:basedOn w:val="1"/>
    <w:qFormat/>
    <w:uiPriority w:val="0"/>
    <w:pPr>
      <w:spacing w:line="400" w:lineRule="exact"/>
    </w:pPr>
    <w:rPr>
      <w:rFonts w:ascii="黑体" w:hAnsi="Calibri" w:eastAsia="黑体"/>
      <w:b/>
      <w:bCs/>
      <w:sz w:val="32"/>
      <w:szCs w:val="20"/>
    </w:rPr>
  </w:style>
  <w:style w:type="paragraph" w:customStyle="1" w:styleId="332">
    <w:name w:val="标题 3（绿盟科技）"/>
    <w:basedOn w:val="5"/>
    <w:next w:val="1"/>
    <w:semiHidden/>
    <w:qFormat/>
    <w:uiPriority w:val="99"/>
    <w:pPr>
      <w:tabs>
        <w:tab w:val="left" w:pos="960"/>
        <w:tab w:val="left" w:pos="1260"/>
      </w:tabs>
      <w:spacing w:line="415" w:lineRule="auto"/>
      <w:ind w:left="1260" w:firstLine="147" w:firstLineChars="147"/>
    </w:pPr>
    <w:rPr>
      <w:rFonts w:ascii="Arial" w:hAnsi="Arial" w:eastAsia="黑体" w:cs="Arial"/>
      <w:sz w:val="30"/>
      <w:szCs w:val="30"/>
    </w:rPr>
  </w:style>
  <w:style w:type="table" w:customStyle="1" w:styleId="333">
    <w:name w:val="浅色网格1"/>
    <w:basedOn w:val="76"/>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宋体" w:cs="Times New Roman"/>
        <w:b/>
        <w:bCs/>
      </w:rPr>
      <w:tcPr>
        <w:tcBorders>
          <w:top w:val="single" w:color="000000" w:sz="8" w:space="0"/>
          <w:left w:val="single" w:color="000000" w:sz="18" w:space="0"/>
          <w:bottom w:val="single" w:color="000000" w:sz="8" w:space="0"/>
          <w:right w:val="single" w:color="000000" w:sz="8" w:space="0"/>
          <w:insideH w:val="nil"/>
          <w:insideV w:val="single" w:sz="8" w:space="0"/>
          <w:tl2br w:val="nil"/>
          <w:tr2bl w:val="nil"/>
        </w:tcBorders>
      </w:tcPr>
    </w:tblStylePr>
    <w:tblStylePr w:type="lastRow">
      <w:pPr>
        <w:spacing w:before="0" w:after="0" w:line="240" w:lineRule="auto"/>
      </w:pPr>
      <w:rPr>
        <w:rFonts w:eastAsia="宋体"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宋体" w:cs="Times New Roman"/>
        <w:b/>
        <w:bCs/>
      </w:rPr>
    </w:tblStylePr>
    <w:tblStylePr w:type="lastCol">
      <w:rPr>
        <w:rFonts w:eastAsia="宋体"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table" w:customStyle="1" w:styleId="334">
    <w:name w:val="网格型4"/>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5">
    <w:name w:val="正文文本 Char"/>
    <w:semiHidden/>
    <w:qFormat/>
    <w:locked/>
    <w:uiPriority w:val="99"/>
    <w:rPr>
      <w:rFonts w:cs="Times New Roman"/>
      <w:sz w:val="21"/>
      <w:szCs w:val="21"/>
    </w:rPr>
  </w:style>
  <w:style w:type="character" w:customStyle="1" w:styleId="336">
    <w:name w:val="正文缩进 Char"/>
    <w:qFormat/>
    <w:locked/>
    <w:uiPriority w:val="99"/>
    <w:rPr>
      <w:rFonts w:eastAsia="宋体" w:cs="Times New Roman"/>
      <w:sz w:val="21"/>
      <w:szCs w:val="21"/>
    </w:rPr>
  </w:style>
  <w:style w:type="paragraph" w:customStyle="1" w:styleId="337">
    <w:name w:val="标书正文格式"/>
    <w:basedOn w:val="40"/>
    <w:qFormat/>
    <w:uiPriority w:val="0"/>
    <w:pPr>
      <w:spacing w:line="360" w:lineRule="auto"/>
      <w:ind w:firstLine="200" w:firstLineChars="200"/>
    </w:pPr>
    <w:rPr>
      <w:rFonts w:hAnsi="宋体"/>
      <w:color w:val="000000"/>
      <w:sz w:val="24"/>
      <w:szCs w:val="24"/>
    </w:rPr>
  </w:style>
  <w:style w:type="character" w:customStyle="1" w:styleId="338">
    <w:name w:val="未处理的提及1"/>
    <w:unhideWhenUsed/>
    <w:qFormat/>
    <w:uiPriority w:val="99"/>
    <w:rPr>
      <w:color w:val="605E5C"/>
      <w:shd w:val="clear" w:color="auto" w:fill="E1DFDD"/>
    </w:rPr>
  </w:style>
  <w:style w:type="character" w:customStyle="1" w:styleId="339">
    <w:name w:val="font01"/>
    <w:qFormat/>
    <w:uiPriority w:val="0"/>
    <w:rPr>
      <w:rFonts w:hint="eastAsia" w:ascii="宋体" w:hAnsi="宋体" w:eastAsia="宋体" w:cs="宋体"/>
      <w:color w:val="333333"/>
      <w:sz w:val="22"/>
      <w:szCs w:val="22"/>
      <w:u w:val="none"/>
    </w:rPr>
  </w:style>
  <w:style w:type="character" w:customStyle="1" w:styleId="340">
    <w:name w:val="font61"/>
    <w:basedOn w:val="121"/>
    <w:qFormat/>
    <w:uiPriority w:val="0"/>
    <w:rPr>
      <w:rFonts w:hint="eastAsia" w:ascii="宋体" w:hAnsi="宋体" w:eastAsia="宋体" w:cs="宋体"/>
      <w:color w:val="000000"/>
      <w:sz w:val="24"/>
      <w:szCs w:val="24"/>
      <w:u w:val="none"/>
      <w:vertAlign w:val="subscript"/>
    </w:rPr>
  </w:style>
  <w:style w:type="character" w:customStyle="1" w:styleId="341">
    <w:name w:val="font21"/>
    <w:basedOn w:val="121"/>
    <w:qFormat/>
    <w:uiPriority w:val="0"/>
    <w:rPr>
      <w:rFonts w:hint="eastAsia" w:ascii="宋体" w:hAnsi="宋体" w:eastAsia="宋体" w:cs="宋体"/>
      <w:color w:val="000000"/>
      <w:sz w:val="20"/>
      <w:szCs w:val="20"/>
      <w:u w:val="none"/>
    </w:rPr>
  </w:style>
  <w:style w:type="character" w:customStyle="1" w:styleId="342">
    <w:name w:val="font11"/>
    <w:basedOn w:val="121"/>
    <w:qFormat/>
    <w:uiPriority w:val="0"/>
    <w:rPr>
      <w:rFonts w:hint="eastAsia" w:ascii="宋体" w:hAnsi="宋体" w:eastAsia="宋体" w:cs="宋体"/>
      <w:color w:val="000000"/>
      <w:sz w:val="28"/>
      <w:szCs w:val="28"/>
      <w:u w:val="none"/>
    </w:rPr>
  </w:style>
  <w:style w:type="character" w:customStyle="1" w:styleId="343">
    <w:name w:val="font31"/>
    <w:basedOn w:val="121"/>
    <w:qFormat/>
    <w:uiPriority w:val="0"/>
    <w:rPr>
      <w:rFonts w:hint="eastAsia" w:ascii="宋体" w:hAnsi="宋体" w:eastAsia="宋体" w:cs="宋体"/>
      <w:b/>
      <w:bCs/>
      <w:color w:val="000000"/>
      <w:sz w:val="28"/>
      <w:szCs w:val="28"/>
      <w:u w:val="none"/>
    </w:rPr>
  </w:style>
  <w:style w:type="character" w:customStyle="1" w:styleId="344">
    <w:name w:val="font41"/>
    <w:basedOn w:val="121"/>
    <w:qFormat/>
    <w:uiPriority w:val="0"/>
    <w:rPr>
      <w:rFonts w:ascii="Arial" w:hAnsi="Arial" w:cs="Arial"/>
      <w:color w:val="000000"/>
      <w:sz w:val="20"/>
      <w:szCs w:val="20"/>
      <w:u w:val="none"/>
    </w:rPr>
  </w:style>
  <w:style w:type="character" w:customStyle="1" w:styleId="345">
    <w:name w:val="font51"/>
    <w:basedOn w:val="121"/>
    <w:qFormat/>
    <w:uiPriority w:val="0"/>
    <w:rPr>
      <w:rFonts w:hint="eastAsia" w:ascii="宋体" w:hAnsi="宋体" w:eastAsia="宋体" w:cs="宋体"/>
      <w:color w:val="000000"/>
      <w:sz w:val="24"/>
      <w:szCs w:val="24"/>
      <w:u w:val="none"/>
    </w:rPr>
  </w:style>
  <w:style w:type="character" w:styleId="346">
    <w:name w:val="Placeholder Text"/>
    <w:basedOn w:val="121"/>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31622</Words>
  <Characters>33139</Characters>
  <Lines>317</Lines>
  <Paragraphs>89</Paragraphs>
  <TotalTime>65</TotalTime>
  <ScaleCrop>false</ScaleCrop>
  <LinksUpToDate>false</LinksUpToDate>
  <CharactersWithSpaces>35319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2023-08-10T06:51:00Z</dcterms:created>
  <dc:creator>USER</dc:creator>
  <cp:lastModifiedBy>难得是素心</cp:lastModifiedBy>
  <cp:lastPrinted>2023-03-14T02:44:00Z</cp:lastPrinted>
  <dcterms:modified xsi:type="dcterms:W3CDTF">2025-02-21T02:50:01Z</dcterms:modified>
  <dc:title>招标文件目录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1D789B4D6E4C4425A0A0EC0D891917CD</vt:lpwstr>
  </property>
  <property fmtid="{D5CDD505-2E9C-101B-9397-08002B2CF9AE}" pid="4" name="5B77E7CEEC58BC6AFAE8886BEB80DBEB">
    <vt:lpwstr>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</vt:lpwstr>
  </property>
</Properties>
</file>