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rPr>
          <w:rFonts w:hint="eastAsia" w:ascii="Calibri" w:hAnsi="宋体" w:eastAsia="宋体" w:cs="Times New Roman"/>
          <w:b/>
          <w:bCs/>
          <w:color w:val="000000"/>
          <w:spacing w:val="-8"/>
          <w:sz w:val="48"/>
          <w:szCs w:val="44"/>
          <w:lang w:eastAsia="zh-CN"/>
        </w:rPr>
      </w:pPr>
      <w:bookmarkStart w:id="0" w:name="OLE_LINK31"/>
      <w:bookmarkStart w:id="1" w:name="OLE_LINK30"/>
    </w:p>
    <w:p>
      <w:pPr>
        <w:pStyle w:val="20"/>
        <w:rPr>
          <w:rFonts w:hint="eastAsia" w:ascii="Calibri" w:hAnsi="宋体" w:eastAsia="宋体" w:cs="Times New Roman"/>
          <w:b/>
          <w:bCs/>
          <w:color w:val="000000"/>
          <w:spacing w:val="-8"/>
          <w:sz w:val="48"/>
          <w:szCs w:val="44"/>
          <w:lang w:eastAsia="zh-CN"/>
        </w:rPr>
      </w:pPr>
    </w:p>
    <w:p>
      <w:pPr>
        <w:pStyle w:val="20"/>
        <w:rPr>
          <w:rFonts w:hint="eastAsia" w:ascii="Calibri" w:hAnsi="宋体" w:eastAsia="宋体" w:cs="Times New Roman"/>
          <w:b/>
          <w:bCs/>
          <w:color w:val="000000"/>
          <w:spacing w:val="-8"/>
          <w:sz w:val="48"/>
          <w:szCs w:val="44"/>
          <w:lang w:eastAsia="zh-CN"/>
        </w:rPr>
      </w:pPr>
    </w:p>
    <w:p>
      <w:pPr>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lang w:eastAsia="zh-CN"/>
        </w:rPr>
        <w:t>济南商用车公司汕德卡驾驶室车门</w:t>
      </w:r>
    </w:p>
    <w:p>
      <w:pPr>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lang w:eastAsia="zh-CN"/>
        </w:rPr>
        <w:t>内腔喷蜡项目</w:t>
      </w:r>
    </w:p>
    <w:p>
      <w:pPr>
        <w:pStyle w:val="2"/>
        <w:rPr>
          <w:rFonts w:hint="eastAsia"/>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ascii="华文仿宋" w:hAnsi="华文仿宋" w:eastAsia="华文仿宋"/>
          <w:b/>
          <w:bCs/>
          <w:sz w:val="32"/>
          <w:szCs w:val="28"/>
        </w:rPr>
      </w:pPr>
    </w:p>
    <w:p>
      <w:pPr>
        <w:pStyle w:val="20"/>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keepNext/>
        <w:keepLines/>
        <w:jc w:val="center"/>
        <w:rPr>
          <w:rFonts w:hint="eastAsia" w:ascii="Calibri" w:hAnsi="Calibri" w:eastAsia="宋体" w:cs="Times New Roman"/>
          <w:b/>
          <w:bCs/>
          <w:kern w:val="44"/>
          <w:sz w:val="36"/>
          <w:szCs w:val="44"/>
          <w:lang w:eastAsia="zh-CN"/>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r>
        <w:rPr>
          <w:rFonts w:hint="eastAsia" w:ascii="Calibri" w:hAnsi="Calibri" w:eastAsia="宋体" w:cs="Times New Roman"/>
          <w:color w:val="000000"/>
          <w:sz w:val="28"/>
          <w:szCs w:val="28"/>
          <w:lang w:eastAsia="zh-CN"/>
        </w:rPr>
        <w:t>2025年2月</w:t>
      </w: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7"/>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7"/>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35</w:t>
          </w:r>
        </w:p>
        <w:p>
          <w:pPr>
            <w:pStyle w:val="27"/>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53</w:t>
          </w:r>
        </w:p>
        <w:p>
          <w:pPr>
            <w:pStyle w:val="20"/>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20"/>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20"/>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ascii="宋体" w:hAnsi="宋体" w:eastAsia="宋体" w:cs="宋体"/>
                <w:b/>
                <w:sz w:val="28"/>
                <w:szCs w:val="28"/>
              </w:rPr>
            </w:pPr>
            <w:bookmarkStart w:id="3" w:name="_Toc346372875"/>
            <w:r>
              <w:rPr>
                <w:rStyle w:val="134"/>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34"/>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济南商用车公司汕德卡驾驶室车门内腔喷蜡项目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color w:val="auto"/>
                <w:sz w:val="24"/>
                <w:szCs w:val="24"/>
                <w:highlight w:val="yellow"/>
                <w:u w:val="single"/>
                <w:lang w:val="en-US" w:eastAsia="zh-CN"/>
              </w:rPr>
              <w:t>CGZX2025010120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color w:val="auto"/>
                <w:sz w:val="24"/>
                <w:szCs w:val="24"/>
                <w:highlight w:val="yellow"/>
                <w:u w:val="single"/>
                <w:lang w:val="en-US" w:eastAsia="zh-CN"/>
              </w:rPr>
              <w:t>：采购喷蜡设备及喷蜡设备使用的控制器、电气改造和安装。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lang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w:t>
            </w:r>
            <w:r>
              <w:rPr>
                <w:rFonts w:hint="eastAsia" w:ascii="宋体" w:hAnsi="宋体" w:eastAsia="宋体" w:cs="宋体"/>
                <w:sz w:val="24"/>
                <w:szCs w:val="24"/>
                <w:highlight w:val="none"/>
                <w:u w:val="none"/>
              </w:rPr>
              <w:t>市</w:t>
            </w:r>
            <w:r>
              <w:rPr>
                <w:rFonts w:hint="eastAsia" w:ascii="宋体" w:hAnsi="宋体" w:eastAsia="宋体" w:cs="宋体"/>
                <w:sz w:val="24"/>
                <w:szCs w:val="24"/>
                <w:highlight w:val="none"/>
                <w:u w:val="none"/>
                <w:lang w:val="en-US" w:eastAsia="zh-CN"/>
              </w:rPr>
              <w:t>历城区</w:t>
            </w:r>
            <w:r>
              <w:rPr>
                <w:rFonts w:hint="eastAsia" w:ascii="宋体" w:hAnsi="宋体" w:eastAsia="宋体" w:cs="宋体"/>
                <w:sz w:val="24"/>
                <w:szCs w:val="24"/>
                <w:highlight w:val="none"/>
                <w:u w:val="none"/>
              </w:rPr>
              <w:t>华奥</w:t>
            </w:r>
            <w:r>
              <w:rPr>
                <w:rFonts w:hint="eastAsia" w:ascii="宋体" w:hAnsi="宋体" w:eastAsia="宋体" w:cs="宋体"/>
                <w:sz w:val="24"/>
                <w:szCs w:val="24"/>
                <w:highlight w:val="none"/>
                <w:u w:val="single"/>
              </w:rPr>
              <w:t>路777号</w:t>
            </w:r>
            <w:r>
              <w:rPr>
                <w:rFonts w:hint="eastAsia" w:ascii="宋体" w:hAnsi="宋体" w:eastAsia="宋体" w:cs="宋体"/>
                <w:sz w:val="24"/>
                <w:szCs w:val="24"/>
                <w:highlight w:val="none"/>
              </w:rPr>
              <w:t xml:space="preserve"> </w:t>
            </w:r>
          </w:p>
          <w:p>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招标</w:t>
            </w:r>
            <w:r>
              <w:rPr>
                <w:rFonts w:hint="eastAsia" w:ascii="宋体" w:hAnsi="宋体" w:eastAsia="宋体" w:cs="宋体"/>
                <w:b/>
                <w:snapToGrid w:val="0"/>
                <w:kern w:val="0"/>
                <w:sz w:val="24"/>
                <w:szCs w:val="24"/>
                <w:highlight w:val="yellow"/>
              </w:rPr>
              <w:t>联系人：</w:t>
            </w:r>
            <w:r>
              <w:rPr>
                <w:rFonts w:hint="eastAsia" w:ascii="宋体" w:hAnsi="宋体" w:eastAsia="宋体" w:cs="宋体"/>
                <w:bCs/>
                <w:snapToGrid w:val="0"/>
                <w:kern w:val="0"/>
                <w:sz w:val="24"/>
                <w:szCs w:val="24"/>
                <w:highlight w:val="yellow"/>
                <w:lang w:val="en-US" w:eastAsia="zh-CN"/>
              </w:rPr>
              <w:t>赵翊旭</w:t>
            </w:r>
          </w:p>
          <w:p>
            <w:pPr>
              <w:pStyle w:val="20"/>
              <w:ind w:firstLine="482" w:firstLineChars="200"/>
              <w:rPr>
                <w:rFonts w:hint="default"/>
                <w:highlight w:val="yellow"/>
                <w:lang w:val="en-US" w:eastAsia="zh-CN"/>
              </w:rPr>
            </w:pPr>
            <w:r>
              <w:rPr>
                <w:rFonts w:hint="eastAsia" w:ascii="宋体" w:hAnsi="宋体" w:eastAsia="宋体" w:cs="宋体"/>
                <w:b/>
                <w:snapToGrid w:val="0"/>
                <w:kern w:val="0"/>
                <w:sz w:val="24"/>
                <w:szCs w:val="24"/>
                <w:highlight w:val="yellow"/>
              </w:rPr>
              <w:t>电话：</w:t>
            </w:r>
            <w:r>
              <w:rPr>
                <w:rFonts w:hint="eastAsia" w:hAnsi="宋体" w:eastAsia="宋体" w:cs="宋体"/>
                <w:bCs/>
                <w:snapToGrid w:val="0"/>
                <w:kern w:val="0"/>
                <w:sz w:val="24"/>
                <w:szCs w:val="24"/>
                <w:highlight w:val="yellow"/>
                <w:lang w:val="en-US" w:eastAsia="zh-CN"/>
              </w:rPr>
              <w:t>15165052573</w:t>
            </w:r>
          </w:p>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w:t>
            </w:r>
            <w:r>
              <w:rPr>
                <w:rFonts w:hint="eastAsia" w:ascii="宋体" w:hAnsi="宋体" w:eastAsia="宋体" w:cs="宋体"/>
                <w:bCs/>
                <w:snapToGrid w:val="0"/>
                <w:kern w:val="0"/>
                <w:sz w:val="24"/>
                <w:szCs w:val="24"/>
                <w:highlight w:val="yellow"/>
                <w:lang w:val="en-US" w:eastAsia="zh-CN"/>
              </w:rPr>
              <w:t>zhaoyixu@sinotruk.com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pPr>
              <w:pStyle w:val="20"/>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25</w:t>
            </w:r>
            <w:r>
              <w:rPr>
                <w:rFonts w:hint="eastAsia" w:hAnsi="宋体" w:eastAsia="宋体" w:cs="Times New Roman"/>
                <w:color w:val="000000"/>
                <w:sz w:val="24"/>
                <w:szCs w:val="24"/>
                <w:highlight w:val="none"/>
                <w:lang w:val="en-US" w:eastAsia="zh-CN"/>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20"/>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bCs/>
                <w:color w:val="000000"/>
                <w:sz w:val="24"/>
                <w:szCs w:val="24"/>
                <w:highlight w:val="yellow"/>
                <w:u w:val="single"/>
                <w:lang w:val="en-US" w:eastAsia="zh-CN"/>
              </w:rPr>
              <w:t>150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pPr>
              <w:pStyle w:val="20"/>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20"/>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20"/>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20"/>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20"/>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sz w:val="24"/>
                <w:szCs w:val="24"/>
                <w:highlight w:val="yellow"/>
              </w:rPr>
              <w:t>20</w:t>
            </w:r>
            <w:r>
              <w:rPr>
                <w:rFonts w:hint="eastAsia" w:hAnsi="宋体" w:eastAsia="宋体" w:cs="宋体"/>
                <w:sz w:val="24"/>
                <w:szCs w:val="24"/>
                <w:highlight w:val="yellow"/>
                <w:lang w:val="en-US" w:eastAsia="zh-CN"/>
              </w:rPr>
              <w:t>21</w:t>
            </w:r>
            <w:r>
              <w:rPr>
                <w:rFonts w:hint="eastAsia" w:hAnsi="宋体" w:eastAsia="宋体" w:cs="宋体"/>
                <w:sz w:val="24"/>
                <w:szCs w:val="24"/>
                <w:highlight w:val="yellow"/>
              </w:rPr>
              <w:t>年1月1日</w:t>
            </w:r>
            <w:r>
              <w:rPr>
                <w:rFonts w:hint="eastAsia" w:hAnsi="宋体" w:eastAsia="宋体" w:cs="宋体"/>
                <w:sz w:val="24"/>
                <w:szCs w:val="24"/>
                <w:highlight w:val="none"/>
              </w:rPr>
              <w:t>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pPr>
              <w:pStyle w:val="20"/>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pPr>
              <w:pStyle w:val="20"/>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20"/>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20"/>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投标人信用证明材料（征信报告）未显示异常；</w:t>
            </w:r>
          </w:p>
          <w:p>
            <w:pPr>
              <w:pStyle w:val="20"/>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20"/>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p>
          <w:p>
            <w:pPr>
              <w:pStyle w:val="20"/>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2025年2月</w:t>
            </w:r>
            <w:r>
              <w:rPr>
                <w:rFonts w:hint="eastAsia" w:ascii="宋体" w:hAnsi="宋体" w:eastAsia="宋体" w:cs="宋体"/>
                <w:bCs/>
                <w:sz w:val="24"/>
                <w:szCs w:val="24"/>
                <w:highlight w:val="yellow"/>
                <w:u w:val="single"/>
                <w:lang w:val="en-US" w:eastAsia="zh-CN"/>
              </w:rPr>
              <w:t>20</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lang w:eastAsia="zh-CN"/>
              </w:rPr>
              <w:t>2025年2月</w:t>
            </w:r>
            <w:r>
              <w:rPr>
                <w:rFonts w:hint="eastAsia" w:ascii="宋体" w:hAnsi="宋体" w:eastAsia="宋体" w:cs="宋体"/>
                <w:bCs/>
                <w:sz w:val="24"/>
                <w:szCs w:val="24"/>
                <w:highlight w:val="yellow"/>
                <w:u w:val="single"/>
                <w:lang w:val="en-US" w:eastAsia="zh-CN"/>
              </w:rPr>
              <w:t>28</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lang w:eastAsia="zh-CN"/>
              </w:rPr>
              <w:t>2025年</w:t>
            </w: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lang w:eastAsia="zh-CN"/>
              </w:rPr>
              <w:t>月</w:t>
            </w:r>
            <w:r>
              <w:rPr>
                <w:rFonts w:hint="eastAsia" w:ascii="宋体" w:hAnsi="宋体" w:eastAsia="宋体" w:cs="宋体"/>
                <w:sz w:val="24"/>
                <w:szCs w:val="24"/>
                <w:highlight w:val="yellow"/>
                <w:u w:val="single"/>
                <w:lang w:val="en-US" w:eastAsia="zh-CN"/>
              </w:rPr>
              <w:t>1</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w:t>
            </w:r>
            <w:bookmarkStart w:id="129" w:name="_GoBack"/>
            <w:bookmarkEnd w:id="129"/>
            <w:r>
              <w:rPr>
                <w:rFonts w:hint="eastAsia" w:ascii="宋体" w:hAnsi="宋体" w:eastAsia="宋体" w:cs="宋体"/>
                <w:b/>
                <w:color w:val="000000"/>
                <w:sz w:val="24"/>
                <w:szCs w:val="24"/>
                <w:highlight w:val="none"/>
                <w:lang w:val="en-US" w:eastAsia="zh-CN"/>
              </w:rPr>
              <w:t>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lang w:eastAsia="zh-CN"/>
              </w:rPr>
              <w:t>2025年</w:t>
            </w:r>
            <w:r>
              <w:rPr>
                <w:rFonts w:hint="eastAsia" w:eastAsia="宋体" w:cs="宋体"/>
                <w:highlight w:val="yellow"/>
                <w:lang w:val="en-US" w:eastAsia="zh-CN"/>
              </w:rPr>
              <w:t>3</w:t>
            </w:r>
            <w:r>
              <w:rPr>
                <w:rFonts w:hint="eastAsia" w:eastAsia="宋体" w:cs="宋体"/>
                <w:highlight w:val="yellow"/>
                <w:lang w:eastAsia="zh-CN"/>
              </w:rPr>
              <w:t>月</w:t>
            </w:r>
            <w:r>
              <w:rPr>
                <w:rFonts w:hint="eastAsia" w:eastAsia="宋体" w:cs="宋体"/>
                <w:highlight w:val="yellow"/>
                <w:lang w:val="en-US" w:eastAsia="zh-CN"/>
              </w:rPr>
              <w:t>5</w:t>
            </w:r>
            <w:r>
              <w:rPr>
                <w:rFonts w:hint="eastAsia" w:eastAsia="宋体" w:cs="宋体"/>
                <w:highlight w:val="yellow"/>
              </w:rPr>
              <w:t>日</w:t>
            </w:r>
            <w:r>
              <w:rPr>
                <w:rFonts w:hint="eastAsia" w:eastAsia="宋体" w:cs="宋体"/>
                <w:highlight w:val="yellow"/>
                <w:lang w:val="en-US" w:eastAsia="zh-CN"/>
              </w:rPr>
              <w:t>17时00分00秒</w:t>
            </w:r>
          </w:p>
          <w:p>
            <w:pPr>
              <w:pStyle w:val="117"/>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20"/>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20"/>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20"/>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pPr>
              <w:pStyle w:val="20"/>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hAnsi="宋体" w:eastAsia="宋体" w:cs="Times New Roman"/>
                <w:b w:val="0"/>
                <w:bCs w:val="0"/>
                <w:color w:val="000000"/>
                <w:sz w:val="24"/>
                <w:szCs w:val="24"/>
                <w:highlight w:val="yellow"/>
                <w:lang w:val="en-US" w:eastAsia="zh-CN"/>
              </w:rPr>
              <w:t>赵翊旭</w:t>
            </w:r>
            <w:r>
              <w:rPr>
                <w:rFonts w:hint="eastAsia" w:ascii="Times New Roman" w:hAnsi="Times New Roman" w:eastAsia="宋体" w:cs="Times New Roman"/>
                <w:b w:val="0"/>
                <w:bCs w:val="0"/>
                <w:color w:val="000000"/>
                <w:sz w:val="24"/>
                <w:szCs w:val="24"/>
                <w:highlight w:val="yellow"/>
                <w:lang w:val="en-US" w:eastAsia="zh-CN"/>
              </w:rPr>
              <w:t>/15165052573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20"/>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hAnsi="宋体" w:eastAsia="宋体" w:cs="宋体"/>
                <w:sz w:val="24"/>
                <w:szCs w:val="24"/>
                <w:highlight w:val="yellow"/>
                <w:u w:val="single"/>
                <w:lang w:eastAsia="zh-CN"/>
              </w:rPr>
              <w:t>2025年</w:t>
            </w:r>
            <w:r>
              <w:rPr>
                <w:rFonts w:hint="eastAsia" w:hAnsi="宋体" w:eastAsia="宋体" w:cs="宋体"/>
                <w:sz w:val="24"/>
                <w:szCs w:val="24"/>
                <w:highlight w:val="yellow"/>
                <w:u w:val="single"/>
                <w:lang w:val="en-US" w:eastAsia="zh-CN"/>
              </w:rPr>
              <w:t>3</w:t>
            </w:r>
            <w:r>
              <w:rPr>
                <w:rFonts w:hint="eastAsia" w:hAnsi="宋体" w:eastAsia="宋体" w:cs="宋体"/>
                <w:sz w:val="24"/>
                <w:szCs w:val="24"/>
                <w:highlight w:val="yellow"/>
                <w:u w:val="single"/>
                <w:lang w:eastAsia="zh-CN"/>
              </w:rPr>
              <w:t>月</w:t>
            </w:r>
            <w:r>
              <w:rPr>
                <w:rFonts w:hint="eastAsia" w:hAnsi="宋体" w:eastAsia="宋体" w:cs="宋体"/>
                <w:sz w:val="24"/>
                <w:szCs w:val="24"/>
                <w:highlight w:val="yellow"/>
                <w:u w:val="single"/>
                <w:lang w:val="en-US" w:eastAsia="zh-CN"/>
              </w:rPr>
              <w:t>7</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20"/>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color w:val="auto"/>
                <w:sz w:val="24"/>
                <w:szCs w:val="24"/>
                <w:highlight w:val="yellow"/>
                <w:lang w:val="en-US" w:eastAsia="zh-CN"/>
              </w:rPr>
              <w:t>5000</w:t>
            </w:r>
            <w:r>
              <w:rPr>
                <w:rFonts w:hint="eastAsia" w:ascii="宋体" w:hAnsi="宋体" w:eastAsia="宋体" w:cs="宋体"/>
                <w:sz w:val="24"/>
                <w:szCs w:val="24"/>
                <w:highlight w:val="yellow"/>
              </w:rPr>
              <w:t>元</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pPr>
              <w:ind w:firstLine="480" w:firstLineChars="200"/>
              <w:rPr>
                <w:rFonts w:hint="eastAsia" w:ascii="宋体" w:hAnsi="宋体" w:eastAsia="宋体" w:cs="宋体"/>
                <w:b/>
                <w:bCs/>
                <w:sz w:val="24"/>
                <w:szCs w:val="24"/>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lang w:eastAsia="zh-CN"/>
              </w:rPr>
              <w:t>2025年2月</w:t>
            </w:r>
            <w:r>
              <w:rPr>
                <w:rFonts w:hint="eastAsia" w:ascii="宋体" w:hAnsi="宋体" w:cs="宋体"/>
                <w:sz w:val="24"/>
                <w:szCs w:val="24"/>
                <w:highlight w:val="yellow"/>
                <w:lang w:val="en-US" w:eastAsia="zh-CN"/>
              </w:rPr>
              <w:t>X</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40"/>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val="en-US" w:eastAsia="zh-CN"/>
              </w:rPr>
              <w:t>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lang w:eastAsia="zh-CN"/>
              </w:rPr>
              <w:t>2025年</w:t>
            </w: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lang w:eastAsia="zh-CN"/>
              </w:rPr>
              <w:t>月</w:t>
            </w:r>
            <w:r>
              <w:rPr>
                <w:rFonts w:hint="eastAsia" w:ascii="宋体" w:hAnsi="宋体" w:cs="宋体"/>
                <w:sz w:val="24"/>
                <w:szCs w:val="24"/>
                <w:highlight w:val="yellow"/>
                <w:lang w:val="en-US" w:eastAsia="zh-CN"/>
              </w:rPr>
              <w:t>7</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5"/>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ind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自合同签定生效之日起，100个日历日之内交货至供货地点。</w:t>
            </w:r>
          </w:p>
          <w:p>
            <w:pPr>
              <w:ind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接续20个日历日之内安装调试完毕。</w:t>
            </w:r>
          </w:p>
          <w:p>
            <w:pPr>
              <w:ind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接续50个日历日之内完成终验收。</w:t>
            </w:r>
          </w:p>
          <w:p>
            <w:pPr>
              <w:ind w:firstLine="480" w:firstLineChars="200"/>
              <w:rPr>
                <w:rFonts w:hAnsi="宋体" w:eastAsia="宋体" w:cs="宋体"/>
                <w:color w:val="000000"/>
                <w:sz w:val="24"/>
                <w:szCs w:val="24"/>
              </w:rPr>
            </w:pPr>
            <w:r>
              <w:rPr>
                <w:rFonts w:hint="eastAsia" w:ascii="宋体" w:hAnsi="宋体" w:eastAsia="宋体" w:cs="宋体"/>
                <w:color w:val="000000"/>
                <w:sz w:val="24"/>
                <w:szCs w:val="24"/>
                <w:highlight w:val="yellow"/>
                <w:lang w:val="en-US" w:eastAsia="zh-CN"/>
              </w:rPr>
              <w:t>安装调试工期超过20个日历日的，投标人应当随标书提供详细的工期计划。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keepNext w:val="0"/>
              <w:keepLines w:val="0"/>
              <w:widowControl/>
              <w:suppressLineNumbers w:val="0"/>
              <w:ind w:firstLine="482" w:firstLineChars="200"/>
              <w:jc w:val="left"/>
              <w:rPr>
                <w:rFonts w:hint="eastAsia" w:hAnsi="宋体" w:eastAsia="宋体" w:cs="宋体"/>
                <w:color w:val="000000"/>
                <w:sz w:val="24"/>
                <w:szCs w:val="24"/>
                <w:lang w:eastAsia="zh-CN"/>
              </w:rPr>
            </w:pPr>
            <w:r>
              <w:rPr>
                <w:rFonts w:hint="eastAsia" w:hAnsi="宋体" w:eastAsia="宋体" w:cs="宋体"/>
                <w:b/>
                <w:bCs/>
                <w:color w:val="000000"/>
                <w:sz w:val="24"/>
                <w:szCs w:val="24"/>
              </w:rPr>
              <w:t>交货地点：</w:t>
            </w:r>
            <w:r>
              <w:rPr>
                <w:rFonts w:hint="default" w:ascii="Times New Roman" w:hAnsi="Times New Roman" w:eastAsia="宋体" w:cs="Times New Roman"/>
                <w:color w:val="000000"/>
                <w:sz w:val="24"/>
                <w:szCs w:val="24"/>
                <w:highlight w:val="yellow"/>
              </w:rPr>
              <w:t>济南商用车</w:t>
            </w:r>
            <w:r>
              <w:rPr>
                <w:rFonts w:hint="default" w:ascii="Times New Roman" w:hAnsi="Times New Roman" w:eastAsia="宋体" w:cs="Times New Roman"/>
                <w:color w:val="000000"/>
                <w:sz w:val="24"/>
                <w:szCs w:val="24"/>
                <w:highlight w:val="yellow"/>
                <w:lang w:val="en-US" w:eastAsia="zh-CN"/>
              </w:rPr>
              <w:t>制造</w:t>
            </w:r>
            <w:r>
              <w:rPr>
                <w:rFonts w:hint="default" w:ascii="Times New Roman" w:hAnsi="Times New Roman" w:eastAsia="宋体" w:cs="Times New Roman"/>
                <w:color w:val="000000"/>
                <w:sz w:val="24"/>
                <w:szCs w:val="24"/>
                <w:highlight w:val="yellow"/>
              </w:rPr>
              <w:t>公司（章丘重汽工业园）</w:t>
            </w:r>
            <w:r>
              <w:rPr>
                <w:rFonts w:hint="eastAsia" w:ascii="Times New Roman" w:hAnsi="Times New Roman" w:eastAsia="宋体" w:cs="Times New Roman"/>
                <w:color w:val="000000"/>
                <w:sz w:val="24"/>
                <w:szCs w:val="24"/>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5"/>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0"/>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highlight w:val="yellow"/>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highlight w:val="yellow"/>
                <w:lang w:val="en-US" w:eastAsia="zh-CN"/>
              </w:rPr>
              <w:t>1</w:t>
            </w:r>
            <w:r>
              <w:rPr>
                <w:rFonts w:hint="eastAsia" w:ascii="宋体" w:hAnsi="宋体" w:eastAsia="宋体" w:cs="宋体"/>
                <w:color w:val="000000"/>
                <w:sz w:val="24"/>
                <w:szCs w:val="24"/>
                <w:highlight w:val="yellow"/>
              </w:rPr>
              <w:t>）合同生效设备全部到齐无质量问题通过买方初步验收后, 卖方提交金额为合同含税价款</w:t>
            </w:r>
            <w:r>
              <w:rPr>
                <w:rFonts w:hint="eastAsia" w:ascii="宋体" w:hAnsi="宋体" w:eastAsia="宋体" w:cs="宋体"/>
                <w:b/>
                <w:bCs/>
                <w:color w:val="000000"/>
                <w:sz w:val="24"/>
                <w:szCs w:val="24"/>
                <w:highlight w:val="yellow"/>
                <w:lang w:val="en-US" w:eastAsia="zh-CN"/>
              </w:rPr>
              <w:t>3</w:t>
            </w:r>
            <w:r>
              <w:rPr>
                <w:rFonts w:hint="eastAsia" w:ascii="宋体" w:hAnsi="宋体" w:eastAsia="宋体" w:cs="宋体"/>
                <w:b/>
                <w:bCs/>
                <w:color w:val="000000"/>
                <w:sz w:val="24"/>
                <w:szCs w:val="24"/>
                <w:highlight w:val="yellow"/>
              </w:rPr>
              <w:t>0%</w:t>
            </w:r>
            <w:r>
              <w:rPr>
                <w:rFonts w:hint="eastAsia" w:ascii="宋体" w:hAnsi="宋体" w:eastAsia="宋体" w:cs="宋体"/>
                <w:color w:val="000000"/>
                <w:sz w:val="24"/>
                <w:szCs w:val="24"/>
                <w:highlight w:val="yellow"/>
              </w:rPr>
              <w:t>的收据及合同全额</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highlight w:val="yellow"/>
              </w:rPr>
              <w:t>0%增值税专用发票（税率为13 %，正本一份，复印件二份），经买方依照财务制度审核无误后【30】日后支付。</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highlight w:val="yellow"/>
                <w:lang w:val="en-US" w:eastAsia="zh-CN"/>
              </w:rPr>
              <w:t>2</w:t>
            </w:r>
            <w:r>
              <w:rPr>
                <w:rFonts w:hint="eastAsia" w:ascii="宋体" w:hAnsi="宋体" w:eastAsia="宋体" w:cs="宋体"/>
                <w:color w:val="000000"/>
                <w:sz w:val="24"/>
                <w:szCs w:val="24"/>
                <w:highlight w:val="yellow"/>
              </w:rPr>
              <w:t>）设备全部到齐无质量问题，经安装、调试最终验收合格后，卖方提交金额为合同含税价款</w:t>
            </w:r>
            <w:r>
              <w:rPr>
                <w:rFonts w:hint="eastAsia" w:ascii="宋体" w:hAnsi="宋体" w:eastAsia="宋体" w:cs="宋体"/>
                <w:b/>
                <w:bCs/>
                <w:color w:val="000000"/>
                <w:sz w:val="24"/>
                <w:szCs w:val="24"/>
                <w:highlight w:val="yellow"/>
                <w:lang w:val="en-US" w:eastAsia="zh-CN"/>
              </w:rPr>
              <w:t>6</w:t>
            </w:r>
            <w:r>
              <w:rPr>
                <w:rFonts w:hint="eastAsia" w:ascii="宋体" w:hAnsi="宋体" w:eastAsia="宋体" w:cs="宋体"/>
                <w:b/>
                <w:bCs/>
                <w:color w:val="000000"/>
                <w:sz w:val="24"/>
                <w:szCs w:val="24"/>
                <w:highlight w:val="yellow"/>
              </w:rPr>
              <w:t>0 %</w:t>
            </w:r>
            <w:r>
              <w:rPr>
                <w:rFonts w:hint="eastAsia" w:ascii="宋体" w:hAnsi="宋体" w:eastAsia="宋体" w:cs="宋体"/>
                <w:color w:val="000000"/>
                <w:sz w:val="24"/>
                <w:szCs w:val="24"/>
                <w:highlight w:val="yellow"/>
              </w:rPr>
              <w:t>的收据及合同全额</w:t>
            </w:r>
            <w:r>
              <w:rPr>
                <w:rFonts w:hint="eastAsia" w:ascii="宋体" w:hAnsi="宋体" w:eastAsia="宋体" w:cs="宋体"/>
                <w:color w:val="000000"/>
                <w:sz w:val="24"/>
                <w:szCs w:val="24"/>
                <w:highlight w:val="yellow"/>
                <w:lang w:val="en-US" w:eastAsia="zh-CN"/>
              </w:rPr>
              <w:t>7</w:t>
            </w:r>
            <w:r>
              <w:rPr>
                <w:rFonts w:hint="eastAsia" w:ascii="宋体" w:hAnsi="宋体" w:eastAsia="宋体" w:cs="宋体"/>
                <w:color w:val="000000"/>
                <w:sz w:val="24"/>
                <w:szCs w:val="24"/>
                <w:highlight w:val="yellow"/>
              </w:rPr>
              <w:t>0%增值税专用发票（税率为13 %，正本一份，复印件二份）并附带该套合同设备最终验收报告的原件及其复印件两份，经买方依照财务制度审核无误后【30】日后支付。</w:t>
            </w:r>
          </w:p>
          <w:p>
            <w:pPr>
              <w:ind w:firstLine="480" w:firstLineChars="200"/>
              <w:rPr>
                <w:rFonts w:ascii="宋体" w:hAnsi="宋体" w:eastAsia="宋体" w:cs="宋体"/>
                <w:sz w:val="24"/>
                <w:szCs w:val="24"/>
              </w:rPr>
            </w:pPr>
            <w:r>
              <w:rPr>
                <w:rFonts w:hint="eastAsia" w:ascii="宋体" w:hAnsi="宋体" w:eastAsia="宋体" w:cs="宋体"/>
                <w:color w:val="000000"/>
                <w:sz w:val="24"/>
                <w:szCs w:val="24"/>
                <w:highlight w:val="yellow"/>
              </w:rPr>
              <w:t>（3）合同含税总价款的</w:t>
            </w:r>
            <w:r>
              <w:rPr>
                <w:rFonts w:hint="eastAsia" w:ascii="宋体" w:hAnsi="宋体" w:eastAsia="宋体" w:cs="宋体"/>
                <w:b/>
                <w:bCs/>
                <w:color w:val="000000"/>
                <w:sz w:val="24"/>
                <w:szCs w:val="24"/>
                <w:highlight w:val="yellow"/>
              </w:rPr>
              <w:t xml:space="preserve"> 10 %</w:t>
            </w:r>
            <w:r>
              <w:rPr>
                <w:rFonts w:hint="eastAsia" w:ascii="宋体" w:hAnsi="宋体" w:eastAsia="宋体" w:cs="宋体"/>
                <w:color w:val="000000"/>
                <w:sz w:val="24"/>
                <w:szCs w:val="24"/>
                <w:highlight w:val="yellow"/>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30】日后支付。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增值税专用发票开票信息：</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名称：中国重汽集团济南动力有限公司</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地址：章丘市圣井唐王山路北潘王路西</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纳税人识别号：91370100787411873C</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开户行：中国银行章丘支行</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电话：0531-58062198</w:t>
            </w:r>
          </w:p>
          <w:p>
            <w:pPr>
              <w:ind w:firstLine="480" w:firstLineChars="200"/>
              <w:rPr>
                <w:rFonts w:ascii="宋体" w:hAnsi="宋体" w:cs="宋体"/>
                <w:bCs/>
                <w:sz w:val="24"/>
                <w:szCs w:val="24"/>
              </w:rPr>
            </w:pPr>
            <w:r>
              <w:rPr>
                <w:rFonts w:hint="eastAsia" w:ascii="宋体" w:hAnsi="宋体" w:eastAsia="宋体" w:cs="宋体"/>
                <w:color w:val="000000"/>
                <w:sz w:val="24"/>
                <w:szCs w:val="24"/>
                <w:highlight w:val="yellow"/>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5"/>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5"/>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5"/>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rPr>
              <w:t>15</w:t>
            </w:r>
            <w:r>
              <w:rPr>
                <w:rFonts w:hint="eastAsia" w:ascii="宋体" w:hAnsi="宋体" w:eastAsia="宋体" w:cs="宋体"/>
                <w:sz w:val="24"/>
                <w:szCs w:val="24"/>
                <w:highlight w:val="none"/>
              </w:rPr>
              <w:t>日内需根据设计</w:t>
            </w:r>
            <w:r>
              <w:rPr>
                <w:rStyle w:val="47"/>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7"/>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7"/>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7"/>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pPr>
        <w:pStyle w:val="20"/>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2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2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20"/>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2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hAnsi="宋体" w:eastAsia="宋体" w:cs="宋体"/>
          <w:color w:val="000000"/>
          <w:sz w:val="24"/>
          <w:szCs w:val="24"/>
          <w:highlight w:val="yellow"/>
          <w:lang w:eastAsia="zh-CN"/>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2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pPr>
        <w:pStyle w:val="2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7"/>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7"/>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7001"/>
      <w:bookmarkStart w:id="7" w:name="_Toc33266914"/>
      <w:bookmarkStart w:id="8" w:name="_Toc33265653"/>
      <w:bookmarkStart w:id="9" w:name="_Toc33285487"/>
      <w:bookmarkStart w:id="10" w:name="_Toc33265752"/>
      <w:bookmarkStart w:id="11" w:name="_Toc33266950"/>
      <w:bookmarkStart w:id="12" w:name="_Toc33266627"/>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4" w:name="_Toc33267002"/>
      <w:bookmarkStart w:id="15" w:name="_Toc33266951"/>
      <w:bookmarkStart w:id="16" w:name="_Toc395116634"/>
      <w:bookmarkStart w:id="17" w:name="_Toc33265654"/>
      <w:bookmarkStart w:id="18" w:name="_Toc33285489"/>
      <w:bookmarkStart w:id="19" w:name="_Toc33266915"/>
      <w:bookmarkStart w:id="20" w:name="_Toc33266628"/>
      <w:bookmarkStart w:id="21" w:name="_Toc33265753"/>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20"/>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13准备资料，上传完毕后，等待审核</w:t>
      </w:r>
      <w:r>
        <w:rPr>
          <w:rFonts w:hint="eastAsia" w:ascii="宋体" w:hAnsi="宋体" w:eastAsia="宋体" w:cs="宋体"/>
          <w:b/>
          <w:color w:val="000000"/>
          <w:sz w:val="24"/>
          <w:szCs w:val="24"/>
          <w:highlight w:val="none"/>
        </w:rPr>
        <w:t>；</w:t>
      </w:r>
    </w:p>
    <w:p>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20"/>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）投标人报价均超过投标限价的</w:t>
      </w:r>
      <w:r>
        <w:rPr>
          <w:rFonts w:hint="eastAsia" w:hAnsi="宋体" w:eastAsia="宋体" w:cs="宋体"/>
          <w:color w:val="000000"/>
          <w:sz w:val="24"/>
          <w:szCs w:val="24"/>
          <w:lang w:eastAsia="zh-CN"/>
        </w:rPr>
        <w:t>；</w:t>
      </w:r>
    </w:p>
    <w:p>
      <w:pPr>
        <w:spacing w:line="360" w:lineRule="auto"/>
        <w:ind w:right="2" w:firstLine="480" w:firstLineChars="200"/>
        <w:rPr>
          <w:rFonts w:hint="eastAsia"/>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6"/>
      <w:bookmarkStart w:id="23" w:name="OLE_LINK29"/>
      <w:bookmarkStart w:id="24" w:name="OLE_LINK28"/>
      <w:bookmarkStart w:id="25" w:name="OLE_LINK25"/>
      <w:bookmarkStart w:id="26" w:name="OLE_LINK27"/>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2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20"/>
        <w:spacing w:line="360" w:lineRule="auto"/>
        <w:jc w:val="center"/>
        <w:rPr>
          <w:rFonts w:hint="eastAsia" w:ascii="宋体" w:hAnsi="宋体" w:eastAsia="宋体" w:cs="宋体"/>
          <w:b/>
          <w:bCs/>
          <w:kern w:val="44"/>
          <w:sz w:val="24"/>
          <w:szCs w:val="24"/>
        </w:rPr>
        <w:sectPr>
          <w:headerReference r:id="rId9" w:type="default"/>
          <w:footerReference r:id="rId10" w:type="default"/>
          <w:pgSz w:w="11907" w:h="16840"/>
          <w:pgMar w:top="1304" w:right="1418" w:bottom="1304" w:left="1418" w:header="724" w:footer="851" w:gutter="0"/>
          <w:cols w:space="720" w:num="1"/>
          <w:docGrid w:linePitch="290" w:charSpace="-3931"/>
        </w:sectPr>
      </w:pPr>
    </w:p>
    <w:p>
      <w:pPr>
        <w:pStyle w:val="20"/>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auto"/>
          <w:sz w:val="24"/>
          <w:szCs w:val="24"/>
          <w:highlight w:val="yellow"/>
        </w:rPr>
        <w:t>包括所代理品牌</w:t>
      </w:r>
      <w:r>
        <w:rPr>
          <w:rFonts w:hint="eastAsia" w:hAnsi="宋体" w:eastAsia="宋体" w:cs="宋体"/>
          <w:color w:val="auto"/>
          <w:sz w:val="24"/>
          <w:szCs w:val="24"/>
          <w:highlight w:val="yellow"/>
          <w:lang w:eastAsia="zh-CN"/>
        </w:rPr>
        <w:t>针对本项目唯一</w:t>
      </w:r>
      <w:r>
        <w:rPr>
          <w:rFonts w:hint="eastAsia" w:hAnsi="宋体" w:eastAsia="宋体" w:cs="宋体"/>
          <w:color w:val="auto"/>
          <w:sz w:val="24"/>
          <w:szCs w:val="24"/>
          <w:highlight w:val="yellow"/>
        </w:rPr>
        <w:t>的授权书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 技术标书</w:t>
      </w:r>
      <w:bookmarkEnd w:id="32"/>
    </w:p>
    <w:p>
      <w:pPr>
        <w:pStyle w:val="20"/>
      </w:pPr>
    </w:p>
    <w:p>
      <w:pPr>
        <w:pStyle w:val="20"/>
      </w:pPr>
    </w:p>
    <w:p>
      <w:pPr>
        <w:pStyle w:val="20"/>
      </w:pPr>
    </w:p>
    <w:p>
      <w:pPr>
        <w:pStyle w:val="20"/>
      </w:pPr>
    </w:p>
    <w:p>
      <w:pPr>
        <w:keepNext/>
        <w:keepLines/>
        <w:jc w:val="center"/>
        <w:outlineLvl w:val="0"/>
        <w:rPr>
          <w:rFonts w:ascii="Calibri" w:hAnsi="Calibri" w:eastAsia="宋体" w:cs="Times New Roman"/>
          <w:b/>
          <w:bCs/>
          <w:kern w:val="44"/>
          <w:sz w:val="36"/>
          <w:szCs w:val="44"/>
        </w:rPr>
      </w:pPr>
    </w:p>
    <w:p>
      <w:pPr>
        <w:jc w:val="center"/>
        <w:rPr>
          <w:rFonts w:hint="eastAsia" w:ascii="Calibri" w:hAnsi="宋体" w:eastAsia="宋体" w:cs="Times New Roman"/>
          <w:b/>
          <w:bCs/>
          <w:color w:val="000000"/>
          <w:spacing w:val="-8"/>
          <w:sz w:val="48"/>
          <w:szCs w:val="44"/>
          <w:highlight w:val="none"/>
          <w:lang w:eastAsia="zh-CN"/>
        </w:rPr>
      </w:pPr>
      <w:r>
        <w:rPr>
          <w:rFonts w:hint="eastAsia" w:ascii="Calibri" w:hAnsi="宋体" w:eastAsia="宋体" w:cs="Times New Roman"/>
          <w:b/>
          <w:bCs/>
          <w:color w:val="000000"/>
          <w:spacing w:val="-8"/>
          <w:sz w:val="48"/>
          <w:szCs w:val="44"/>
          <w:highlight w:val="none"/>
          <w:lang w:eastAsia="zh-CN"/>
        </w:rPr>
        <w:t>济南商用车公司汕德卡驾驶室车门</w:t>
      </w:r>
    </w:p>
    <w:p>
      <w:pPr>
        <w:jc w:val="center"/>
        <w:rPr>
          <w:rFonts w:hint="eastAsia" w:ascii="Calibri" w:hAnsi="Calibri" w:eastAsia="宋体" w:cs="Times New Roman"/>
          <w:color w:val="000000"/>
          <w:sz w:val="28"/>
          <w:szCs w:val="28"/>
          <w:highlight w:val="none"/>
          <w:lang w:eastAsia="zh-CN"/>
        </w:rPr>
      </w:pPr>
      <w:r>
        <w:rPr>
          <w:rFonts w:hint="eastAsia" w:ascii="Calibri" w:hAnsi="宋体" w:eastAsia="宋体" w:cs="Times New Roman"/>
          <w:b/>
          <w:bCs/>
          <w:color w:val="000000"/>
          <w:spacing w:val="-8"/>
          <w:sz w:val="48"/>
          <w:szCs w:val="44"/>
          <w:highlight w:val="none"/>
          <w:lang w:eastAsia="zh-CN"/>
        </w:rPr>
        <w:t>内腔喷蜡项目</w:t>
      </w:r>
    </w:p>
    <w:p>
      <w:pPr>
        <w:pStyle w:val="20"/>
        <w:rPr>
          <w:highlight w:val="none"/>
        </w:rPr>
      </w:pPr>
    </w:p>
    <w:p>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技</w:t>
      </w:r>
    </w:p>
    <w:p>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术</w:t>
      </w:r>
    </w:p>
    <w:p>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书</w:t>
      </w:r>
    </w:p>
    <w:p>
      <w:pPr>
        <w:pStyle w:val="20"/>
        <w:rPr>
          <w:highlight w:val="none"/>
        </w:rPr>
      </w:pPr>
    </w:p>
    <w:p>
      <w:pPr>
        <w:pStyle w:val="20"/>
        <w:rPr>
          <w:rFonts w:ascii="黑体" w:hAnsi="宋体" w:eastAsia="黑体" w:cs="Times New Roman"/>
          <w:color w:val="000000"/>
          <w:sz w:val="72"/>
          <w:szCs w:val="72"/>
          <w:highlight w:val="none"/>
        </w:rPr>
      </w:pPr>
    </w:p>
    <w:p>
      <w:pPr>
        <w:pStyle w:val="20"/>
        <w:rPr>
          <w:rFonts w:ascii="黑体" w:hAnsi="宋体" w:eastAsia="黑体" w:cs="Times New Roman"/>
          <w:color w:val="000000"/>
          <w:sz w:val="72"/>
          <w:szCs w:val="72"/>
          <w:highlight w:val="none"/>
        </w:rPr>
      </w:pPr>
    </w:p>
    <w:p>
      <w:pPr>
        <w:spacing w:line="860" w:lineRule="exact"/>
        <w:rPr>
          <w:rFonts w:hint="eastAsia" w:ascii="华文仿宋" w:hAnsi="华文仿宋" w:eastAsia="华文仿宋"/>
          <w:sz w:val="32"/>
          <w:szCs w:val="28"/>
          <w:highlight w:val="none"/>
        </w:rPr>
      </w:pPr>
      <w:r>
        <w:rPr>
          <w:rFonts w:hint="eastAsia" w:ascii="华文仿宋" w:hAnsi="华文仿宋" w:eastAsia="华文仿宋"/>
          <w:sz w:val="32"/>
          <w:szCs w:val="28"/>
          <w:highlight w:val="none"/>
        </w:rPr>
        <w:t xml:space="preserve">                </w:t>
      </w:r>
    </w:p>
    <w:p>
      <w:pPr>
        <w:spacing w:line="860" w:lineRule="exact"/>
        <w:rPr>
          <w:rFonts w:hint="eastAsia" w:ascii="华文仿宋" w:hAnsi="华文仿宋" w:eastAsia="华文仿宋"/>
          <w:sz w:val="32"/>
          <w:szCs w:val="28"/>
          <w:highlight w:val="none"/>
        </w:rPr>
      </w:pPr>
    </w:p>
    <w:p>
      <w:pPr>
        <w:spacing w:line="860" w:lineRule="exact"/>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w:t>
      </w:r>
    </w:p>
    <w:p>
      <w:pPr>
        <w:pStyle w:val="20"/>
        <w:rPr>
          <w:b/>
          <w:bCs/>
          <w:highlight w:val="none"/>
        </w:rPr>
      </w:pPr>
    </w:p>
    <w:p>
      <w:pPr>
        <w:jc w:val="center"/>
        <w:rPr>
          <w:rFonts w:hint="eastAsia" w:ascii="宋体" w:hAnsi="Calibri" w:eastAsia="宋体" w:cs="Times New Roman"/>
          <w:color w:val="000000"/>
          <w:sz w:val="28"/>
          <w:szCs w:val="28"/>
          <w:highlight w:val="none"/>
          <w:lang w:eastAsia="zh-CN"/>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人：中国重汽集团济南</w:t>
      </w:r>
      <w:r>
        <w:rPr>
          <w:rFonts w:hint="eastAsia" w:ascii="宋体" w:hAnsi="宋体" w:eastAsia="宋体" w:cs="Times New Roman"/>
          <w:color w:val="000000"/>
          <w:sz w:val="28"/>
          <w:szCs w:val="28"/>
          <w:highlight w:val="none"/>
          <w:lang w:eastAsia="zh-CN"/>
        </w:rPr>
        <w:t>商用车制造公司</w:t>
      </w:r>
    </w:p>
    <w:p>
      <w:pPr>
        <w:jc w:val="center"/>
        <w:rPr>
          <w:rFonts w:ascii="Calibri" w:hAnsi="Calibri" w:eastAsia="宋体" w:cs="Times New Roman"/>
          <w:b/>
          <w:bCs/>
          <w:kern w:val="44"/>
          <w:sz w:val="36"/>
          <w:szCs w:val="44"/>
          <w:highlight w:val="none"/>
        </w:rPr>
      </w:pPr>
      <w:r>
        <w:rPr>
          <w:rFonts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lang w:val="en-US" w:eastAsia="zh-CN"/>
        </w:rPr>
        <w:t>5</w:t>
      </w:r>
      <w:r>
        <w:rPr>
          <w:rFonts w:hint="eastAsia" w:ascii="宋体" w:hAnsi="宋体" w:eastAsia="宋体" w:cs="Times New Roman"/>
          <w:color w:val="000000"/>
          <w:sz w:val="28"/>
          <w:szCs w:val="28"/>
          <w:highlight w:val="none"/>
        </w:rPr>
        <w:t>年</w:t>
      </w:r>
      <w:r>
        <w:rPr>
          <w:rFonts w:hint="eastAsia" w:ascii="宋体" w:hAnsi="宋体" w:eastAsia="宋体" w:cs="Times New Roman"/>
          <w:color w:val="000000"/>
          <w:sz w:val="28"/>
          <w:szCs w:val="28"/>
          <w:highlight w:val="none"/>
          <w:lang w:val="en-US" w:eastAsia="zh-CN"/>
        </w:rPr>
        <w:t>2</w:t>
      </w:r>
      <w:r>
        <w:rPr>
          <w:rFonts w:hint="eastAsia" w:ascii="Calibri" w:hAnsi="Calibri" w:eastAsia="宋体" w:cs="Times New Roman"/>
          <w:color w:val="000000"/>
          <w:sz w:val="28"/>
          <w:szCs w:val="28"/>
          <w:highlight w:val="none"/>
        </w:rPr>
        <w:t>月</w:t>
      </w:r>
    </w:p>
    <w:p>
      <w:pPr>
        <w:spacing w:line="360" w:lineRule="auto"/>
        <w:rPr>
          <w:rFonts w:ascii="宋体" w:hAnsi="宋体" w:eastAsia="宋体" w:cs="Times New Roman"/>
          <w:b/>
          <w:sz w:val="36"/>
          <w:szCs w:val="36"/>
          <w:highlight w:val="none"/>
        </w:rPr>
        <w:sectPr>
          <w:headerReference r:id="rId11" w:type="default"/>
          <w:footerReference r:id="rId12" w:type="default"/>
          <w:pgSz w:w="11907" w:h="16840"/>
          <w:pgMar w:top="1304" w:right="1418" w:bottom="1304" w:left="1418" w:header="724" w:footer="851" w:gutter="0"/>
          <w:cols w:space="720" w:num="1"/>
          <w:docGrid w:linePitch="290" w:charSpace="-3931"/>
        </w:sectPr>
      </w:pPr>
    </w:p>
    <w:p>
      <w:pPr>
        <w:spacing w:line="360" w:lineRule="auto"/>
        <w:ind w:left="239" w:leftChars="114" w:right="238" w:firstLine="480" w:firstLineChars="200"/>
        <w:rPr>
          <w:rFonts w:hint="eastAsia" w:hAnsi="宋体" w:eastAsia="宋体" w:cs="宋体"/>
          <w:sz w:val="24"/>
          <w:szCs w:val="24"/>
          <w:highlight w:val="none"/>
        </w:rPr>
      </w:pPr>
    </w:p>
    <w:p>
      <w:pPr>
        <w:pStyle w:val="5"/>
        <w:widowControl/>
        <w:spacing w:before="120" w:after="120"/>
        <w:jc w:val="center"/>
        <w:rPr>
          <w:rFonts w:hint="default" w:ascii="Times New Roman" w:hAnsi="Times New Roman" w:eastAsia="黑体" w:cs="Times New Roman"/>
          <w:b w:val="0"/>
          <w:szCs w:val="24"/>
        </w:rPr>
      </w:pPr>
      <w:r>
        <w:rPr>
          <w:rFonts w:hint="default" w:ascii="Times New Roman" w:hAnsi="Times New Roman" w:eastAsia="黑体" w:cs="Times New Roman"/>
          <w:b w:val="0"/>
          <w:szCs w:val="24"/>
        </w:rPr>
        <w:t>第一章  采购货物概况</w:t>
      </w:r>
    </w:p>
    <w:p>
      <w:pPr>
        <w:pStyle w:val="6"/>
        <w:widowControl/>
        <w:spacing w:before="120" w:after="120" w:line="360" w:lineRule="auto"/>
        <w:jc w:val="center"/>
        <w:rPr>
          <w:rFonts w:hint="default" w:ascii="Times New Roman" w:hAnsi="Times New Roman" w:cs="Times New Roman"/>
          <w:b/>
          <w:bCs w:val="0"/>
          <w:sz w:val="24"/>
          <w:szCs w:val="24"/>
        </w:rPr>
      </w:pPr>
      <w:bookmarkStart w:id="33" w:name="_Toc326840032"/>
      <w:r>
        <w:rPr>
          <w:rFonts w:hint="default" w:ascii="Times New Roman" w:hAnsi="Times New Roman" w:cs="Times New Roman"/>
          <w:b/>
          <w:bCs w:val="0"/>
          <w:sz w:val="24"/>
          <w:szCs w:val="24"/>
        </w:rPr>
        <w:t>第一节  使用环境</w:t>
      </w:r>
      <w:bookmarkEnd w:id="33"/>
    </w:p>
    <w:p>
      <w:pPr>
        <w:spacing w:line="360" w:lineRule="auto"/>
        <w:rPr>
          <w:rFonts w:hint="eastAsia" w:ascii="Times New Roman" w:hAnsi="Times New Roman" w:eastAsia="黑体" w:cs="Times New Roman"/>
          <w:u w:val="single"/>
          <w:lang w:eastAsia="zh-CN"/>
        </w:rPr>
      </w:pPr>
      <w:r>
        <w:rPr>
          <w:rFonts w:hint="default" w:ascii="Times New Roman" w:hAnsi="Times New Roman" w:eastAsia="黑体" w:cs="Times New Roman"/>
          <w:sz w:val="24"/>
          <w:szCs w:val="24"/>
          <w:lang w:bidi="ar"/>
        </w:rPr>
        <w:t xml:space="preserve">    一、项目名称：</w:t>
      </w:r>
      <w:r>
        <w:rPr>
          <w:rFonts w:hint="eastAsia" w:ascii="Times New Roman" w:hAnsi="Times New Roman" w:eastAsia="宋体" w:cs="Times New Roman"/>
          <w:sz w:val="24"/>
          <w:szCs w:val="24"/>
          <w:u w:val="single"/>
          <w:lang w:eastAsia="zh-CN" w:bidi="ar"/>
        </w:rPr>
        <w:t>中国重汽集团济南商用车</w:t>
      </w:r>
      <w:r>
        <w:rPr>
          <w:rFonts w:hint="eastAsia" w:ascii="Times New Roman" w:hAnsi="Times New Roman" w:eastAsia="宋体" w:cs="Times New Roman"/>
          <w:sz w:val="24"/>
          <w:szCs w:val="24"/>
          <w:u w:val="single"/>
          <w:lang w:val="en-US" w:eastAsia="zh-CN" w:bidi="ar"/>
        </w:rPr>
        <w:t>制造</w:t>
      </w:r>
      <w:r>
        <w:rPr>
          <w:rFonts w:hint="eastAsia" w:ascii="Times New Roman" w:hAnsi="Times New Roman" w:eastAsia="宋体" w:cs="Times New Roman"/>
          <w:sz w:val="24"/>
          <w:szCs w:val="24"/>
          <w:u w:val="single"/>
          <w:lang w:eastAsia="zh-CN" w:bidi="ar"/>
        </w:rPr>
        <w:t>公司汕德卡驾驶室车门内腔喷蜡项目</w:t>
      </w:r>
    </w:p>
    <w:p>
      <w:pPr>
        <w:spacing w:line="360" w:lineRule="auto"/>
        <w:ind w:firstLine="480" w:firstLineChars="200"/>
        <w:rPr>
          <w:rFonts w:hint="default" w:ascii="Times New Roman" w:hAnsi="Times New Roman" w:eastAsia="黑体" w:cs="Times New Roman"/>
          <w:sz w:val="24"/>
          <w:szCs w:val="24"/>
          <w:lang w:bidi="ar"/>
        </w:rPr>
      </w:pPr>
      <w:r>
        <w:rPr>
          <w:rFonts w:hint="default" w:ascii="Times New Roman" w:hAnsi="Times New Roman" w:eastAsia="黑体" w:cs="Times New Roman"/>
          <w:sz w:val="24"/>
          <w:szCs w:val="24"/>
          <w:lang w:bidi="ar"/>
        </w:rPr>
        <w:t>二、建设地点：</w:t>
      </w:r>
    </w:p>
    <w:p>
      <w:pPr>
        <w:spacing w:line="360" w:lineRule="auto"/>
        <w:ind w:firstLine="420" w:firstLineChars="0"/>
        <w:rPr>
          <w:rFonts w:hint="default" w:ascii="Times New Roman" w:hAnsi="Times New Roman" w:eastAsia="宋体" w:cs="Times New Roman"/>
          <w:sz w:val="24"/>
          <w:szCs w:val="24"/>
          <w:u w:val="single"/>
          <w:lang w:bidi="ar"/>
        </w:rPr>
      </w:pPr>
      <w:r>
        <w:rPr>
          <w:rFonts w:hint="default" w:ascii="Times New Roman" w:hAnsi="Times New Roman" w:eastAsia="宋体" w:cs="Times New Roman"/>
          <w:sz w:val="24"/>
          <w:szCs w:val="24"/>
          <w:u w:val="single"/>
          <w:lang w:bidi="ar"/>
        </w:rPr>
        <w:t>中国重汽集团济南商用车制造公司</w:t>
      </w:r>
    </w:p>
    <w:p>
      <w:pPr>
        <w:spacing w:line="360" w:lineRule="auto"/>
        <w:ind w:firstLine="480" w:firstLineChars="200"/>
        <w:rPr>
          <w:rFonts w:hint="default" w:ascii="Times New Roman" w:hAnsi="Times New Roman" w:eastAsia="黑体" w:cs="Times New Roman"/>
          <w:sz w:val="24"/>
          <w:szCs w:val="24"/>
          <w:lang w:bidi="ar"/>
        </w:rPr>
      </w:pPr>
      <w:r>
        <w:rPr>
          <w:rFonts w:hint="default" w:ascii="Times New Roman" w:hAnsi="Times New Roman" w:eastAsia="黑体" w:cs="Times New Roman"/>
          <w:sz w:val="24"/>
          <w:szCs w:val="24"/>
          <w:lang w:bidi="ar"/>
        </w:rPr>
        <w:t>三、使用地点：</w:t>
      </w:r>
    </w:p>
    <w:p>
      <w:pPr>
        <w:spacing w:line="360" w:lineRule="auto"/>
        <w:ind w:firstLine="480" w:firstLineChars="200"/>
        <w:rPr>
          <w:rFonts w:hint="default" w:ascii="Times New Roman" w:hAnsi="Times New Roman" w:eastAsia="宋体" w:cs="Times New Roman"/>
          <w:sz w:val="24"/>
          <w:szCs w:val="24"/>
          <w:u w:val="single"/>
          <w:lang w:bidi="ar"/>
        </w:rPr>
      </w:pPr>
      <w:r>
        <w:rPr>
          <w:rFonts w:hint="default" w:ascii="Times New Roman" w:hAnsi="Times New Roman" w:eastAsia="宋体" w:cs="Times New Roman"/>
          <w:sz w:val="24"/>
          <w:szCs w:val="24"/>
          <w:u w:val="single"/>
          <w:lang w:bidi="ar"/>
        </w:rPr>
        <w:t>中国重汽集团济南商用车制造公司</w:t>
      </w:r>
    </w:p>
    <w:p>
      <w:pPr>
        <w:spacing w:line="360" w:lineRule="auto"/>
        <w:ind w:firstLine="480" w:firstLineChars="200"/>
        <w:rPr>
          <w:rFonts w:hint="default" w:ascii="Times New Roman" w:hAnsi="Times New Roman" w:eastAsia="黑体" w:cs="Times New Roman"/>
          <w:sz w:val="24"/>
          <w:szCs w:val="24"/>
          <w:lang w:bidi="ar"/>
        </w:rPr>
      </w:pPr>
      <w:r>
        <w:rPr>
          <w:rFonts w:hint="eastAsia" w:ascii="Times New Roman" w:hAnsi="Times New Roman" w:eastAsia="黑体" w:cs="Times New Roman"/>
          <w:sz w:val="24"/>
          <w:szCs w:val="24"/>
          <w:lang w:val="en-US" w:eastAsia="zh-CN" w:bidi="ar"/>
        </w:rPr>
        <w:t>四、</w:t>
      </w:r>
      <w:r>
        <w:rPr>
          <w:rFonts w:hint="default" w:ascii="Times New Roman" w:hAnsi="Times New Roman" w:eastAsia="黑体" w:cs="Times New Roman"/>
          <w:sz w:val="24"/>
          <w:szCs w:val="24"/>
          <w:lang w:bidi="ar"/>
        </w:rPr>
        <w:t>工作制度：年工作日250天，</w:t>
      </w:r>
      <w:r>
        <w:rPr>
          <w:rFonts w:hint="eastAsia" w:ascii="Times New Roman" w:hAnsi="Times New Roman" w:eastAsia="黑体" w:cs="Times New Roman"/>
          <w:sz w:val="24"/>
          <w:szCs w:val="24"/>
          <w:lang w:val="en-US" w:eastAsia="zh-CN" w:bidi="ar"/>
        </w:rPr>
        <w:t>单班</w:t>
      </w:r>
      <w:r>
        <w:rPr>
          <w:rFonts w:hint="default" w:ascii="Times New Roman" w:hAnsi="Times New Roman" w:eastAsia="黑体" w:cs="Times New Roman"/>
          <w:sz w:val="24"/>
          <w:szCs w:val="24"/>
          <w:lang w:bidi="ar"/>
        </w:rPr>
        <w:t>工作8小时。</w:t>
      </w:r>
    </w:p>
    <w:p>
      <w:pPr>
        <w:numPr>
          <w:ilvl w:val="0"/>
          <w:numId w:val="0"/>
        </w:numPr>
        <w:spacing w:line="360" w:lineRule="auto"/>
        <w:ind w:left="480" w:leftChars="0"/>
        <w:rPr>
          <w:rFonts w:hint="default" w:ascii="Times New Roman" w:hAnsi="Times New Roman" w:eastAsia="宋体" w:cs="Times New Roman"/>
          <w:b/>
          <w:bCs w:val="0"/>
          <w:sz w:val="24"/>
          <w:szCs w:val="24"/>
          <w:highlight w:val="none"/>
          <w:u w:val="single"/>
          <w:lang w:val="en-US" w:eastAsia="zh-CN" w:bidi="ar"/>
        </w:rPr>
      </w:pPr>
      <w:r>
        <w:rPr>
          <w:rFonts w:hint="default" w:ascii="Times New Roman" w:hAnsi="Times New Roman" w:eastAsia="宋体" w:cs="Times New Roman"/>
          <w:b/>
          <w:bCs w:val="0"/>
          <w:sz w:val="24"/>
          <w:szCs w:val="24"/>
          <w:highlight w:val="none"/>
          <w:u w:val="single"/>
          <w:lang w:val="en-US" w:eastAsia="zh-CN" w:bidi="ar"/>
        </w:rPr>
        <w:t>生产</w:t>
      </w:r>
      <w:r>
        <w:rPr>
          <w:rFonts w:hint="eastAsia" w:ascii="Times New Roman" w:hAnsi="Times New Roman" w:eastAsia="宋体" w:cs="Times New Roman"/>
          <w:b/>
          <w:bCs w:val="0"/>
          <w:sz w:val="24"/>
          <w:szCs w:val="24"/>
          <w:highlight w:val="none"/>
          <w:u w:val="single"/>
          <w:lang w:val="en-US" w:eastAsia="zh-CN" w:bidi="ar"/>
        </w:rPr>
        <w:t>节拍</w:t>
      </w:r>
      <w:r>
        <w:rPr>
          <w:rFonts w:hint="default" w:ascii="Times New Roman" w:hAnsi="Times New Roman" w:eastAsia="宋体" w:cs="Times New Roman"/>
          <w:b/>
          <w:bCs w:val="0"/>
          <w:sz w:val="24"/>
          <w:szCs w:val="24"/>
          <w:highlight w:val="none"/>
          <w:u w:val="single"/>
          <w:lang w:val="en-US" w:eastAsia="zh-CN" w:bidi="ar"/>
        </w:rPr>
        <w:t>：</w:t>
      </w:r>
      <w:r>
        <w:rPr>
          <w:rFonts w:hint="eastAsia" w:ascii="Times New Roman" w:hAnsi="Times New Roman" w:eastAsia="宋体" w:cs="Times New Roman"/>
          <w:b/>
          <w:bCs w:val="0"/>
          <w:sz w:val="24"/>
          <w:szCs w:val="24"/>
          <w:highlight w:val="none"/>
          <w:u w:val="single"/>
          <w:lang w:val="en-US" w:eastAsia="zh-CN" w:bidi="ar"/>
        </w:rPr>
        <w:t>12JPH</w:t>
      </w:r>
    </w:p>
    <w:p>
      <w:pPr>
        <w:spacing w:line="360" w:lineRule="auto"/>
        <w:ind w:firstLine="480" w:firstLineChars="200"/>
        <w:rPr>
          <w:rFonts w:hint="default" w:ascii="Times New Roman" w:hAnsi="Times New Roman" w:cs="Times New Roman"/>
        </w:rPr>
      </w:pPr>
      <w:r>
        <w:rPr>
          <w:rFonts w:hint="default" w:ascii="Times New Roman" w:hAnsi="Times New Roman" w:eastAsia="黑体" w:cs="Times New Roman"/>
          <w:sz w:val="24"/>
          <w:szCs w:val="24"/>
          <w:lang w:bidi="ar"/>
        </w:rPr>
        <w:t>五、使用地点区域自然环境：</w:t>
      </w:r>
    </w:p>
    <w:p>
      <w:pPr>
        <w:numPr>
          <w:ilvl w:val="0"/>
          <w:numId w:val="0"/>
        </w:numPr>
        <w:spacing w:line="360" w:lineRule="auto"/>
        <w:ind w:left="480" w:leftChars="0"/>
        <w:rPr>
          <w:rFonts w:hint="default" w:ascii="Times New Roman" w:hAnsi="Times New Roman" w:eastAsia="宋体" w:cs="Times New Roman"/>
          <w:bCs/>
          <w:sz w:val="24"/>
          <w:szCs w:val="24"/>
          <w:lang w:eastAsia="zh-CN" w:bidi="ar"/>
        </w:rPr>
      </w:pPr>
      <w:r>
        <w:rPr>
          <w:rFonts w:hint="default" w:ascii="Times New Roman" w:hAnsi="Times New Roman" w:eastAsia="宋体" w:cs="Times New Roman"/>
          <w:bCs/>
          <w:sz w:val="24"/>
          <w:szCs w:val="24"/>
          <w:lang w:val="en-US" w:eastAsia="zh-CN" w:bidi="ar"/>
        </w:rPr>
        <w:t>1、</w:t>
      </w:r>
      <w:r>
        <w:rPr>
          <w:rFonts w:hint="default" w:ascii="Times New Roman" w:hAnsi="Times New Roman" w:eastAsia="宋体" w:cs="Times New Roman"/>
          <w:bCs/>
          <w:sz w:val="24"/>
          <w:szCs w:val="24"/>
          <w:lang w:bidi="ar"/>
        </w:rPr>
        <w:t>海拨高度：4000m以下</w:t>
      </w:r>
      <w:r>
        <w:rPr>
          <w:rFonts w:hint="default" w:ascii="Times New Roman" w:hAnsi="Times New Roman" w:eastAsia="宋体" w:cs="Times New Roman"/>
          <w:bCs/>
          <w:sz w:val="24"/>
          <w:szCs w:val="24"/>
          <w:lang w:eastAsia="zh-CN" w:bidi="ar"/>
        </w:rPr>
        <w:t>。</w:t>
      </w:r>
    </w:p>
    <w:p>
      <w:pPr>
        <w:numPr>
          <w:ilvl w:val="0"/>
          <w:numId w:val="0"/>
        </w:numPr>
        <w:spacing w:line="360" w:lineRule="auto"/>
        <w:ind w:left="480" w:leftChars="0"/>
        <w:rPr>
          <w:rFonts w:hint="eastAsia" w:ascii="Times New Roman" w:hAnsi="Times New Roman" w:eastAsia="宋体" w:cs="Times New Roman"/>
          <w:bCs/>
          <w:sz w:val="24"/>
          <w:szCs w:val="24"/>
          <w:lang w:eastAsia="zh-CN" w:bidi="ar"/>
        </w:rPr>
      </w:pPr>
      <w:r>
        <w:rPr>
          <w:rFonts w:hint="default" w:ascii="Times New Roman" w:hAnsi="Times New Roman" w:eastAsia="宋体" w:cs="Times New Roman"/>
          <w:bCs/>
          <w:sz w:val="24"/>
          <w:szCs w:val="24"/>
          <w:lang w:val="en-US" w:eastAsia="zh-CN" w:bidi="ar"/>
        </w:rPr>
        <w:t>2、</w:t>
      </w:r>
      <w:r>
        <w:rPr>
          <w:rFonts w:hint="default" w:ascii="Times New Roman" w:hAnsi="Times New Roman" w:eastAsia="宋体" w:cs="Times New Roman"/>
          <w:bCs/>
          <w:sz w:val="24"/>
          <w:szCs w:val="24"/>
          <w:lang w:bidi="ar"/>
        </w:rPr>
        <w:t>环境温度：室内温度5℃～40℃</w:t>
      </w:r>
      <w:r>
        <w:rPr>
          <w:rFonts w:hint="eastAsia" w:ascii="Times New Roman" w:hAnsi="Times New Roman" w:eastAsia="宋体" w:cs="Times New Roman"/>
          <w:bCs/>
          <w:sz w:val="24"/>
          <w:szCs w:val="24"/>
          <w:lang w:eastAsia="zh-CN" w:bidi="ar"/>
        </w:rPr>
        <w:t>。</w:t>
      </w:r>
    </w:p>
    <w:p>
      <w:pPr>
        <w:numPr>
          <w:ilvl w:val="0"/>
          <w:numId w:val="0"/>
        </w:numPr>
        <w:spacing w:line="360" w:lineRule="auto"/>
        <w:ind w:left="480" w:leftChars="0"/>
        <w:rPr>
          <w:rFonts w:hint="default" w:ascii="Times New Roman" w:hAnsi="Times New Roman" w:eastAsia="宋体" w:cs="Times New Roman"/>
        </w:rPr>
      </w:pPr>
      <w:r>
        <w:rPr>
          <w:rFonts w:hint="default" w:ascii="Times New Roman" w:hAnsi="Times New Roman" w:eastAsia="宋体" w:cs="Times New Roman"/>
          <w:bCs/>
          <w:sz w:val="24"/>
          <w:szCs w:val="24"/>
          <w:lang w:val="en-US" w:eastAsia="zh-CN" w:bidi="ar"/>
        </w:rPr>
        <w:t>3、</w:t>
      </w:r>
      <w:r>
        <w:rPr>
          <w:rFonts w:hint="default" w:ascii="Times New Roman" w:hAnsi="Times New Roman" w:eastAsia="宋体" w:cs="Times New Roman"/>
          <w:sz w:val="24"/>
          <w:szCs w:val="24"/>
          <w:lang w:bidi="ar"/>
        </w:rPr>
        <w:t>相对湿度：≤90%</w:t>
      </w:r>
      <w:r>
        <w:rPr>
          <w:rFonts w:hint="default" w:ascii="Times New Roman" w:hAnsi="Times New Roman" w:eastAsia="宋体" w:cs="Times New Roman"/>
          <w:bCs/>
          <w:sz w:val="24"/>
          <w:szCs w:val="24"/>
          <w:lang w:bidi="ar"/>
        </w:rPr>
        <w:t>。</w:t>
      </w:r>
    </w:p>
    <w:p>
      <w:pPr>
        <w:spacing w:line="360" w:lineRule="auto"/>
        <w:ind w:firstLine="480" w:firstLineChars="200"/>
        <w:rPr>
          <w:rFonts w:hint="default" w:ascii="Times New Roman" w:hAnsi="Times New Roman" w:cs="Times New Roman"/>
        </w:rPr>
      </w:pPr>
      <w:r>
        <w:rPr>
          <w:rFonts w:hint="default" w:ascii="Times New Roman" w:hAnsi="Times New Roman" w:eastAsia="黑体" w:cs="Times New Roman"/>
          <w:sz w:val="24"/>
          <w:szCs w:val="24"/>
          <w:lang w:bidi="ar"/>
        </w:rPr>
        <w:t>六、能源环境：</w:t>
      </w:r>
    </w:p>
    <w:p>
      <w:pPr>
        <w:numPr>
          <w:ilvl w:val="0"/>
          <w:numId w:val="0"/>
        </w:numPr>
        <w:spacing w:line="360" w:lineRule="auto"/>
        <w:ind w:left="480" w:leftChars="0"/>
        <w:jc w:val="left"/>
        <w:rPr>
          <w:rFonts w:hint="default" w:ascii="Times New Roman" w:hAnsi="Times New Roman" w:eastAsia="宋体" w:cs="Times New Roman"/>
          <w:bCs/>
          <w:sz w:val="24"/>
          <w:szCs w:val="24"/>
          <w:lang w:val="en-US" w:eastAsia="zh-CN" w:bidi="ar"/>
        </w:rPr>
      </w:pPr>
      <w:r>
        <w:rPr>
          <w:rFonts w:hint="default" w:ascii="Times New Roman" w:hAnsi="Times New Roman" w:eastAsia="宋体" w:cs="Times New Roman"/>
          <w:bCs/>
          <w:sz w:val="24"/>
          <w:szCs w:val="24"/>
          <w:lang w:val="en-US" w:eastAsia="zh-CN" w:bidi="ar"/>
        </w:rPr>
        <w:t>1、电力：中国制式，三相五线制供电，供电电压380V±10%/220V±10%，供电频率50Hz±0.5Hz。</w:t>
      </w:r>
    </w:p>
    <w:p>
      <w:pPr>
        <w:numPr>
          <w:ilvl w:val="0"/>
          <w:numId w:val="0"/>
        </w:numPr>
        <w:spacing w:line="360" w:lineRule="auto"/>
        <w:ind w:left="480" w:leftChars="0"/>
        <w:jc w:val="center"/>
        <w:rPr>
          <w:rFonts w:hint="default" w:ascii="Times New Roman" w:hAnsi="Times New Roman" w:eastAsia="宋体" w:cs="Times New Roman"/>
          <w:b/>
          <w:bCs w:val="0"/>
          <w:kern w:val="2"/>
          <w:sz w:val="24"/>
          <w:szCs w:val="24"/>
          <w:lang w:val="en-US" w:eastAsia="zh-CN" w:bidi="ar-SA"/>
        </w:rPr>
      </w:pPr>
      <w:r>
        <w:rPr>
          <w:rFonts w:hint="default" w:ascii="Times New Roman" w:hAnsi="Times New Roman" w:cs="Times New Roman"/>
          <w:sz w:val="24"/>
          <w:szCs w:val="24"/>
          <w:lang w:bidi="ar"/>
        </w:rPr>
        <w:br w:type="page"/>
      </w:r>
      <w:bookmarkStart w:id="34" w:name="_Toc326840033"/>
      <w:r>
        <w:rPr>
          <w:rFonts w:hint="default" w:ascii="Times New Roman" w:hAnsi="Times New Roman" w:eastAsia="宋体" w:cs="Times New Roman"/>
          <w:b/>
          <w:bCs w:val="0"/>
          <w:kern w:val="2"/>
          <w:sz w:val="24"/>
          <w:szCs w:val="24"/>
          <w:lang w:val="en-US" w:eastAsia="zh-CN" w:bidi="ar-SA"/>
        </w:rPr>
        <w:t>第二节  采购货物概况</w:t>
      </w:r>
      <w:bookmarkEnd w:id="34"/>
    </w:p>
    <w:p>
      <w:pPr>
        <w:spacing w:line="360" w:lineRule="auto"/>
        <w:ind w:firstLine="480" w:firstLineChars="200"/>
        <w:rPr>
          <w:rFonts w:hint="eastAsia" w:ascii="Times New Roman" w:hAnsi="Times New Roman" w:eastAsia="黑体" w:cs="Times New Roman"/>
          <w:lang w:eastAsia="zh-CN"/>
        </w:rPr>
      </w:pPr>
      <w:r>
        <w:rPr>
          <w:rFonts w:hint="default" w:ascii="Times New Roman" w:hAnsi="Times New Roman" w:eastAsia="黑体" w:cs="Times New Roman"/>
          <w:sz w:val="24"/>
          <w:szCs w:val="24"/>
          <w:lang w:bidi="ar"/>
        </w:rPr>
        <w:t>一、货物名称：</w:t>
      </w:r>
      <w:r>
        <w:rPr>
          <w:rFonts w:hint="eastAsia" w:ascii="Times New Roman" w:hAnsi="Times New Roman" w:eastAsia="宋体" w:cs="Times New Roman"/>
          <w:sz w:val="24"/>
          <w:szCs w:val="24"/>
          <w:u w:val="single"/>
          <w:lang w:eastAsia="zh-CN" w:bidi="ar"/>
        </w:rPr>
        <w:t>中国重汽集团济南商用车有限公司汕德卡驾驶室车门内腔喷蜡项目</w:t>
      </w:r>
    </w:p>
    <w:p>
      <w:pPr>
        <w:spacing w:line="360" w:lineRule="auto"/>
        <w:ind w:firstLine="480" w:firstLineChars="200"/>
        <w:rPr>
          <w:rFonts w:hint="default" w:ascii="Times New Roman" w:hAnsi="Times New Roman" w:cs="Times New Roman"/>
        </w:rPr>
      </w:pPr>
      <w:r>
        <w:rPr>
          <w:rFonts w:hint="default" w:ascii="Times New Roman" w:hAnsi="Times New Roman" w:eastAsia="黑体" w:cs="Times New Roman"/>
          <w:sz w:val="24"/>
          <w:szCs w:val="24"/>
          <w:lang w:bidi="ar"/>
        </w:rPr>
        <w:t>二、货物数量：</w:t>
      </w:r>
      <w:r>
        <w:rPr>
          <w:rFonts w:hint="default" w:ascii="Times New Roman" w:hAnsi="Times New Roman" w:eastAsia="宋体" w:cs="Times New Roman"/>
          <w:sz w:val="24"/>
          <w:szCs w:val="24"/>
          <w:u w:val="single"/>
          <w:shd w:val="pct10" w:color="auto" w:fill="FFFFFF"/>
          <w:lang w:bidi="ar"/>
        </w:rPr>
        <w:t xml:space="preserve">   一套   </w:t>
      </w:r>
      <w:r>
        <w:rPr>
          <w:rFonts w:hint="default" w:ascii="Times New Roman" w:hAnsi="Times New Roman" w:eastAsia="宋体" w:cs="Times New Roman"/>
          <w:sz w:val="24"/>
          <w:szCs w:val="24"/>
          <w:lang w:bidi="ar"/>
        </w:rPr>
        <w:t>（详见下表）</w:t>
      </w:r>
    </w:p>
    <w:p>
      <w:pPr>
        <w:spacing w:line="360" w:lineRule="auto"/>
        <w:ind w:firstLine="480" w:firstLineChars="200"/>
        <w:rPr>
          <w:rFonts w:hint="default" w:ascii="Times New Roman" w:hAnsi="Times New Roman" w:cs="Times New Roman"/>
          <w:u w:val="single"/>
          <w:shd w:val="pct10" w:color="auto" w:fill="FFFFFF"/>
        </w:rPr>
      </w:pPr>
      <w:r>
        <w:rPr>
          <w:rFonts w:hint="default" w:ascii="Times New Roman" w:hAnsi="Times New Roman" w:eastAsia="黑体" w:cs="Times New Roman"/>
          <w:sz w:val="24"/>
          <w:szCs w:val="24"/>
          <w:lang w:bidi="ar"/>
        </w:rPr>
        <w:t>三、分投分中：</w:t>
      </w:r>
      <w:r>
        <w:rPr>
          <w:rFonts w:hint="default" w:ascii="Times New Roman" w:hAnsi="Times New Roman" w:eastAsia="宋体" w:cs="Times New Roman"/>
          <w:sz w:val="24"/>
          <w:szCs w:val="24"/>
          <w:u w:val="single"/>
          <w:shd w:val="pct10" w:color="auto" w:fill="FFFFFF"/>
          <w:lang w:bidi="ar"/>
        </w:rPr>
        <w:t>不允许</w:t>
      </w:r>
    </w:p>
    <w:p>
      <w:pPr>
        <w:spacing w:line="360" w:lineRule="auto"/>
        <w:jc w:val="center"/>
        <w:rPr>
          <w:rFonts w:hint="default" w:ascii="Times New Roman" w:hAnsi="Times New Roman" w:eastAsia="宋体" w:cs="Times New Roman"/>
          <w:sz w:val="24"/>
          <w:szCs w:val="24"/>
          <w:lang w:bidi="ar"/>
        </w:rPr>
      </w:pPr>
      <w:r>
        <w:rPr>
          <w:rFonts w:hint="default" w:ascii="Times New Roman" w:hAnsi="Times New Roman" w:eastAsia="宋体" w:cs="Times New Roman"/>
          <w:sz w:val="24"/>
          <w:szCs w:val="24"/>
          <w:lang w:bidi="ar"/>
        </w:rPr>
        <w:t>采购货物主要构成一览表</w:t>
      </w:r>
    </w:p>
    <w:tbl>
      <w:tblPr>
        <w:tblStyle w:val="4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950"/>
        <w:gridCol w:w="1072"/>
        <w:gridCol w:w="1200"/>
        <w:gridCol w:w="2500"/>
        <w:gridCol w:w="3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54" w:type="dxa"/>
            <w:vAlign w:val="center"/>
          </w:tcPr>
          <w:p>
            <w:pPr>
              <w:spacing w:line="360" w:lineRule="auto"/>
              <w:jc w:val="center"/>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rPr>
              <w:t>序号</w:t>
            </w:r>
          </w:p>
        </w:tc>
        <w:tc>
          <w:tcPr>
            <w:tcW w:w="950" w:type="dxa"/>
            <w:vAlign w:val="center"/>
          </w:tcPr>
          <w:p>
            <w:pPr>
              <w:spacing w:line="360" w:lineRule="auto"/>
              <w:jc w:val="center"/>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rPr>
              <w:t>名称</w:t>
            </w:r>
          </w:p>
        </w:tc>
        <w:tc>
          <w:tcPr>
            <w:tcW w:w="1072" w:type="dxa"/>
            <w:vAlign w:val="center"/>
          </w:tcPr>
          <w:p>
            <w:pPr>
              <w:spacing w:line="360" w:lineRule="auto"/>
              <w:jc w:val="center"/>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rPr>
              <w:t>数量</w:t>
            </w:r>
            <w:r>
              <w:rPr>
                <w:rFonts w:hint="default" w:ascii="Times New Roman" w:hAnsi="Times New Roman" w:eastAsia="宋体" w:cs="Times New Roman"/>
                <w:bCs/>
                <w:sz w:val="24"/>
                <w:szCs w:val="24"/>
              </w:rPr>
              <w:t>(</w:t>
            </w:r>
            <w:r>
              <w:rPr>
                <w:rFonts w:hint="eastAsia" w:ascii="Times New Roman" w:hAnsi="Times New Roman" w:eastAsia="宋体" w:cs="Times New Roman"/>
                <w:bCs/>
                <w:sz w:val="24"/>
                <w:szCs w:val="24"/>
              </w:rPr>
              <w:t>台</w:t>
            </w:r>
            <w:r>
              <w:rPr>
                <w:rFonts w:hint="default" w:ascii="Times New Roman" w:hAnsi="Times New Roman" w:eastAsia="宋体" w:cs="Times New Roman"/>
                <w:bCs/>
                <w:sz w:val="24"/>
                <w:szCs w:val="24"/>
              </w:rPr>
              <w:t>/</w:t>
            </w:r>
            <w:r>
              <w:rPr>
                <w:rFonts w:hint="eastAsia" w:ascii="Times New Roman" w:hAnsi="Times New Roman" w:eastAsia="宋体" w:cs="Times New Roman"/>
                <w:bCs/>
                <w:sz w:val="24"/>
                <w:szCs w:val="24"/>
              </w:rPr>
              <w:t>套</w:t>
            </w:r>
            <w:r>
              <w:rPr>
                <w:rFonts w:hint="default" w:ascii="Times New Roman" w:hAnsi="Times New Roman" w:eastAsia="宋体" w:cs="Times New Roman"/>
                <w:bCs/>
                <w:sz w:val="24"/>
                <w:szCs w:val="24"/>
              </w:rPr>
              <w:t>)</w:t>
            </w:r>
          </w:p>
        </w:tc>
        <w:tc>
          <w:tcPr>
            <w:tcW w:w="1200" w:type="dxa"/>
            <w:vAlign w:val="center"/>
          </w:tcPr>
          <w:p>
            <w:pPr>
              <w:spacing w:line="360" w:lineRule="auto"/>
              <w:jc w:val="center"/>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供货方式</w:t>
            </w:r>
          </w:p>
        </w:tc>
        <w:tc>
          <w:tcPr>
            <w:tcW w:w="2500" w:type="dxa"/>
            <w:vAlign w:val="center"/>
          </w:tcPr>
          <w:p>
            <w:pPr>
              <w:spacing w:line="360" w:lineRule="auto"/>
              <w:jc w:val="center"/>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rPr>
              <w:t>交货期</w:t>
            </w:r>
          </w:p>
        </w:tc>
        <w:tc>
          <w:tcPr>
            <w:tcW w:w="3104" w:type="dxa"/>
            <w:vAlign w:val="center"/>
          </w:tcPr>
          <w:p>
            <w:pPr>
              <w:spacing w:line="360" w:lineRule="auto"/>
              <w:jc w:val="center"/>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1" w:hRule="atLeast"/>
          <w:jc w:val="center"/>
        </w:trPr>
        <w:tc>
          <w:tcPr>
            <w:tcW w:w="454" w:type="dxa"/>
            <w:vAlign w:val="center"/>
          </w:tcPr>
          <w:p>
            <w:pPr>
              <w:spacing w:line="360" w:lineRule="auto"/>
              <w:jc w:val="center"/>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rPr>
              <w:t>1</w:t>
            </w:r>
          </w:p>
        </w:tc>
        <w:tc>
          <w:tcPr>
            <w:tcW w:w="950" w:type="dxa"/>
            <w:vAlign w:val="center"/>
          </w:tcPr>
          <w:p>
            <w:pPr>
              <w:spacing w:line="360" w:lineRule="auto"/>
              <w:jc w:val="center"/>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rPr>
              <w:t>汕德卡驾驶室车门内腔喷蜡</w:t>
            </w:r>
          </w:p>
        </w:tc>
        <w:tc>
          <w:tcPr>
            <w:tcW w:w="1072" w:type="dxa"/>
            <w:vAlign w:val="center"/>
          </w:tcPr>
          <w:p>
            <w:pPr>
              <w:spacing w:line="360" w:lineRule="auto"/>
              <w:jc w:val="center"/>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rPr>
              <w:t>1套</w:t>
            </w:r>
          </w:p>
        </w:tc>
        <w:tc>
          <w:tcPr>
            <w:tcW w:w="1200" w:type="dxa"/>
            <w:vAlign w:val="center"/>
          </w:tcPr>
          <w:p>
            <w:pPr>
              <w:spacing w:line="360" w:lineRule="auto"/>
              <w:jc w:val="center"/>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交钥匙方式</w:t>
            </w:r>
          </w:p>
        </w:tc>
        <w:tc>
          <w:tcPr>
            <w:tcW w:w="2500" w:type="dxa"/>
            <w:vAlign w:val="center"/>
          </w:tcPr>
          <w:p>
            <w:pPr>
              <w:spacing w:line="360" w:lineRule="auto"/>
              <w:jc w:val="center"/>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rPr>
              <w:t>202</w:t>
            </w:r>
            <w:r>
              <w:rPr>
                <w:rFonts w:hint="eastAsia" w:ascii="Times New Roman" w:hAnsi="Times New Roman" w:eastAsia="宋体" w:cs="Times New Roman"/>
                <w:bCs/>
                <w:sz w:val="24"/>
                <w:szCs w:val="24"/>
                <w:lang w:val="en-US" w:eastAsia="zh-CN"/>
              </w:rPr>
              <w:t>5</w:t>
            </w:r>
            <w:r>
              <w:rPr>
                <w:rFonts w:hint="eastAsia" w:ascii="Times New Roman" w:hAnsi="Times New Roman" w:eastAsia="宋体" w:cs="Times New Roman"/>
                <w:bCs/>
                <w:sz w:val="24"/>
                <w:szCs w:val="24"/>
              </w:rPr>
              <w:t>年</w:t>
            </w:r>
            <w:r>
              <w:rPr>
                <w:rFonts w:hint="eastAsia" w:ascii="Times New Roman" w:hAnsi="Times New Roman" w:eastAsia="宋体" w:cs="Times New Roman"/>
                <w:bCs/>
                <w:sz w:val="24"/>
                <w:szCs w:val="24"/>
                <w:lang w:val="en-US" w:eastAsia="zh-CN"/>
              </w:rPr>
              <w:t>6</w:t>
            </w:r>
            <w:r>
              <w:rPr>
                <w:rFonts w:hint="eastAsia" w:ascii="Times New Roman" w:hAnsi="Times New Roman" w:eastAsia="宋体" w:cs="Times New Roman"/>
                <w:bCs/>
                <w:sz w:val="24"/>
                <w:szCs w:val="24"/>
              </w:rPr>
              <w:t>月</w:t>
            </w:r>
            <w:r>
              <w:rPr>
                <w:rFonts w:hint="eastAsia" w:ascii="Times New Roman" w:hAnsi="Times New Roman" w:eastAsia="宋体" w:cs="Times New Roman"/>
                <w:bCs/>
                <w:sz w:val="24"/>
                <w:szCs w:val="24"/>
                <w:lang w:val="en-US" w:eastAsia="zh-CN"/>
              </w:rPr>
              <w:t>30</w:t>
            </w:r>
            <w:r>
              <w:rPr>
                <w:rFonts w:hint="eastAsia" w:ascii="Times New Roman" w:hAnsi="Times New Roman" w:eastAsia="宋体" w:cs="Times New Roman"/>
                <w:bCs/>
                <w:sz w:val="24"/>
                <w:szCs w:val="24"/>
              </w:rPr>
              <w:t>日投产(包含设计、制造、运输、安装、调试、试运行、验收、培训等，直至交付使用)</w:t>
            </w:r>
          </w:p>
        </w:tc>
        <w:tc>
          <w:tcPr>
            <w:tcW w:w="3104" w:type="dxa"/>
            <w:vAlign w:val="center"/>
          </w:tcPr>
          <w:p>
            <w:pPr>
              <w:spacing w:line="360" w:lineRule="auto"/>
              <w:jc w:val="center"/>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包括喷蜡设备使用的控制器及电气改造、制造、运输、安装、调试和售后服务等内容。</w:t>
            </w:r>
          </w:p>
        </w:tc>
      </w:tr>
    </w:tbl>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备注：</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1.本表所列采购货物仅为货物的主要构成部分，应配套供货以及招标人所列其它货物（或设备）和服务，请投标人认真阅读“供货范围”。若有异议，不管是多么微小，都应在投标文件“商务偏离”章节中予以详细说明。</w:t>
      </w:r>
    </w:p>
    <w:p>
      <w:pPr>
        <w:numPr>
          <w:ilvl w:val="0"/>
          <w:numId w:val="11"/>
        </w:numPr>
        <w:spacing w:line="360" w:lineRule="auto"/>
        <w:ind w:firstLine="480" w:firstLineChars="200"/>
        <w:rPr>
          <w:rFonts w:hint="default" w:ascii="Times New Roman" w:hAnsi="Times New Roman" w:eastAsia="宋体" w:cs="Times New Roman"/>
          <w:b/>
          <w:bCs/>
          <w:szCs w:val="20"/>
        </w:rPr>
      </w:pPr>
      <w:r>
        <w:rPr>
          <w:rFonts w:hint="default" w:ascii="Times New Roman" w:hAnsi="Times New Roman" w:eastAsia="宋体" w:cs="Times New Roman"/>
          <w:bCs/>
          <w:sz w:val="24"/>
          <w:szCs w:val="24"/>
        </w:rPr>
        <w:t>本表“供货方式”指：交钥匙方式——包括制造、运输、定点卸货、安装、调试和协助验收以及约定培训等。</w:t>
      </w:r>
    </w:p>
    <w:p>
      <w:pPr>
        <w:numPr>
          <w:ilvl w:val="0"/>
          <w:numId w:val="11"/>
        </w:numPr>
        <w:spacing w:line="360" w:lineRule="auto"/>
        <w:ind w:firstLine="482" w:firstLineChars="200"/>
        <w:rPr>
          <w:rFonts w:hint="default" w:ascii="Times New Roman" w:hAnsi="Times New Roman" w:eastAsia="宋体" w:cs="Times New Roman"/>
          <w:bCs/>
          <w:sz w:val="24"/>
          <w:szCs w:val="24"/>
        </w:rPr>
      </w:pPr>
      <w:r>
        <w:rPr>
          <w:rFonts w:hint="default" w:ascii="Times New Roman" w:hAnsi="Times New Roman" w:eastAsia="宋体" w:cs="Times New Roman"/>
          <w:b/>
          <w:sz w:val="24"/>
          <w:szCs w:val="24"/>
        </w:rPr>
        <w:t>采购货物特别说明：</w:t>
      </w:r>
      <w:r>
        <w:rPr>
          <w:rFonts w:hint="default" w:ascii="Times New Roman" w:hAnsi="Times New Roman" w:eastAsia="宋体" w:cs="Times New Roman"/>
          <w:b/>
          <w:bCs/>
          <w:sz w:val="24"/>
          <w:szCs w:val="24"/>
        </w:rPr>
        <w:t>招标人所列货物的名称和规格型号，如为某一供应商所特有，则该名称和规格型号可作参考，但要求投标人所提供的货物必须满足本技术标书实质性要求</w:t>
      </w:r>
      <w:r>
        <w:rPr>
          <w:rFonts w:hint="default" w:ascii="Times New Roman" w:hAnsi="Times New Roman" w:eastAsia="宋体" w:cs="Times New Roman"/>
          <w:b/>
          <w:bCs/>
          <w:szCs w:val="20"/>
        </w:rPr>
        <w:t>。</w:t>
      </w:r>
    </w:p>
    <w:p>
      <w:pPr>
        <w:spacing w:line="360" w:lineRule="auto"/>
        <w:ind w:firstLine="480" w:firstLineChars="200"/>
        <w:rPr>
          <w:rFonts w:hint="default" w:ascii="Times New Roman" w:hAnsi="Times New Roman" w:eastAsia="黑体" w:cs="Times New Roman"/>
          <w:sz w:val="24"/>
          <w:szCs w:val="24"/>
          <w:lang w:bidi="ar"/>
        </w:rPr>
      </w:pPr>
      <w:r>
        <w:rPr>
          <w:rFonts w:hint="default" w:ascii="Times New Roman" w:hAnsi="Times New Roman" w:eastAsia="黑体" w:cs="Times New Roman"/>
          <w:sz w:val="24"/>
          <w:szCs w:val="24"/>
          <w:lang w:bidi="ar"/>
        </w:rPr>
        <w:t>四、采购货物特别说明</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招标方所列货物的名称和规格型号，如为某一供应商所特有，则该名称和规格型号可作参考；但要求投标方所提供的货物必须满足本技术标书实质性要求。</w:t>
      </w:r>
    </w:p>
    <w:p>
      <w:pPr>
        <w:numPr>
          <w:ilvl w:val="0"/>
          <w:numId w:val="12"/>
        </w:numPr>
        <w:spacing w:line="360" w:lineRule="auto"/>
        <w:ind w:firstLine="480" w:firstLineChars="200"/>
        <w:rPr>
          <w:rFonts w:hint="default"/>
          <w:lang w:val="en-US" w:eastAsia="zh-CN"/>
        </w:rPr>
      </w:pPr>
      <w:r>
        <w:rPr>
          <w:rFonts w:hint="eastAsia" w:ascii="Times New Roman" w:hAnsi="Times New Roman" w:eastAsia="黑体" w:cs="Times New Roman"/>
          <w:sz w:val="24"/>
          <w:szCs w:val="24"/>
          <w:lang w:val="en-US" w:eastAsia="zh-CN" w:bidi="ar"/>
        </w:rPr>
        <w:t>执行标准</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双方签订的技术协议</w:t>
      </w:r>
      <w:r>
        <w:rPr>
          <w:rFonts w:hint="eastAsia" w:ascii="Times New Roman" w:hAnsi="Times New Roman" w:eastAsia="宋体" w:cs="Times New Roman"/>
          <w:bCs/>
          <w:sz w:val="24"/>
          <w:szCs w:val="24"/>
        </w:rPr>
        <w:t>、</w:t>
      </w:r>
      <w:r>
        <w:rPr>
          <w:rFonts w:hint="default" w:ascii="Times New Roman" w:hAnsi="Times New Roman" w:eastAsia="宋体" w:cs="Times New Roman"/>
          <w:bCs/>
          <w:sz w:val="24"/>
          <w:szCs w:val="24"/>
        </w:rPr>
        <w:t>双方会签的</w:t>
      </w:r>
      <w:r>
        <w:rPr>
          <w:rFonts w:hint="eastAsia" w:ascii="Times New Roman" w:hAnsi="Times New Roman" w:eastAsia="宋体" w:cs="Times New Roman"/>
          <w:bCs/>
          <w:sz w:val="24"/>
          <w:szCs w:val="24"/>
        </w:rPr>
        <w:t>图纸、</w:t>
      </w:r>
      <w:r>
        <w:rPr>
          <w:rFonts w:hint="default" w:ascii="Times New Roman" w:hAnsi="Times New Roman" w:eastAsia="宋体" w:cs="Times New Roman"/>
          <w:bCs/>
          <w:sz w:val="24"/>
          <w:szCs w:val="24"/>
        </w:rPr>
        <w:t>双方签订的会议纪要</w:t>
      </w:r>
      <w:r>
        <w:rPr>
          <w:rFonts w:hint="eastAsia" w:ascii="Times New Roman" w:hAnsi="Times New Roman" w:eastAsia="宋体" w:cs="Times New Roman"/>
          <w:bCs/>
          <w:sz w:val="24"/>
          <w:szCs w:val="24"/>
        </w:rPr>
        <w:t>、</w:t>
      </w:r>
      <w:r>
        <w:rPr>
          <w:rFonts w:hint="default" w:ascii="Times New Roman" w:hAnsi="Times New Roman" w:eastAsia="宋体" w:cs="Times New Roman"/>
          <w:bCs/>
          <w:sz w:val="24"/>
          <w:szCs w:val="24"/>
        </w:rPr>
        <w:t>安全规范和标准</w:t>
      </w:r>
      <w:r>
        <w:rPr>
          <w:rFonts w:hint="eastAsia" w:ascii="Times New Roman" w:hAnsi="Times New Roman" w:eastAsia="宋体" w:cs="Times New Roman"/>
          <w:bCs/>
          <w:sz w:val="24"/>
          <w:szCs w:val="24"/>
        </w:rPr>
        <w:t>、</w:t>
      </w:r>
      <w:r>
        <w:rPr>
          <w:rFonts w:hint="default" w:ascii="Times New Roman" w:hAnsi="Times New Roman" w:eastAsia="宋体" w:cs="Times New Roman"/>
          <w:bCs/>
          <w:sz w:val="24"/>
          <w:szCs w:val="24"/>
        </w:rPr>
        <w:t>防火规范和标准</w:t>
      </w:r>
      <w:r>
        <w:rPr>
          <w:rFonts w:hint="eastAsia" w:ascii="Times New Roman" w:hAnsi="Times New Roman" w:eastAsia="宋体" w:cs="Times New Roman"/>
          <w:bCs/>
          <w:sz w:val="24"/>
          <w:szCs w:val="24"/>
        </w:rPr>
        <w:t>、</w:t>
      </w:r>
      <w:r>
        <w:rPr>
          <w:rFonts w:hint="default" w:ascii="Times New Roman" w:hAnsi="Times New Roman" w:eastAsia="宋体" w:cs="Times New Roman"/>
          <w:bCs/>
          <w:sz w:val="24"/>
          <w:szCs w:val="24"/>
        </w:rPr>
        <w:t>环保规范和标准</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设备采用材质合格证明及分析报告</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消防设备由招标方负责通过公安、消防部门验收</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GB7691-2011涂装作业安全规程安全管理通则</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GB50205-2001钢结构工程施工质量验收规范</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GB50231-2009机械设备安装工程施工及验收通用规范</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GB50236-2011现场设备、工业管道焊接工程施工规范</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GB4053.1-2009固定式钢梯及平台安全要求第1部分：钢直梯</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GB4053.2-2009固定式钢梯及平台安全要求第2部分：钢斜梯</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GB4053.3-2009固定式钢梯及平台安全要求第3部分：工业防护栏及钢平台</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JB/T10394.1-2002涂装设备通用技术条件钣金件</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JB/T10394.2-2002涂装设备通用技术条件焊接件</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JB/T10394.3-2002涂装设备通用技术条件涂层</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JB/T10394.4-2002涂装设备通用技术条件安装</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GB50575-2010《1kV及以下配线工程施工与验收规范》</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GB50150-2016《电气装置安装工程电气设备交接试验标准》</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GB50169-2016《电气装置安装工程接地装置施工验收规范》</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GB50171-2012《电气装置安装工程盘柜及二次回路施工和验收规范》</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GB7251.1-2017《低压成套开关设备和控制设备》</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CECS31-2017《钢制电缆桥架工程设计规范》</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GB50093-2013《自动化仪表工程施工及质量验收规范》</w:t>
      </w:r>
    </w:p>
    <w:p>
      <w:pPr>
        <w:numPr>
          <w:ilvl w:val="0"/>
          <w:numId w:val="12"/>
        </w:numPr>
        <w:spacing w:line="360" w:lineRule="auto"/>
        <w:ind w:firstLine="480" w:firstLineChars="200"/>
        <w:rPr>
          <w:rFonts w:hint="eastAsia" w:ascii="Times New Roman" w:hAnsi="Times New Roman" w:eastAsia="黑体" w:cs="Times New Roman"/>
          <w:sz w:val="24"/>
          <w:szCs w:val="24"/>
          <w:lang w:val="en-US" w:eastAsia="zh-CN" w:bidi="ar"/>
        </w:rPr>
      </w:pPr>
      <w:r>
        <w:rPr>
          <w:rFonts w:hint="eastAsia" w:ascii="Times New Roman" w:hAnsi="Times New Roman" w:eastAsia="黑体" w:cs="Times New Roman"/>
          <w:sz w:val="24"/>
          <w:szCs w:val="24"/>
          <w:lang w:val="en-US" w:eastAsia="zh-CN" w:bidi="ar"/>
        </w:rPr>
        <w:t>投标要求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1、投标方须汕德卡驾驶室车门内腔喷蜡项目</w:t>
      </w:r>
      <w:r>
        <w:rPr>
          <w:rFonts w:hint="eastAsia" w:ascii="宋体" w:hAnsi="宋体" w:eastAsia="宋体" w:cs="宋体"/>
          <w:sz w:val="24"/>
          <w:szCs w:val="24"/>
          <w:lang w:val="en-US" w:eastAsia="zh-CN"/>
        </w:rPr>
        <w:t>施工详细内容</w:t>
      </w:r>
      <w:r>
        <w:rPr>
          <w:rFonts w:hint="eastAsia" w:ascii="宋体" w:hAnsi="宋体" w:eastAsia="宋体" w:cs="宋体"/>
          <w:sz w:val="24"/>
          <w:szCs w:val="24"/>
        </w:rPr>
        <w:t>充分分析，识别出涂装产线需要变更的变化点并提供详细的工艺方案，同时以此为报价基础。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2、中标人对设备质量和可靠性负责。</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中标人应审查施工图纸，在工艺流程、布置及上下件位置不变的情况下，如发现问题，可对结构形式、各室相对位置、用电量等工艺参数提出修改意见和改进措施。对设备的运转质量负最终责任。对设计修改部分提供完整技术资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4、中标人对中标设备的制造、安装、调试提供系列服务，具体如下：</w:t>
      </w:r>
    </w:p>
    <w:p>
      <w:pPr>
        <w:pStyle w:val="131"/>
        <w:numPr>
          <w:ilvl w:val="0"/>
          <w:numId w:val="13"/>
        </w:numPr>
        <w:spacing w:line="360" w:lineRule="auto"/>
        <w:ind w:left="0" w:firstLine="720" w:firstLineChars="300"/>
        <w:rPr>
          <w:rFonts w:hint="eastAsia" w:ascii="宋体" w:hAnsi="宋体" w:eastAsia="宋体" w:cs="宋体"/>
          <w:sz w:val="24"/>
          <w:szCs w:val="24"/>
          <w:highlight w:val="yellow"/>
        </w:rPr>
      </w:pPr>
      <w:r>
        <w:rPr>
          <w:rFonts w:hint="eastAsia" w:ascii="宋体" w:hAnsi="宋体" w:eastAsia="宋体" w:cs="宋体"/>
          <w:sz w:val="24"/>
          <w:szCs w:val="24"/>
          <w:highlight w:val="yellow"/>
        </w:rPr>
        <w:t>原则上，</w:t>
      </w:r>
      <w:r>
        <w:rPr>
          <w:rFonts w:hint="eastAsia" w:ascii="宋体" w:hAnsi="宋体" w:eastAsia="宋体" w:cs="宋体"/>
          <w:sz w:val="24"/>
          <w:szCs w:val="24"/>
          <w:highlight w:val="yellow"/>
          <w:lang w:val="en-US" w:eastAsia="zh-CN"/>
        </w:rPr>
        <w:t>本项目中</w:t>
      </w:r>
      <w:r>
        <w:rPr>
          <w:rFonts w:hint="eastAsia" w:ascii="宋体" w:hAnsi="宋体" w:eastAsia="宋体" w:cs="宋体"/>
          <w:sz w:val="24"/>
          <w:szCs w:val="24"/>
          <w:highlight w:val="yellow"/>
        </w:rPr>
        <w:t>电机功率</w:t>
      </w:r>
      <w:r>
        <w:rPr>
          <w:rFonts w:hint="eastAsia" w:ascii="宋体" w:hAnsi="宋体" w:eastAsia="宋体" w:cs="宋体"/>
          <w:sz w:val="24"/>
          <w:szCs w:val="24"/>
          <w:highlight w:val="yellow"/>
          <w:lang w:val="en-US" w:eastAsia="zh-CN"/>
        </w:rPr>
        <w:t>＞7.5</w:t>
      </w:r>
      <w:r>
        <w:rPr>
          <w:rFonts w:hint="eastAsia" w:ascii="宋体" w:hAnsi="宋体" w:eastAsia="宋体" w:cs="宋体"/>
          <w:sz w:val="24"/>
          <w:szCs w:val="24"/>
          <w:highlight w:val="yellow"/>
        </w:rPr>
        <w:t>kW,必须选用一级能效。电机功率&lt;</w:t>
      </w:r>
      <w:r>
        <w:rPr>
          <w:rFonts w:hint="eastAsia" w:ascii="宋体" w:hAnsi="宋体" w:eastAsia="宋体" w:cs="宋体"/>
          <w:sz w:val="24"/>
          <w:szCs w:val="24"/>
          <w:highlight w:val="yellow"/>
          <w:lang w:val="en-US" w:eastAsia="zh-CN"/>
        </w:rPr>
        <w:t>7.5</w:t>
      </w:r>
      <w:r>
        <w:rPr>
          <w:rFonts w:hint="eastAsia" w:ascii="宋体" w:hAnsi="宋体" w:eastAsia="宋体" w:cs="宋体"/>
          <w:sz w:val="24"/>
          <w:szCs w:val="24"/>
          <w:highlight w:val="yellow"/>
        </w:rPr>
        <w:t>kW，</w:t>
      </w:r>
      <w:r>
        <w:rPr>
          <w:rFonts w:hint="eastAsia" w:ascii="宋体" w:hAnsi="宋体" w:eastAsia="宋体" w:cs="宋体"/>
          <w:sz w:val="24"/>
          <w:szCs w:val="24"/>
          <w:highlight w:val="yellow"/>
          <w:lang w:val="en-US" w:eastAsia="zh-CN"/>
        </w:rPr>
        <w:t>优</w:t>
      </w:r>
      <w:r>
        <w:rPr>
          <w:rFonts w:hint="eastAsia" w:ascii="宋体" w:hAnsi="宋体" w:eastAsia="宋体" w:cs="宋体"/>
          <w:sz w:val="24"/>
          <w:szCs w:val="24"/>
          <w:highlight w:val="yellow"/>
        </w:rPr>
        <w:t>先选用一级能效；其中对于能源供应类设备及年运行时间</w:t>
      </w:r>
      <w:r>
        <w:rPr>
          <w:rFonts w:hint="eastAsia" w:ascii="宋体" w:hAnsi="宋体" w:eastAsia="宋体" w:cs="宋体"/>
          <w:sz w:val="24"/>
          <w:szCs w:val="24"/>
          <w:highlight w:val="yellow"/>
          <w:lang w:val="en-US" w:eastAsia="zh-CN"/>
        </w:rPr>
        <w:t>≥2000h</w:t>
      </w:r>
      <w:r>
        <w:rPr>
          <w:rFonts w:hint="eastAsia" w:ascii="宋体" w:hAnsi="宋体" w:eastAsia="宋体" w:cs="宋体"/>
          <w:sz w:val="24"/>
          <w:szCs w:val="24"/>
          <w:highlight w:val="yellow"/>
        </w:rPr>
        <w:t>工艺设备的电机必须选用一级能效。杜绝选用三级及以下能效。空调必须选用一级能效，变压器最低选用二级能效，对于特殊场景、特殊用途其他设备合性价比综合考虑、充分论证；</w:t>
      </w:r>
    </w:p>
    <w:p>
      <w:pPr>
        <w:pStyle w:val="131"/>
        <w:numPr>
          <w:ilvl w:val="0"/>
          <w:numId w:val="13"/>
        </w:numPr>
        <w:spacing w:line="360" w:lineRule="auto"/>
        <w:ind w:left="0" w:firstLine="720" w:firstLineChars="300"/>
        <w:rPr>
          <w:rFonts w:hint="eastAsia" w:ascii="宋体" w:hAnsi="宋体" w:eastAsia="宋体" w:cs="宋体"/>
          <w:sz w:val="24"/>
          <w:szCs w:val="24"/>
          <w:highlight w:val="yellow"/>
        </w:rPr>
      </w:pPr>
      <w:r>
        <w:rPr>
          <w:rFonts w:hint="eastAsia" w:ascii="宋体" w:hAnsi="宋体" w:eastAsia="宋体" w:cs="宋体"/>
          <w:sz w:val="24"/>
          <w:szCs w:val="24"/>
          <w:highlight w:val="yellow"/>
        </w:rPr>
        <w:t>设备颜色符合《Q-ZZ30070设备设施颜色标识》规定，外观无明显缺陷，重新焊接完成后，对焊接位置进行重新刷漆。</w:t>
      </w:r>
    </w:p>
    <w:p>
      <w:pPr>
        <w:pStyle w:val="131"/>
        <w:numPr>
          <w:ilvl w:val="0"/>
          <w:numId w:val="13"/>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主、辅材的采购、供应；</w:t>
      </w:r>
    </w:p>
    <w:p>
      <w:pPr>
        <w:pStyle w:val="131"/>
        <w:numPr>
          <w:ilvl w:val="0"/>
          <w:numId w:val="13"/>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非标设备的加工、制作、安装；</w:t>
      </w:r>
    </w:p>
    <w:p>
      <w:pPr>
        <w:pStyle w:val="131"/>
        <w:numPr>
          <w:ilvl w:val="0"/>
          <w:numId w:val="13"/>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除业主方提供外的机械及电气外购件、标准件的采购、供应，根据性能价格较优的原则选定供货厂商，并对外购件的质量负责；</w:t>
      </w:r>
    </w:p>
    <w:p>
      <w:pPr>
        <w:pStyle w:val="131"/>
        <w:numPr>
          <w:ilvl w:val="0"/>
          <w:numId w:val="13"/>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配合土建施工，负责检查各种预留孔洞、沟槽和预埋件的位置、尺寸；</w:t>
      </w:r>
    </w:p>
    <w:p>
      <w:pPr>
        <w:pStyle w:val="131"/>
        <w:numPr>
          <w:ilvl w:val="0"/>
          <w:numId w:val="13"/>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建立健全安全、保卫、卫生、消防制度，保证工程顺利进行；</w:t>
      </w:r>
    </w:p>
    <w:p>
      <w:pPr>
        <w:pStyle w:val="131"/>
        <w:numPr>
          <w:ilvl w:val="0"/>
          <w:numId w:val="13"/>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施工用水、电费用；</w:t>
      </w:r>
    </w:p>
    <w:p>
      <w:pPr>
        <w:pStyle w:val="131"/>
        <w:numPr>
          <w:ilvl w:val="0"/>
          <w:numId w:val="13"/>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施工人员的食宿及费用；</w:t>
      </w:r>
    </w:p>
    <w:p>
      <w:pPr>
        <w:pStyle w:val="131"/>
        <w:numPr>
          <w:ilvl w:val="0"/>
          <w:numId w:val="13"/>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安装现场制作所需的设备、工具；</w:t>
      </w:r>
    </w:p>
    <w:p>
      <w:pPr>
        <w:pStyle w:val="131"/>
        <w:numPr>
          <w:ilvl w:val="0"/>
          <w:numId w:val="13"/>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配合业主方、设计院进行工艺调试；</w:t>
      </w:r>
    </w:p>
    <w:p>
      <w:pPr>
        <w:pStyle w:val="131"/>
        <w:numPr>
          <w:ilvl w:val="0"/>
          <w:numId w:val="13"/>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负责人员培训及售后服务；</w:t>
      </w:r>
    </w:p>
    <w:p>
      <w:pPr>
        <w:pStyle w:val="131"/>
        <w:numPr>
          <w:ilvl w:val="0"/>
          <w:numId w:val="13"/>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从生产厂到交货地点的包装、运输；</w:t>
      </w:r>
    </w:p>
    <w:p>
      <w:pPr>
        <w:pStyle w:val="131"/>
        <w:numPr>
          <w:ilvl w:val="0"/>
          <w:numId w:val="13"/>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参与设备验收，提供竣工图与竣工报告等技术文件，及时办理移交手续。</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6、在现场制作的关键部件，必须经委托方检验合格后，方可进行涂漆、组装。合格品才能运抵施工现场。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7、中标方服从</w:t>
      </w:r>
      <w:r>
        <w:rPr>
          <w:rFonts w:hint="eastAsia" w:ascii="宋体" w:hAnsi="宋体" w:eastAsia="宋体" w:cs="宋体"/>
          <w:sz w:val="24"/>
          <w:szCs w:val="24"/>
          <w:lang w:val="en-US" w:eastAsia="zh-CN"/>
        </w:rPr>
        <w:t>招标方</w:t>
      </w:r>
      <w:r>
        <w:rPr>
          <w:rFonts w:hint="eastAsia" w:ascii="宋体" w:hAnsi="宋体" w:eastAsia="宋体" w:cs="宋体"/>
          <w:sz w:val="24"/>
          <w:szCs w:val="24"/>
        </w:rPr>
        <w:t>对现场、安全的管理。</w:t>
      </w:r>
    </w:p>
    <w:p>
      <w:pPr>
        <w:spacing w:line="360" w:lineRule="auto"/>
        <w:ind w:firstLine="480" w:firstLineChars="200"/>
        <w:rPr>
          <w:rFonts w:hint="default" w:ascii="Times New Roman" w:hAnsi="Times New Roman" w:eastAsia="宋体" w:cs="Times New Roman"/>
          <w:bCs/>
          <w:sz w:val="24"/>
          <w:szCs w:val="24"/>
          <w:lang w:val="en-US" w:eastAsia="zh-CN"/>
        </w:rPr>
      </w:pP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br w:type="page"/>
      </w:r>
    </w:p>
    <w:p>
      <w:pPr>
        <w:pStyle w:val="5"/>
        <w:widowControl/>
        <w:spacing w:before="120" w:after="120"/>
        <w:jc w:val="center"/>
        <w:rPr>
          <w:rFonts w:hint="default" w:ascii="Times New Roman" w:hAnsi="Times New Roman" w:eastAsia="黑体" w:cs="Times New Roman"/>
          <w:b w:val="0"/>
          <w:szCs w:val="24"/>
        </w:rPr>
      </w:pPr>
      <w:bookmarkStart w:id="35" w:name="_Toc169605880"/>
      <w:bookmarkStart w:id="36" w:name="_Toc169605881"/>
      <w:r>
        <w:rPr>
          <w:rFonts w:hint="default" w:ascii="Times New Roman" w:hAnsi="Times New Roman" w:eastAsia="黑体" w:cs="Times New Roman"/>
          <w:b w:val="0"/>
          <w:szCs w:val="24"/>
        </w:rPr>
        <w:t>第二章</w:t>
      </w:r>
      <w:r>
        <w:rPr>
          <w:rFonts w:hint="default" w:ascii="Times New Roman" w:hAnsi="Times New Roman" w:eastAsia="黑体" w:cs="Times New Roman"/>
          <w:b w:val="0"/>
          <w:szCs w:val="24"/>
          <w:lang w:val="en-US" w:eastAsia="zh-CN"/>
        </w:rPr>
        <w:t xml:space="preserve">  </w:t>
      </w:r>
      <w:r>
        <w:rPr>
          <w:rFonts w:hint="default" w:ascii="Times New Roman" w:hAnsi="Times New Roman" w:eastAsia="黑体" w:cs="Times New Roman"/>
          <w:b w:val="0"/>
          <w:szCs w:val="24"/>
        </w:rPr>
        <w:t>技术要求</w:t>
      </w:r>
      <w:bookmarkEnd w:id="35"/>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一、特别提示</w:t>
      </w:r>
    </w:p>
    <w:p>
      <w:pPr>
        <w:keepNext w:val="0"/>
        <w:keepLines w:val="0"/>
        <w:pageBreakBefore w:val="0"/>
        <w:widowControl w:val="0"/>
        <w:kinsoku/>
        <w:wordWrap/>
        <w:overflowPunct/>
        <w:topLinePunct w:val="0"/>
        <w:autoSpaceDE/>
        <w:autoSpaceDN/>
        <w:bidi w:val="0"/>
        <w:adjustRightInd/>
        <w:snapToGrid/>
        <w:spacing w:before="146" w:beforeLines="50"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1.本章技术要求，仅对功能、设计、结构、性能、安装和试验检验等方面，提出了最低和一般性的技术要求，并未对一切技术细节作出规定。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2.本技术要求所使用的标准、规范等，如与投标人所执行的标准、规范不一致时，应按高于本技术要求所列的标准、规范执行。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t>4.投标人应根据招投标货物具体要求，提出</w:t>
      </w:r>
      <w:r>
        <w:rPr>
          <w:rFonts w:hint="default" w:ascii="Times New Roman" w:hAnsi="Times New Roman"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6.为避免投标人优势在招标评审时漏项，质保期超出本技术标书要求的，应当在投标文件“技术偏离”中特别注明。</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、投标文件中，针对“特别提示”条款所做的回应，将作为投标方能否中标的重要依据之一。</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二、基本要求</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1.投标人所供的货物，必须符合中国最新版的法律、法规和相关标准、规范的要求，符合项目所在地政府有关特殊要求。</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2.投标人所供货物涉及的专利权技术以及知识产权保护的其它技术等，应保证招标人不因此受到任何侵权指控以及实际损失。</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3.投标人应保证所供货物的先进性、可靠性、经济性和实用性，并为全新货物（或设备）。</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4.投标人应满足招标人提出的各项技术要求，必要时应当免费提供技术承诺或担保。</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5.投标人应保证所供货物（或设备）为中国政府指定或规定的主管部门公布的非淘汰货物（或设备），并尽力提供中国政府指定或规定的主管部门认可的环保型和节能型货物（或设备）。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6.投标人应保证所供货物的完整性和成套性，能保证货物的正常运行、使用。</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7.投标人应对招标人采购的货物所涉及的技术、产能等信息负有保密义务，招标人拥有追究投标人泄密责任的权利；招标人如有需要，投标人应无条件签署保密协议。</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8.投标人预验收时需提供进口设备、部件的报关清关资料。</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9.</w:t>
      </w:r>
      <w:r>
        <w:rPr>
          <w:rFonts w:hint="eastAsia" w:ascii="Times New Roman" w:hAnsi="Times New Roman" w:eastAsia="宋体" w:cs="Times New Roman"/>
          <w:bCs/>
          <w:sz w:val="24"/>
          <w:szCs w:val="24"/>
        </w:rPr>
        <w:t>要求投标方必须在近三年内为国内外厂家提供过同类型涂装生产线</w:t>
      </w:r>
      <w:r>
        <w:rPr>
          <w:rFonts w:hint="eastAsia" w:ascii="Times New Roman" w:hAnsi="Times New Roman" w:eastAsia="宋体" w:cs="Times New Roman"/>
          <w:bCs/>
          <w:sz w:val="24"/>
          <w:szCs w:val="24"/>
          <w:lang w:val="en-US" w:eastAsia="zh-CN"/>
        </w:rPr>
        <w:t>案例</w:t>
      </w:r>
      <w:r>
        <w:rPr>
          <w:rFonts w:hint="eastAsia" w:ascii="Times New Roman" w:hAnsi="Times New Roman" w:eastAsia="宋体" w:cs="Times New Roman"/>
          <w:bCs/>
          <w:sz w:val="24"/>
          <w:szCs w:val="24"/>
        </w:rPr>
        <w:t>。投标文件中必须附有与本招标设备相同或相似技术规格、型号的设备的市场销售业绩清单。</w:t>
      </w:r>
    </w:p>
    <w:p>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rPr>
        <w:t>1</w:t>
      </w:r>
      <w:r>
        <w:rPr>
          <w:rFonts w:hint="eastAsia" w:ascii="Times New Roman" w:hAnsi="Times New Roman" w:eastAsia="宋体" w:cs="Times New Roman"/>
          <w:bCs/>
          <w:sz w:val="24"/>
          <w:szCs w:val="24"/>
          <w:lang w:val="en-US" w:eastAsia="zh-CN"/>
        </w:rPr>
        <w:t>0</w:t>
      </w:r>
      <w:r>
        <w:rPr>
          <w:rFonts w:hint="eastAsia" w:ascii="Times New Roman" w:hAnsi="Times New Roman" w:eastAsia="宋体" w:cs="Times New Roman"/>
          <w:bCs/>
          <w:sz w:val="24"/>
          <w:szCs w:val="24"/>
        </w:rPr>
        <w:t>.投标方应提出涂装线设计的要求，并负责与涂装各自动化系统的集成。</w:t>
      </w:r>
    </w:p>
    <w:p>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rPr>
        <w:t>1</w:t>
      </w:r>
      <w:r>
        <w:rPr>
          <w:rFonts w:hint="eastAsia" w:ascii="Times New Roman" w:hAnsi="Times New Roman" w:eastAsia="宋体" w:cs="Times New Roman"/>
          <w:bCs/>
          <w:sz w:val="24"/>
          <w:szCs w:val="24"/>
          <w:lang w:val="en-US" w:eastAsia="zh-CN"/>
        </w:rPr>
        <w:t>1</w:t>
      </w:r>
      <w:r>
        <w:rPr>
          <w:rFonts w:hint="eastAsia" w:ascii="Times New Roman" w:hAnsi="Times New Roman" w:eastAsia="宋体" w:cs="Times New Roman"/>
          <w:bCs/>
          <w:sz w:val="24"/>
          <w:szCs w:val="24"/>
        </w:rPr>
        <w:t>.投标方积极协助和提供招标方和招标方所委托的工程设计单位有关人员与标的物有关的工程设计资料。</w:t>
      </w:r>
    </w:p>
    <w:p>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rPr>
        <w:t>1</w:t>
      </w:r>
      <w:r>
        <w:rPr>
          <w:rFonts w:hint="eastAsia" w:ascii="Times New Roman" w:hAnsi="Times New Roman" w:eastAsia="宋体" w:cs="Times New Roman"/>
          <w:bCs/>
          <w:sz w:val="24"/>
          <w:szCs w:val="24"/>
          <w:lang w:val="en-US" w:eastAsia="zh-CN"/>
        </w:rPr>
        <w:t>2.</w:t>
      </w:r>
      <w:r>
        <w:rPr>
          <w:rFonts w:hint="eastAsia" w:ascii="Times New Roman" w:hAnsi="Times New Roman" w:eastAsia="宋体" w:cs="Times New Roman"/>
          <w:bCs/>
          <w:sz w:val="24"/>
          <w:szCs w:val="24"/>
        </w:rPr>
        <w:t>投标方所供的设备，必须符合中国最新版的法律、法规和相关标准、规范的要求。</w:t>
      </w:r>
    </w:p>
    <w:p>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rPr>
        <w:t>1</w:t>
      </w:r>
      <w:r>
        <w:rPr>
          <w:rFonts w:hint="eastAsia" w:ascii="Times New Roman" w:hAnsi="Times New Roman" w:eastAsia="宋体" w:cs="Times New Roman"/>
          <w:bCs/>
          <w:sz w:val="24"/>
          <w:szCs w:val="24"/>
          <w:lang w:val="en-US" w:eastAsia="zh-CN"/>
        </w:rPr>
        <w:t>3.</w:t>
      </w:r>
      <w:r>
        <w:rPr>
          <w:rFonts w:hint="eastAsia" w:ascii="Times New Roman" w:hAnsi="Times New Roman" w:eastAsia="宋体" w:cs="Times New Roman"/>
          <w:bCs/>
          <w:sz w:val="24"/>
          <w:szCs w:val="24"/>
        </w:rPr>
        <w:t>投标方所供设备涉及的专利权技术以及知识产权保护其它技术等，应保证招标方不因此受到第三方侵权指控以及实际损失。</w:t>
      </w:r>
    </w:p>
    <w:p>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rPr>
        <w:t>1</w:t>
      </w:r>
      <w:r>
        <w:rPr>
          <w:rFonts w:hint="eastAsia" w:ascii="Times New Roman" w:hAnsi="Times New Roman" w:eastAsia="宋体" w:cs="Times New Roman"/>
          <w:bCs/>
          <w:sz w:val="24"/>
          <w:szCs w:val="24"/>
          <w:lang w:val="en-US" w:eastAsia="zh-CN"/>
        </w:rPr>
        <w:t>4.</w:t>
      </w:r>
      <w:r>
        <w:rPr>
          <w:rFonts w:hint="eastAsia" w:ascii="Times New Roman" w:hAnsi="Times New Roman" w:eastAsia="宋体" w:cs="Times New Roman"/>
          <w:bCs/>
          <w:sz w:val="24"/>
          <w:szCs w:val="24"/>
        </w:rPr>
        <w:t>投标方应满足招标方提出的各项技术要求，并为全新设备。</w:t>
      </w:r>
    </w:p>
    <w:p>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rPr>
        <w:t>1</w:t>
      </w:r>
      <w:r>
        <w:rPr>
          <w:rFonts w:hint="eastAsia" w:ascii="Times New Roman" w:hAnsi="Times New Roman" w:eastAsia="宋体" w:cs="Times New Roman"/>
          <w:bCs/>
          <w:sz w:val="24"/>
          <w:szCs w:val="24"/>
          <w:lang w:val="en-US" w:eastAsia="zh-CN"/>
        </w:rPr>
        <w:t>5.</w:t>
      </w:r>
      <w:r>
        <w:rPr>
          <w:rFonts w:hint="eastAsia" w:ascii="Times New Roman" w:hAnsi="Times New Roman" w:eastAsia="宋体" w:cs="Times New Roman"/>
          <w:bCs/>
          <w:sz w:val="24"/>
          <w:szCs w:val="24"/>
        </w:rPr>
        <w:t>投标方应对招标方采购的设备所涉及的产品、技术、产能等信息负有保密义务。</w:t>
      </w:r>
    </w:p>
    <w:p>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rPr>
        <w:t>1</w:t>
      </w:r>
      <w:r>
        <w:rPr>
          <w:rFonts w:hint="eastAsia" w:ascii="Times New Roman" w:hAnsi="Times New Roman" w:eastAsia="宋体" w:cs="Times New Roman"/>
          <w:bCs/>
          <w:sz w:val="24"/>
          <w:szCs w:val="24"/>
          <w:lang w:val="en-US" w:eastAsia="zh-CN"/>
        </w:rPr>
        <w:t>6.</w:t>
      </w:r>
      <w:r>
        <w:rPr>
          <w:rFonts w:hint="eastAsia" w:ascii="Times New Roman" w:hAnsi="Times New Roman" w:eastAsia="宋体" w:cs="Times New Roman"/>
          <w:bCs/>
          <w:sz w:val="24"/>
          <w:szCs w:val="24"/>
        </w:rPr>
        <w:t>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若有异议，应在投标文件“技术偏离”中予以详细说明。</w:t>
      </w:r>
    </w:p>
    <w:p>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rPr>
        <w:t>1</w:t>
      </w:r>
      <w:r>
        <w:rPr>
          <w:rFonts w:hint="eastAsia" w:ascii="Times New Roman" w:hAnsi="Times New Roman" w:eastAsia="宋体" w:cs="Times New Roman"/>
          <w:bCs/>
          <w:sz w:val="24"/>
          <w:szCs w:val="24"/>
          <w:lang w:val="en-US" w:eastAsia="zh-CN"/>
        </w:rPr>
        <w:t>7.</w:t>
      </w:r>
      <w:r>
        <w:rPr>
          <w:rFonts w:hint="eastAsia" w:ascii="Times New Roman" w:hAnsi="Times New Roman" w:eastAsia="宋体" w:cs="Times New Roman"/>
          <w:bCs/>
          <w:sz w:val="24"/>
          <w:szCs w:val="24"/>
        </w:rPr>
        <w:t>本技术要求所使用的标准、规范等，如与投标方所执行的标准、规范不一致时，应按高于本技术要求所列的标准、规范执行，并在投标文件“技术偏离”中予以说明。</w:t>
      </w:r>
    </w:p>
    <w:p>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rPr>
        <w:t>1</w:t>
      </w:r>
      <w:r>
        <w:rPr>
          <w:rFonts w:hint="eastAsia" w:ascii="Times New Roman" w:hAnsi="Times New Roman" w:eastAsia="宋体" w:cs="Times New Roman"/>
          <w:bCs/>
          <w:sz w:val="24"/>
          <w:szCs w:val="24"/>
          <w:lang w:val="en-US" w:eastAsia="zh-CN"/>
        </w:rPr>
        <w:t>8.</w:t>
      </w:r>
      <w:r>
        <w:rPr>
          <w:rFonts w:hint="eastAsia" w:ascii="Times New Roman" w:hAnsi="Times New Roman" w:eastAsia="宋体" w:cs="Times New Roman"/>
          <w:bCs/>
          <w:sz w:val="24"/>
          <w:szCs w:val="24"/>
        </w:rPr>
        <w:t>投标方认为所供货物必需由招标方配备、解决或提供的其它要求，如设备基础隔振和减振设施、洁净气源等，均应在投标文件中予以充分说明。</w:t>
      </w:r>
    </w:p>
    <w:p>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rPr>
        <w:t>1</w:t>
      </w:r>
      <w:r>
        <w:rPr>
          <w:rFonts w:hint="eastAsia" w:ascii="Times New Roman" w:hAnsi="Times New Roman" w:eastAsia="宋体" w:cs="Times New Roman"/>
          <w:bCs/>
          <w:sz w:val="24"/>
          <w:szCs w:val="24"/>
          <w:lang w:val="en-US" w:eastAsia="zh-CN"/>
        </w:rPr>
        <w:t>9.</w:t>
      </w:r>
      <w:r>
        <w:rPr>
          <w:rFonts w:hint="eastAsia" w:ascii="Times New Roman" w:hAnsi="Times New Roman" w:eastAsia="宋体" w:cs="Times New Roman"/>
          <w:bCs/>
          <w:sz w:val="24"/>
          <w:szCs w:val="24"/>
        </w:rPr>
        <w:t>投标方可以根据自身经验以及对招标文件的理解，写明买方招标设备（或材料）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rPr>
        <w:t>*</w:t>
      </w:r>
      <w:r>
        <w:rPr>
          <w:rFonts w:hint="eastAsia" w:ascii="Times New Roman" w:hAnsi="Times New Roman" w:eastAsia="宋体" w:cs="Times New Roman"/>
          <w:bCs/>
          <w:sz w:val="24"/>
          <w:szCs w:val="24"/>
          <w:lang w:val="en-US" w:eastAsia="zh-CN"/>
        </w:rPr>
        <w:t>20.</w:t>
      </w:r>
      <w:r>
        <w:rPr>
          <w:rFonts w:hint="eastAsia" w:ascii="Times New Roman" w:hAnsi="Times New Roman" w:eastAsia="宋体" w:cs="Times New Roman"/>
          <w:bCs/>
          <w:sz w:val="24"/>
          <w:szCs w:val="24"/>
        </w:rPr>
        <w:t>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rPr>
        <w:t>*</w:t>
      </w:r>
      <w:r>
        <w:rPr>
          <w:rFonts w:hint="eastAsia" w:ascii="Times New Roman" w:hAnsi="Times New Roman" w:eastAsia="宋体" w:cs="Times New Roman"/>
          <w:bCs/>
          <w:sz w:val="24"/>
          <w:szCs w:val="24"/>
          <w:lang w:val="en-US" w:eastAsia="zh-CN"/>
        </w:rPr>
        <w:t>21.</w:t>
      </w:r>
      <w:r>
        <w:rPr>
          <w:rFonts w:hint="eastAsia" w:ascii="Times New Roman" w:hAnsi="Times New Roman" w:eastAsia="宋体" w:cs="Times New Roman"/>
          <w:bCs/>
          <w:sz w:val="24"/>
          <w:szCs w:val="24"/>
        </w:rPr>
        <w:t>在本标书中没有提及到的部分，所有供应商必须保证设备各部分功能齐全并便于使用，这部分价格应该包含在报价中，而不得另行加价。</w:t>
      </w:r>
    </w:p>
    <w:p>
      <w:pPr>
        <w:spacing w:line="360" w:lineRule="auto"/>
        <w:ind w:firstLine="480" w:firstLineChars="200"/>
        <w:rPr>
          <w:rFonts w:hint="default"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22.</w:t>
      </w:r>
      <w:r>
        <w:rPr>
          <w:rFonts w:hint="eastAsia" w:ascii="Times New Roman" w:hAnsi="Times New Roman" w:eastAsia="宋体" w:cs="Times New Roman"/>
          <w:bCs/>
          <w:sz w:val="24"/>
          <w:szCs w:val="24"/>
        </w:rPr>
        <w:t>本招标文件中所有加注“*”的条款为否决项，不允许出现偏离。</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三、技术要求</w:t>
      </w:r>
    </w:p>
    <w:p>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outlineLvl w:val="2"/>
        <w:rPr>
          <w:rFonts w:hAnsiTheme="minorEastAsia"/>
          <w:b/>
          <w:bCs/>
        </w:rPr>
      </w:pPr>
      <w:r>
        <w:rPr>
          <w:rFonts w:hint="default" w:ascii="Times New Roman" w:hAnsi="Times New Roman" w:eastAsia="宋体" w:cs="Times New Roman"/>
          <w:b/>
          <w:bCs/>
          <w:color w:val="000000"/>
          <w:sz w:val="24"/>
          <w:szCs w:val="24"/>
          <w:lang w:val="en-US" w:eastAsia="zh-CN"/>
        </w:rPr>
        <w:t>1.</w:t>
      </w:r>
      <w:r>
        <w:rPr>
          <w:rFonts w:hint="eastAsia" w:ascii="Times New Roman" w:hAnsi="Times New Roman" w:eastAsia="宋体" w:cs="Times New Roman"/>
          <w:b/>
          <w:bCs/>
          <w:color w:val="000000"/>
          <w:sz w:val="24"/>
          <w:szCs w:val="24"/>
          <w:lang w:val="en-US" w:eastAsia="zh-CN"/>
        </w:rPr>
        <w:t>项目总体描述</w:t>
      </w:r>
    </w:p>
    <w:p>
      <w:pPr>
        <w:spacing w:line="360" w:lineRule="auto"/>
        <w:ind w:firstLine="480" w:firstLineChars="200"/>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1</w:t>
      </w:r>
      <w:r>
        <w:rPr>
          <w:rFonts w:hint="eastAsia" w:ascii="Times New Roman" w:hAnsi="Times New Roman" w:eastAsia="宋体" w:cs="Times New Roman"/>
          <w:bCs/>
          <w:sz w:val="24"/>
          <w:szCs w:val="24"/>
        </w:rPr>
        <w:t>.1项目范围：</w:t>
      </w:r>
    </w:p>
    <w:p>
      <w:pPr>
        <w:spacing w:line="360" w:lineRule="auto"/>
        <w:ind w:firstLine="480" w:firstLineChars="200"/>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招标方</w:t>
      </w:r>
      <w:r>
        <w:rPr>
          <w:rFonts w:hint="eastAsia" w:ascii="Times New Roman" w:hAnsi="Times New Roman" w:eastAsia="宋体" w:cs="Times New Roman"/>
          <w:bCs/>
          <w:sz w:val="24"/>
          <w:szCs w:val="24"/>
          <w:lang w:val="en-US" w:eastAsia="zh-CN"/>
        </w:rPr>
        <w:t>负责喷蜡设备使用的控制器及电气改造和安装等内容；增加喷蜡设备完成后，可执行车门内腔喷蜡工艺，提高车门内腔的防腐性能，增加车门的使用寿命</w:t>
      </w:r>
      <w:r>
        <w:rPr>
          <w:rFonts w:hint="eastAsia" w:ascii="Times New Roman" w:hAnsi="Times New Roman" w:eastAsia="宋体" w:cs="Times New Roman"/>
          <w:bCs/>
          <w:sz w:val="24"/>
          <w:szCs w:val="24"/>
        </w:rPr>
        <w:t>。投标方应向招标方提供</w:t>
      </w:r>
      <w:r>
        <w:rPr>
          <w:rFonts w:hint="eastAsia" w:ascii="Times New Roman" w:hAnsi="Times New Roman" w:eastAsia="宋体" w:cs="Times New Roman"/>
          <w:bCs/>
          <w:sz w:val="24"/>
          <w:szCs w:val="24"/>
          <w:lang w:val="en-US" w:eastAsia="zh-CN"/>
        </w:rPr>
        <w:t>完整的设计方案</w:t>
      </w:r>
      <w:r>
        <w:rPr>
          <w:rFonts w:hint="eastAsia" w:ascii="Times New Roman" w:hAnsi="Times New Roman" w:eastAsia="宋体" w:cs="Times New Roman"/>
          <w:bCs/>
          <w:sz w:val="24"/>
          <w:szCs w:val="24"/>
        </w:rPr>
        <w:t>和项目管理，并负责项目设计、制造、运输、存储、安装调试、培训、试生产、生产陪伴及售后服务、全过程项目管理等工作，为交钥匙工程。</w:t>
      </w:r>
    </w:p>
    <w:p>
      <w:pPr>
        <w:spacing w:line="360" w:lineRule="auto"/>
        <w:ind w:firstLine="480" w:firstLineChars="200"/>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1</w:t>
      </w:r>
      <w:r>
        <w:rPr>
          <w:rFonts w:hint="eastAsia" w:ascii="Times New Roman" w:hAnsi="Times New Roman" w:eastAsia="宋体" w:cs="Times New Roman"/>
          <w:bCs/>
          <w:sz w:val="24"/>
          <w:szCs w:val="24"/>
        </w:rPr>
        <w:t>.2设计技术参数及说明：</w:t>
      </w:r>
    </w:p>
    <w:p>
      <w:pPr>
        <w:spacing w:line="360" w:lineRule="auto"/>
        <w:ind w:firstLine="480" w:firstLineChars="200"/>
        <w:rPr>
          <w:rFonts w:hint="eastAsia" w:ascii="Times New Roman" w:hAnsi="Times New Roman" w:eastAsia="宋体" w:cs="Times New Roman"/>
          <w:bCs/>
          <w:sz w:val="24"/>
          <w:szCs w:val="24"/>
          <w:highlight w:val="yellow"/>
        </w:rPr>
      </w:pPr>
      <w:r>
        <w:rPr>
          <w:rFonts w:hint="eastAsia" w:ascii="Times New Roman" w:hAnsi="Times New Roman" w:eastAsia="宋体" w:cs="Times New Roman"/>
          <w:bCs/>
          <w:sz w:val="24"/>
          <w:szCs w:val="24"/>
          <w:lang w:val="en-US" w:eastAsia="zh-CN"/>
        </w:rPr>
        <w:t>济南商用车汕德卡驾驶室车门内腔喷蜡项目主要</w:t>
      </w:r>
      <w:r>
        <w:rPr>
          <w:rFonts w:hint="eastAsia" w:ascii="Times New Roman" w:hAnsi="Times New Roman" w:eastAsia="宋体" w:cs="Times New Roman"/>
          <w:bCs/>
          <w:sz w:val="24"/>
          <w:szCs w:val="24"/>
          <w:highlight w:val="none"/>
          <w:lang w:val="en-US" w:eastAsia="zh-CN"/>
        </w:rPr>
        <w:t>承担</w:t>
      </w:r>
      <w:r>
        <w:rPr>
          <w:rFonts w:hint="eastAsia" w:ascii="Times New Roman" w:hAnsi="Times New Roman" w:eastAsia="宋体" w:cs="Times New Roman"/>
          <w:bCs/>
          <w:sz w:val="24"/>
          <w:szCs w:val="24"/>
          <w:lang w:val="en-US" w:eastAsia="zh-CN"/>
        </w:rPr>
        <w:t>车门内腔喷蜡工艺</w:t>
      </w: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val="en-US" w:eastAsia="zh-CN"/>
        </w:rPr>
        <w:t>驾驶室到位后，工人将喷头部位对准车门外板及内板夹缝位置，喷嘴距离夹缝部位30cm-40cm之间，由车门前部至后部匀速喷涂，时间控制在1S-2S，再往返喷涂一遍即可，要求无流淌、漏喷，无堵塞。</w:t>
      </w:r>
    </w:p>
    <w:p>
      <w:pPr>
        <w:spacing w:line="360" w:lineRule="auto"/>
        <w:ind w:firstLine="480" w:firstLineChars="200"/>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1</w:t>
      </w:r>
      <w:r>
        <w:rPr>
          <w:rFonts w:hint="eastAsia" w:ascii="Times New Roman" w:hAnsi="Times New Roman" w:eastAsia="宋体" w:cs="Times New Roman"/>
          <w:bCs/>
          <w:sz w:val="24"/>
          <w:szCs w:val="24"/>
        </w:rPr>
        <w:t>.</w:t>
      </w:r>
      <w:r>
        <w:rPr>
          <w:rFonts w:hint="eastAsia" w:ascii="Times New Roman" w:hAnsi="Times New Roman" w:eastAsia="宋体" w:cs="Times New Roman"/>
          <w:bCs/>
          <w:sz w:val="24"/>
          <w:szCs w:val="24"/>
          <w:lang w:val="en-US" w:eastAsia="zh-CN"/>
        </w:rPr>
        <w:t>3</w:t>
      </w:r>
      <w:r>
        <w:rPr>
          <w:rFonts w:hint="eastAsia" w:ascii="Times New Roman" w:hAnsi="Times New Roman" w:eastAsia="宋体" w:cs="Times New Roman"/>
          <w:bCs/>
          <w:sz w:val="24"/>
          <w:szCs w:val="24"/>
        </w:rPr>
        <w:t>项目主要建设内容：</w:t>
      </w:r>
    </w:p>
    <w:p>
      <w:pPr>
        <w:spacing w:line="360" w:lineRule="auto"/>
        <w:ind w:firstLine="480" w:firstLineChars="200"/>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项目主要建设内容包含以下方面：</w:t>
      </w:r>
    </w:p>
    <w:p>
      <w:pPr>
        <w:spacing w:line="360" w:lineRule="auto"/>
        <w:ind w:firstLine="480" w:firstLineChars="200"/>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拟在涂装一分线驾驶室线下线位置增加喷蜡设备，及喷蜡设备使用的控制器及电气改造和安装等内容，设备安装完成后，可实施车门内腔喷蜡工艺，提高车门内腔的防腐性能，增加车门的使用寿命</w:t>
      </w:r>
      <w:r>
        <w:rPr>
          <w:rFonts w:hint="eastAsia" w:ascii="Times New Roman" w:hAnsi="Times New Roman" w:eastAsia="宋体" w:cs="Times New Roman"/>
          <w:bCs/>
          <w:sz w:val="24"/>
          <w:szCs w:val="24"/>
        </w:rPr>
        <w:t>。</w:t>
      </w:r>
    </w:p>
    <w:p>
      <w:pPr>
        <w:spacing w:line="360" w:lineRule="auto"/>
        <w:ind w:firstLine="480" w:firstLineChars="200"/>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2</w:t>
      </w:r>
      <w:r>
        <w:rPr>
          <w:rFonts w:hint="eastAsia" w:ascii="Times New Roman" w:hAnsi="Times New Roman" w:eastAsia="宋体" w:cs="Times New Roman"/>
          <w:bCs/>
          <w:sz w:val="24"/>
          <w:szCs w:val="24"/>
        </w:rPr>
        <w:t>、项目详细</w:t>
      </w:r>
      <w:r>
        <w:rPr>
          <w:rFonts w:hint="eastAsia" w:ascii="Times New Roman" w:hAnsi="Times New Roman" w:eastAsia="宋体" w:cs="Times New Roman"/>
          <w:bCs/>
          <w:sz w:val="24"/>
          <w:szCs w:val="24"/>
          <w:lang w:val="en-US" w:eastAsia="zh-CN"/>
        </w:rPr>
        <w:t>实施方案</w:t>
      </w:r>
      <w:r>
        <w:rPr>
          <w:rFonts w:hint="eastAsia" w:ascii="Times New Roman" w:hAnsi="Times New Roman" w:eastAsia="宋体" w:cs="Times New Roman"/>
          <w:bCs/>
          <w:sz w:val="24"/>
          <w:szCs w:val="24"/>
        </w:rPr>
        <w:t>及内容</w:t>
      </w:r>
      <w:r>
        <w:rPr>
          <w:rFonts w:hint="eastAsia" w:ascii="Times New Roman" w:hAnsi="Times New Roman" w:eastAsia="宋体" w:cs="Times New Roman"/>
          <w:bCs/>
          <w:sz w:val="24"/>
          <w:szCs w:val="24"/>
        </w:rPr>
        <mc:AlternateContent>
          <mc:Choice Requires="wps">
            <w:drawing>
              <wp:anchor distT="0" distB="0" distL="114300" distR="114300" simplePos="0" relativeHeight="251660288" behindDoc="0" locked="0" layoutInCell="1" allowOverlap="1">
                <wp:simplePos x="0" y="0"/>
                <wp:positionH relativeFrom="column">
                  <wp:posOffset>1766570</wp:posOffset>
                </wp:positionH>
                <wp:positionV relativeFrom="paragraph">
                  <wp:posOffset>4641850</wp:posOffset>
                </wp:positionV>
                <wp:extent cx="221615" cy="985520"/>
                <wp:effectExtent l="15240" t="8890" r="29845" b="15240"/>
                <wp:wrapNone/>
                <wp:docPr id="14" name="上下箭头 14"/>
                <wp:cNvGraphicFramePr/>
                <a:graphic xmlns:a="http://schemas.openxmlformats.org/drawingml/2006/main">
                  <a:graphicData uri="http://schemas.microsoft.com/office/word/2010/wordprocessingShape">
                    <wps:wsp>
                      <wps:cNvSpPr/>
                      <wps:spPr>
                        <a:xfrm>
                          <a:off x="2545715" y="6721475"/>
                          <a:ext cx="221615" cy="985520"/>
                        </a:xfrm>
                        <a:prstGeom prst="upDownArrow">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0" type="#_x0000_t70" style="position:absolute;left:0pt;margin-left:139.1pt;margin-top:365.5pt;height:77.6pt;width:17.45pt;z-index:251660288;v-text-anchor:middle;mso-width-relative:page;mso-height-relative:page;" fillcolor="#FF0000" filled="t" stroked="t" coordsize="21600,21600" o:gfxdata="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TTHEh2gAAAAsBAAAP&#10;AAAAAAAAAAEAIAAAACIAAABkcnMvZG93bnJldi54bWxQSwECFAAUAAAACACHTuJAW184A4gCAAAO&#10;BQAADgAAAAAAAAABACAAAAApAQAAZHJzL2Uyb0RvYy54bWxQSwUGAAAAAAYABgBZAQAAIwYAAAAA&#10;" adj="5400,2428">
                <v:fill on="t" focussize="0,0"/>
                <v:stroke weight="1pt" color="#FF0000 [2404]" miterlimit="8" joinstyle="miter"/>
                <v:imagedata o:title=""/>
                <o:lock v:ext="edit" aspectratio="f"/>
              </v:shape>
            </w:pict>
          </mc:Fallback>
        </mc:AlternateContent>
      </w:r>
      <w:r>
        <w:rPr>
          <w:rFonts w:hint="eastAsia" w:ascii="Times New Roman" w:hAnsi="Times New Roman" w:eastAsia="宋体" w:cs="Times New Roman"/>
          <w:bCs/>
          <w:sz w:val="24"/>
          <w:szCs w:val="24"/>
        </w:rPr>
        <mc:AlternateContent>
          <mc:Choice Requires="wps">
            <w:drawing>
              <wp:anchor distT="0" distB="0" distL="114300" distR="114300" simplePos="0" relativeHeight="251659264" behindDoc="0" locked="0" layoutInCell="1" allowOverlap="1">
                <wp:simplePos x="0" y="0"/>
                <wp:positionH relativeFrom="column">
                  <wp:posOffset>1617345</wp:posOffset>
                </wp:positionH>
                <wp:positionV relativeFrom="paragraph">
                  <wp:posOffset>4845050</wp:posOffset>
                </wp:positionV>
                <wp:extent cx="524510" cy="661035"/>
                <wp:effectExtent l="6350" t="6350" r="21590" b="18415"/>
                <wp:wrapNone/>
                <wp:docPr id="17" name="左弧形箭头 17"/>
                <wp:cNvGraphicFramePr/>
                <a:graphic xmlns:a="http://schemas.openxmlformats.org/drawingml/2006/main">
                  <a:graphicData uri="http://schemas.microsoft.com/office/word/2010/wordprocessingShape">
                    <wps:wsp>
                      <wps:cNvSpPr/>
                      <wps:spPr>
                        <a:xfrm>
                          <a:off x="3302000" y="7320915"/>
                          <a:ext cx="524510" cy="661035"/>
                        </a:xfrm>
                        <a:prstGeom prst="curvedRightArrow">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2" type="#_x0000_t102" style="position:absolute;left:0pt;margin-left:127.35pt;margin-top:381.5pt;height:52.05pt;width:41.3pt;z-index:251659264;v-text-anchor:middle;mso-width-relative:page;mso-height-relative:page;" fillcolor="#FF0000" filled="t" stroked="t" coordsize="21600,21600" o:gfxdata="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mZPXr&#10;3AAAAAsBAAAPAAAAAAAAAAEAIAAAACIAAABkcnMvZG93bnJldi54bWxQSwECFAAUAAAACACHTuJA&#10;7nIUfo8CAAAWBQAADgAAAAAAAAABACAAAAArAQAAZHJzL2Uyb0RvYy54bWxQSwUGAAAAAAYABgBZ&#10;AQAALAYAAAAA&#10;" adj="13031,19458,16200">
                <v:fill on="t" focussize="0,0"/>
                <v:stroke weight="1pt" color="#FF0000 [2404]" miterlimit="8" joinstyle="miter"/>
                <v:imagedata o:title=""/>
                <o:lock v:ext="edit" aspectratio="f"/>
              </v:shape>
            </w:pict>
          </mc:Fallback>
        </mc:AlternateContent>
      </w:r>
    </w:p>
    <w:p>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2</w:t>
      </w:r>
      <w:r>
        <w:rPr>
          <w:rFonts w:hint="eastAsia" w:ascii="Times New Roman" w:hAnsi="Times New Roman" w:eastAsia="宋体" w:cs="Times New Roman"/>
          <w:bCs/>
          <w:sz w:val="24"/>
          <w:szCs w:val="24"/>
        </w:rPr>
        <w:t>.1</w:t>
      </w:r>
      <w:r>
        <w:rPr>
          <w:rFonts w:hint="eastAsia" w:ascii="Times New Roman" w:hAnsi="Times New Roman" w:eastAsia="宋体" w:cs="Times New Roman"/>
          <w:bCs/>
          <w:sz w:val="24"/>
          <w:szCs w:val="24"/>
          <w:lang w:val="en-US" w:eastAsia="zh-CN"/>
        </w:rPr>
        <w:t xml:space="preserve"> 拟在下图后红色线框位置增加供蜡、加热、泵等设备：</w:t>
      </w:r>
    </w:p>
    <w:p>
      <w:pPr>
        <w:spacing w:line="360" w:lineRule="auto"/>
        <w:jc w:val="center"/>
      </w:pPr>
      <w:r>
        <w:rPr>
          <w:rFonts w:hint="eastAsia"/>
          <w:sz w:val="30"/>
          <w:szCs w:val="30"/>
        </w:rPr>
        <w:drawing>
          <wp:inline distT="0" distB="0" distL="114300" distR="114300">
            <wp:extent cx="2197100" cy="1800225"/>
            <wp:effectExtent l="0" t="0" r="12700" b="9525"/>
            <wp:docPr id="31" name="图片 1" descr="847de3dc110f08e82c8eeb73b19ddf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847de3dc110f08e82c8eeb73b19ddfd2"/>
                    <pic:cNvPicPr>
                      <a:picLocks noChangeAspect="1"/>
                    </pic:cNvPicPr>
                  </pic:nvPicPr>
                  <pic:blipFill>
                    <a:blip r:embed="rId45"/>
                    <a:stretch>
                      <a:fillRect/>
                    </a:stretch>
                  </pic:blipFill>
                  <pic:spPr>
                    <a:xfrm>
                      <a:off x="0" y="0"/>
                      <a:ext cx="2197100" cy="1800225"/>
                    </a:xfrm>
                    <a:prstGeom prst="rect">
                      <a:avLst/>
                    </a:prstGeom>
                    <a:noFill/>
                    <a:ln>
                      <a:noFill/>
                    </a:ln>
                  </pic:spPr>
                </pic:pic>
              </a:graphicData>
            </a:graphic>
          </wp:inline>
        </w:drawing>
      </w:r>
      <w:r>
        <w:rPr>
          <w:rFonts w:hint="eastAsia"/>
          <w:sz w:val="30"/>
          <w:szCs w:val="30"/>
        </w:rPr>
        <w:t xml:space="preserve"> </w:t>
      </w:r>
      <w:r>
        <w:drawing>
          <wp:inline distT="0" distB="0" distL="114300" distR="114300">
            <wp:extent cx="2424430" cy="1800225"/>
            <wp:effectExtent l="0" t="0" r="13970" b="952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6"/>
                    <a:stretch>
                      <a:fillRect/>
                    </a:stretch>
                  </pic:blipFill>
                  <pic:spPr>
                    <a:xfrm>
                      <a:off x="0" y="0"/>
                      <a:ext cx="2424430" cy="1800225"/>
                    </a:xfrm>
                    <a:prstGeom prst="rect">
                      <a:avLst/>
                    </a:prstGeom>
                    <a:noFill/>
                    <a:ln>
                      <a:noFill/>
                    </a:ln>
                  </pic:spPr>
                </pic:pic>
              </a:graphicData>
            </a:graphic>
          </wp:inline>
        </w:drawing>
      </w:r>
    </w:p>
    <w:p>
      <w:p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2.2喷蜡间外部需预留2m管路，内部管路布局如红色箭头所示，左侧管路大约需要6.2m，右侧管路大约需要11.7m（具体管路长度以现场实际为准）：</w:t>
      </w:r>
    </w:p>
    <w:p>
      <w:pPr>
        <w:spacing w:line="360" w:lineRule="auto"/>
        <w:jc w:val="center"/>
      </w:pPr>
      <w:r>
        <w:drawing>
          <wp:inline distT="0" distB="0" distL="114300" distR="114300">
            <wp:extent cx="2392680" cy="1800225"/>
            <wp:effectExtent l="0" t="0" r="7620" b="952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7"/>
                    <a:stretch>
                      <a:fillRect/>
                    </a:stretch>
                  </pic:blipFill>
                  <pic:spPr>
                    <a:xfrm>
                      <a:off x="0" y="0"/>
                      <a:ext cx="2392680" cy="1800225"/>
                    </a:xfrm>
                    <a:prstGeom prst="rect">
                      <a:avLst/>
                    </a:prstGeom>
                    <a:noFill/>
                    <a:ln>
                      <a:noFill/>
                    </a:ln>
                  </pic:spPr>
                </pic:pic>
              </a:graphicData>
            </a:graphic>
          </wp:inline>
        </w:drawing>
      </w:r>
      <w:r>
        <w:rPr>
          <w:rFonts w:hint="eastAsia"/>
        </w:rPr>
        <w:t xml:space="preserve"> </w:t>
      </w:r>
      <w:r>
        <w:drawing>
          <wp:inline distT="0" distB="0" distL="114300" distR="114300">
            <wp:extent cx="2407920" cy="1800225"/>
            <wp:effectExtent l="0" t="0" r="11430" b="952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8"/>
                    <a:stretch>
                      <a:fillRect/>
                    </a:stretch>
                  </pic:blipFill>
                  <pic:spPr>
                    <a:xfrm>
                      <a:off x="0" y="0"/>
                      <a:ext cx="2407920" cy="1800225"/>
                    </a:xfrm>
                    <a:prstGeom prst="rect">
                      <a:avLst/>
                    </a:prstGeom>
                    <a:noFill/>
                    <a:ln>
                      <a:noFill/>
                    </a:ln>
                  </pic:spPr>
                </pic:pic>
              </a:graphicData>
            </a:graphic>
          </wp:inline>
        </w:drawing>
      </w:r>
    </w:p>
    <w:p>
      <w:pPr>
        <w:spacing w:line="360" w:lineRule="auto"/>
        <w:jc w:val="center"/>
      </w:pPr>
      <w:r>
        <w:drawing>
          <wp:inline distT="0" distB="0" distL="114300" distR="114300">
            <wp:extent cx="2434590" cy="1800225"/>
            <wp:effectExtent l="0" t="0" r="3810" b="952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9"/>
                    <a:stretch>
                      <a:fillRect/>
                    </a:stretch>
                  </pic:blipFill>
                  <pic:spPr>
                    <a:xfrm>
                      <a:off x="0" y="0"/>
                      <a:ext cx="2434590" cy="1800225"/>
                    </a:xfrm>
                    <a:prstGeom prst="rect">
                      <a:avLst/>
                    </a:prstGeom>
                    <a:noFill/>
                    <a:ln>
                      <a:noFill/>
                    </a:ln>
                  </pic:spPr>
                </pic:pic>
              </a:graphicData>
            </a:graphic>
          </wp:inline>
        </w:drawing>
      </w:r>
    </w:p>
    <w:p>
      <w:pPr>
        <w:numPr>
          <w:ilvl w:val="0"/>
          <w:numId w:val="0"/>
        </w:numPr>
        <w:spacing w:line="360" w:lineRule="auto"/>
        <w:ind w:firstLine="480" w:firstLineChars="200"/>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2.3喷蜡间左、右两侧增加喷蜡枪的悬挂装置，便于操作人员对喷蜡枪的取用和悬挂：</w:t>
      </w:r>
    </w:p>
    <w:p>
      <w:pPr>
        <w:pStyle w:val="2"/>
        <w:keepNext w:val="0"/>
        <w:keepLines w:val="0"/>
        <w:pageBreakBefore w:val="0"/>
        <w:widowControl w:val="0"/>
        <w:kinsoku/>
        <w:wordWrap/>
        <w:overflowPunct/>
        <w:topLinePunct w:val="0"/>
        <w:autoSpaceDE/>
        <w:autoSpaceDN/>
        <w:bidi w:val="0"/>
        <w:adjustRightInd w:val="0"/>
        <w:snapToGrid/>
        <w:spacing w:line="360" w:lineRule="auto"/>
        <w:jc w:val="center"/>
        <w:textAlignment w:val="baseline"/>
        <w:rPr>
          <w:rFonts w:hint="default" w:ascii="Times New Roman" w:hAnsi="Times New Roman" w:eastAsia="宋体" w:cs="Times New Roman"/>
          <w:bCs/>
          <w:kern w:val="2"/>
          <w:sz w:val="24"/>
          <w:szCs w:val="24"/>
          <w:lang w:val="en-US" w:eastAsia="zh-CN" w:bidi="ar-SA"/>
        </w:rPr>
      </w:pPr>
      <w:r>
        <w:drawing>
          <wp:inline distT="0" distB="0" distL="114300" distR="114300">
            <wp:extent cx="2436495" cy="1800225"/>
            <wp:effectExtent l="0" t="0" r="1905" b="952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50"/>
                    <a:stretch>
                      <a:fillRect/>
                    </a:stretch>
                  </pic:blipFill>
                  <pic:spPr>
                    <a:xfrm>
                      <a:off x="0" y="0"/>
                      <a:ext cx="2436495" cy="1800225"/>
                    </a:xfrm>
                    <a:prstGeom prst="rect">
                      <a:avLst/>
                    </a:prstGeom>
                    <a:noFill/>
                    <a:ln>
                      <a:noFill/>
                    </a:ln>
                  </pic:spPr>
                </pic:pic>
              </a:graphicData>
            </a:graphic>
          </wp:inline>
        </w:drawing>
      </w:r>
    </w:p>
    <w:p>
      <w:pPr>
        <w:numPr>
          <w:ilvl w:val="0"/>
          <w:numId w:val="0"/>
        </w:numPr>
        <w:spacing w:line="360" w:lineRule="auto"/>
        <w:rPr>
          <w:sz w:val="30"/>
          <w:szCs w:val="30"/>
        </w:rPr>
      </w:pPr>
      <w:r>
        <w:rPr>
          <w:rFonts w:hint="eastAsia" w:ascii="Times New Roman" w:hAnsi="Times New Roman" w:cs="Times New Roman"/>
          <w:lang w:val="en-US" w:eastAsia="zh-CN"/>
        </w:rPr>
        <w:t xml:space="preserve">    </w:t>
      </w:r>
      <w:r>
        <w:rPr>
          <w:rFonts w:hint="eastAsia" w:ascii="Times New Roman" w:hAnsi="Times New Roman" w:eastAsia="宋体" w:cs="Times New Roman"/>
          <w:bCs/>
          <w:sz w:val="24"/>
          <w:szCs w:val="24"/>
          <w:lang w:val="en-US" w:eastAsia="zh-CN"/>
        </w:rPr>
        <w:t>2.4地面格栅上铺接蜡盒（左右对称），防止蜡污染：</w:t>
      </w:r>
    </w:p>
    <w:p>
      <w:pPr>
        <w:jc w:val="center"/>
        <w:rPr>
          <w:rFonts w:hint="default" w:ascii="Times New Roman" w:hAnsi="Times New Roman" w:cs="Times New Roman"/>
        </w:rPr>
      </w:pPr>
      <w:r>
        <w:drawing>
          <wp:inline distT="0" distB="0" distL="114300" distR="114300">
            <wp:extent cx="2385695" cy="1800225"/>
            <wp:effectExtent l="0" t="0" r="14605" b="9525"/>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51"/>
                    <a:stretch>
                      <a:fillRect/>
                    </a:stretch>
                  </pic:blipFill>
                  <pic:spPr>
                    <a:xfrm>
                      <a:off x="0" y="0"/>
                      <a:ext cx="2385695" cy="1800225"/>
                    </a:xfrm>
                    <a:prstGeom prst="rect">
                      <a:avLst/>
                    </a:prstGeom>
                    <a:noFill/>
                    <a:ln>
                      <a:noFill/>
                    </a:ln>
                  </pic:spPr>
                </pic:pic>
              </a:graphicData>
            </a:graphic>
          </wp:inline>
        </w:drawing>
      </w:r>
    </w:p>
    <w:p>
      <w:pPr>
        <w:pStyle w:val="20"/>
        <w:rPr>
          <w:rFonts w:hint="default" w:ascii="Times New Roman" w:hAnsi="Times New Roman" w:cs="Times New Roman"/>
        </w:rPr>
      </w:pPr>
    </w:p>
    <w:p>
      <w:pPr>
        <w:keepNext/>
        <w:keepLines/>
        <w:jc w:val="center"/>
        <w:outlineLvl w:val="1"/>
        <w:rPr>
          <w:rFonts w:hint="default" w:ascii="Times New Roman" w:hAnsi="Times New Roman" w:eastAsia="宋体" w:cs="Times New Roman"/>
          <w:b/>
          <w:bCs/>
          <w:kern w:val="44"/>
          <w:sz w:val="28"/>
          <w:szCs w:val="28"/>
        </w:rPr>
      </w:pPr>
      <w:r>
        <w:rPr>
          <w:rFonts w:hint="default" w:ascii="Times New Roman" w:hAnsi="Times New Roman" w:eastAsia="宋体" w:cs="Times New Roman"/>
          <w:b/>
          <w:bCs/>
          <w:kern w:val="44"/>
          <w:sz w:val="28"/>
          <w:szCs w:val="28"/>
        </w:rPr>
        <w:t>第三章</w:t>
      </w:r>
      <w:r>
        <w:rPr>
          <w:rFonts w:hint="default" w:ascii="Times New Roman" w:hAnsi="Times New Roman" w:eastAsia="宋体" w:cs="Times New Roman"/>
          <w:b/>
          <w:bCs/>
          <w:kern w:val="44"/>
          <w:sz w:val="28"/>
          <w:szCs w:val="28"/>
          <w:lang w:val="en-US" w:eastAsia="zh-CN"/>
        </w:rPr>
        <w:t xml:space="preserve">  </w:t>
      </w:r>
      <w:r>
        <w:rPr>
          <w:rFonts w:hint="default" w:ascii="Times New Roman" w:hAnsi="Times New Roman" w:eastAsia="宋体" w:cs="Times New Roman"/>
          <w:b/>
          <w:bCs/>
          <w:kern w:val="44"/>
          <w:sz w:val="28"/>
          <w:szCs w:val="28"/>
        </w:rPr>
        <w:t>供货范围及供货方式</w:t>
      </w:r>
      <w:bookmarkEnd w:id="36"/>
    </w:p>
    <w:p>
      <w:pPr>
        <w:rPr>
          <w:rFonts w:hint="default" w:ascii="Times New Roman" w:hAnsi="Times New Roman" w:cs="Times New Roman"/>
        </w:rPr>
      </w:pPr>
    </w:p>
    <w:p>
      <w:pPr>
        <w:keepNext/>
        <w:keepLines/>
        <w:spacing w:line="360" w:lineRule="auto"/>
        <w:jc w:val="center"/>
        <w:outlineLvl w:val="2"/>
        <w:rPr>
          <w:rFonts w:hint="default" w:ascii="Times New Roman" w:hAnsi="Times New Roman" w:eastAsia="宋体" w:cs="Times New Roman"/>
          <w:b/>
          <w:bCs/>
          <w:sz w:val="24"/>
          <w:szCs w:val="32"/>
          <w:highlight w:val="none"/>
        </w:rPr>
      </w:pPr>
      <w:bookmarkStart w:id="37" w:name="_Toc169605882"/>
      <w:r>
        <w:rPr>
          <w:rFonts w:hint="default" w:ascii="Times New Roman" w:hAnsi="Times New Roman" w:eastAsia="宋体" w:cs="Times New Roman"/>
          <w:b/>
          <w:bCs/>
          <w:sz w:val="24"/>
          <w:szCs w:val="32"/>
          <w:highlight w:val="none"/>
        </w:rPr>
        <w:t>第一节  供货范围</w:t>
      </w:r>
      <w:bookmarkEnd w:id="37"/>
    </w:p>
    <w:p>
      <w:pPr>
        <w:pStyle w:val="131"/>
        <w:numPr>
          <w:ilvl w:val="0"/>
          <w:numId w:val="14"/>
        </w:numPr>
        <w:spacing w:line="360" w:lineRule="auto"/>
        <w:ind w:firstLineChars="0"/>
        <w:outlineLvl w:val="3"/>
        <w:rPr>
          <w:rFonts w:hint="default" w:ascii="Times New Roman" w:hAnsi="Times New Roman" w:eastAsia="宋体" w:cs="Times New Roman"/>
          <w:color w:val="000000"/>
          <w:sz w:val="24"/>
          <w:szCs w:val="24"/>
          <w:highlight w:val="none"/>
          <w:lang w:bidi="ar"/>
        </w:rPr>
      </w:pPr>
      <w:r>
        <w:rPr>
          <w:rFonts w:hint="default" w:ascii="Times New Roman" w:hAnsi="Times New Roman" w:eastAsia="宋体" w:cs="Times New Roman"/>
          <w:b/>
          <w:bCs/>
          <w:sz w:val="24"/>
          <w:szCs w:val="24"/>
          <w:highlight w:val="none"/>
        </w:rPr>
        <w:t>供货范围</w:t>
      </w:r>
    </w:p>
    <w:tbl>
      <w:tblPr>
        <w:tblStyle w:val="41"/>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3893"/>
        <w:gridCol w:w="992"/>
        <w:gridCol w:w="1984"/>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snapToGrid w:val="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序号</w:t>
            </w:r>
          </w:p>
        </w:tc>
        <w:tc>
          <w:tcPr>
            <w:tcW w:w="3893" w:type="dxa"/>
            <w:vAlign w:val="center"/>
          </w:tcPr>
          <w:p>
            <w:pPr>
              <w:snapToGrid w:val="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名称</w:t>
            </w:r>
          </w:p>
        </w:tc>
        <w:tc>
          <w:tcPr>
            <w:tcW w:w="992" w:type="dxa"/>
            <w:vAlign w:val="center"/>
          </w:tcPr>
          <w:p>
            <w:pPr>
              <w:snapToGrid w:val="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单位</w:t>
            </w:r>
          </w:p>
        </w:tc>
        <w:tc>
          <w:tcPr>
            <w:tcW w:w="1984" w:type="dxa"/>
            <w:vAlign w:val="center"/>
          </w:tcPr>
          <w:p>
            <w:pPr>
              <w:snapToGrid w:val="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数量</w:t>
            </w:r>
          </w:p>
        </w:tc>
        <w:tc>
          <w:tcPr>
            <w:tcW w:w="1277" w:type="dxa"/>
            <w:vAlign w:val="center"/>
          </w:tcPr>
          <w:p>
            <w:pPr>
              <w:snapToGrid w:val="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安装地点/服务对象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780" w:type="dxa"/>
            <w:vAlign w:val="center"/>
          </w:tcPr>
          <w:p>
            <w:pPr>
              <w:jc w:val="center"/>
              <w:textAlignment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sz w:val="24"/>
                <w:szCs w:val="24"/>
                <w:highlight w:val="none"/>
              </w:rPr>
              <w:t>1</w:t>
            </w:r>
          </w:p>
        </w:tc>
        <w:tc>
          <w:tcPr>
            <w:tcW w:w="3893" w:type="dxa"/>
            <w:shd w:val="clear" w:color="auto" w:fill="auto"/>
            <w:vAlign w:val="center"/>
          </w:tcPr>
          <w:p>
            <w:pPr>
              <w:overflowPunct w:val="0"/>
              <w:snapToGrid w:val="0"/>
              <w:spacing w:line="400" w:lineRule="exact"/>
              <w:jc w:val="center"/>
              <w:rPr>
                <w:rFonts w:hint="eastAsia" w:eastAsia="仿宋" w:asciiTheme="minorHAnsi" w:hAnsiTheme="minorHAnsi" w:cstheme="minorBidi"/>
                <w:kern w:val="2"/>
                <w:sz w:val="22"/>
                <w:szCs w:val="22"/>
                <w:highlight w:val="none"/>
                <w:lang w:val="en-US" w:eastAsia="zh-CN" w:bidi="ar-SA"/>
              </w:rPr>
            </w:pPr>
            <w:r>
              <w:rPr>
                <w:rFonts w:hint="eastAsia" w:ascii="仿宋" w:hAnsi="仿宋" w:eastAsia="仿宋" w:cs="宋体"/>
                <w:bCs/>
                <w:kern w:val="0"/>
                <w:sz w:val="24"/>
              </w:rPr>
              <w:t>喷防锈蜡输送模组</w:t>
            </w:r>
            <w:r>
              <w:rPr>
                <w:rFonts w:hint="eastAsia" w:ascii="仿宋" w:hAnsi="仿宋" w:eastAsia="仿宋" w:cs="宋体"/>
                <w:bCs/>
                <w:kern w:val="0"/>
                <w:sz w:val="24"/>
                <w:lang w:eastAsia="zh-CN"/>
              </w:rPr>
              <w:t>（200L 加热蜡罐 、气动蜡液搅拌器、供蜡主泵、高压软管</w:t>
            </w:r>
            <w:r>
              <w:rPr>
                <w:rFonts w:hint="eastAsia" w:ascii="仿宋" w:hAnsi="仿宋" w:eastAsia="仿宋" w:cs="宋体"/>
                <w:bCs/>
                <w:kern w:val="0"/>
                <w:sz w:val="24"/>
                <w:lang w:val="en-US" w:eastAsia="zh-CN"/>
              </w:rPr>
              <w:t>等</w:t>
            </w:r>
            <w:r>
              <w:rPr>
                <w:rFonts w:hint="eastAsia" w:ascii="仿宋" w:hAnsi="仿宋" w:eastAsia="仿宋" w:cs="宋体"/>
                <w:bCs/>
                <w:kern w:val="0"/>
                <w:sz w:val="24"/>
                <w:lang w:eastAsia="zh-CN"/>
              </w:rPr>
              <w:t>）</w:t>
            </w:r>
          </w:p>
        </w:tc>
        <w:tc>
          <w:tcPr>
            <w:tcW w:w="992" w:type="dxa"/>
            <w:vAlign w:val="center"/>
          </w:tcPr>
          <w:p>
            <w:pPr>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组</w:t>
            </w:r>
          </w:p>
        </w:tc>
        <w:tc>
          <w:tcPr>
            <w:tcW w:w="1984" w:type="dxa"/>
            <w:vAlign w:val="center"/>
          </w:tcPr>
          <w:p>
            <w:pPr>
              <w:spacing w:line="300" w:lineRule="auto"/>
              <w:jc w:val="center"/>
              <w:rPr>
                <w:rFonts w:hint="eastAsia" w:ascii="仿宋" w:hAnsi="仿宋" w:eastAsia="仿宋" w:cs="仿宋"/>
                <w:bCs/>
                <w:kern w:val="0"/>
                <w:sz w:val="24"/>
                <w:szCs w:val="22"/>
                <w:highlight w:val="none"/>
                <w:lang w:val="en-US" w:eastAsia="zh-CN" w:bidi="ar-SA"/>
              </w:rPr>
            </w:pPr>
            <w:r>
              <w:rPr>
                <w:rFonts w:hint="eastAsia" w:ascii="宋体" w:hAnsi="宋体" w:eastAsia="宋体" w:cs="Arial"/>
                <w:sz w:val="21"/>
                <w:szCs w:val="21"/>
                <w:highlight w:val="none"/>
              </w:rPr>
              <w:t>1</w:t>
            </w:r>
          </w:p>
        </w:tc>
        <w:tc>
          <w:tcPr>
            <w:tcW w:w="1277" w:type="dxa"/>
            <w:vMerge w:val="restart"/>
            <w:vAlign w:val="center"/>
          </w:tcPr>
          <w:p>
            <w:pPr>
              <w:snapToGrid w:val="0"/>
              <w:jc w:val="center"/>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济南商用车</w:t>
            </w:r>
            <w:r>
              <w:rPr>
                <w:rFonts w:hint="default" w:ascii="Times New Roman" w:hAnsi="Times New Roman" w:eastAsia="宋体" w:cs="Times New Roman"/>
                <w:color w:val="000000"/>
                <w:sz w:val="24"/>
                <w:szCs w:val="24"/>
                <w:highlight w:val="none"/>
                <w:lang w:val="en-US" w:eastAsia="zh-CN"/>
              </w:rPr>
              <w:t>制造</w:t>
            </w:r>
            <w:r>
              <w:rPr>
                <w:rFonts w:hint="default" w:ascii="Times New Roman" w:hAnsi="Times New Roman" w:eastAsia="宋体" w:cs="Times New Roman"/>
                <w:color w:val="000000"/>
                <w:sz w:val="24"/>
                <w:szCs w:val="24"/>
                <w:highlight w:val="none"/>
              </w:rPr>
              <w:t>公司（章丘重汽工业园）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jc w:val="center"/>
              <w:textAlignment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2</w:t>
            </w:r>
          </w:p>
        </w:tc>
        <w:tc>
          <w:tcPr>
            <w:tcW w:w="3893" w:type="dxa"/>
            <w:shd w:val="clear" w:color="auto" w:fill="auto"/>
            <w:vAlign w:val="center"/>
          </w:tcPr>
          <w:p>
            <w:pPr>
              <w:overflowPunct w:val="0"/>
              <w:snapToGrid w:val="0"/>
              <w:spacing w:line="400" w:lineRule="exact"/>
              <w:jc w:val="center"/>
              <w:rPr>
                <w:rFonts w:hint="eastAsia" w:eastAsia="仿宋" w:asciiTheme="minorHAnsi" w:hAnsiTheme="minorHAnsi" w:cstheme="minorBidi"/>
                <w:kern w:val="2"/>
                <w:sz w:val="22"/>
                <w:szCs w:val="22"/>
                <w:highlight w:val="none"/>
                <w:lang w:val="en-US" w:eastAsia="zh-CN" w:bidi="ar-SA"/>
              </w:rPr>
            </w:pPr>
            <w:r>
              <w:rPr>
                <w:rFonts w:hint="eastAsia" w:ascii="仿宋" w:hAnsi="仿宋" w:eastAsia="仿宋" w:cs="宋体"/>
                <w:bCs/>
                <w:kern w:val="0"/>
                <w:sz w:val="24"/>
              </w:rPr>
              <w:t>枪站出口</w:t>
            </w:r>
            <w:r>
              <w:rPr>
                <w:rFonts w:hint="eastAsia" w:ascii="仿宋" w:hAnsi="仿宋" w:eastAsia="仿宋" w:cs="宋体"/>
                <w:bCs/>
                <w:kern w:val="0"/>
                <w:sz w:val="24"/>
                <w:lang w:eastAsia="zh-CN"/>
              </w:rPr>
              <w:t>（手动喷枪、高压蜡液调压器、枪站蜡液过滤器</w:t>
            </w:r>
            <w:r>
              <w:rPr>
                <w:rFonts w:hint="eastAsia" w:ascii="仿宋" w:hAnsi="仿宋" w:eastAsia="仿宋" w:cs="宋体"/>
                <w:bCs/>
                <w:kern w:val="0"/>
                <w:sz w:val="24"/>
                <w:lang w:val="en-US" w:eastAsia="zh-CN"/>
              </w:rPr>
              <w:t>等</w:t>
            </w:r>
            <w:r>
              <w:rPr>
                <w:rFonts w:hint="eastAsia" w:ascii="仿宋" w:hAnsi="仿宋" w:eastAsia="仿宋" w:cs="宋体"/>
                <w:bCs/>
                <w:kern w:val="0"/>
                <w:sz w:val="24"/>
                <w:lang w:eastAsia="zh-CN"/>
              </w:rPr>
              <w:t>）</w:t>
            </w:r>
          </w:p>
        </w:tc>
        <w:tc>
          <w:tcPr>
            <w:tcW w:w="992" w:type="dxa"/>
            <w:vAlign w:val="center"/>
          </w:tcPr>
          <w:p>
            <w:pPr>
              <w:jc w:val="center"/>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个</w:t>
            </w:r>
          </w:p>
        </w:tc>
        <w:tc>
          <w:tcPr>
            <w:tcW w:w="1984" w:type="dxa"/>
            <w:vAlign w:val="center"/>
          </w:tcPr>
          <w:p>
            <w:pPr>
              <w:spacing w:line="300" w:lineRule="auto"/>
              <w:jc w:val="center"/>
              <w:rPr>
                <w:rFonts w:hint="default" w:ascii="仿宋" w:hAnsi="仿宋" w:eastAsia="仿宋" w:cs="仿宋"/>
                <w:bCs/>
                <w:kern w:val="0"/>
                <w:sz w:val="24"/>
                <w:szCs w:val="22"/>
                <w:highlight w:val="none"/>
                <w:lang w:val="en-US" w:eastAsia="zh-CN" w:bidi="ar-SA"/>
              </w:rPr>
            </w:pPr>
            <w:r>
              <w:rPr>
                <w:rFonts w:hint="eastAsia" w:ascii="仿宋" w:hAnsi="仿宋" w:eastAsia="仿宋" w:cs="仿宋"/>
                <w:bCs/>
                <w:kern w:val="0"/>
                <w:sz w:val="24"/>
                <w:szCs w:val="22"/>
                <w:highlight w:val="none"/>
                <w:lang w:val="en-US" w:eastAsia="zh-CN" w:bidi="ar-SA"/>
              </w:rPr>
              <w:t>1</w:t>
            </w:r>
          </w:p>
        </w:tc>
        <w:tc>
          <w:tcPr>
            <w:tcW w:w="1277" w:type="dxa"/>
            <w:vMerge w:val="continue"/>
            <w:vAlign w:val="center"/>
          </w:tcPr>
          <w:p>
            <w:pPr>
              <w:snapToGrid w:val="0"/>
              <w:jc w:val="center"/>
              <w:rPr>
                <w:rFonts w:hint="default" w:ascii="Times New Roman" w:hAnsi="Times New Roman" w:eastAsia="宋体" w:cs="Times New Roman"/>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jc w:val="center"/>
              <w:textAlignment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3</w:t>
            </w:r>
          </w:p>
        </w:tc>
        <w:tc>
          <w:tcPr>
            <w:tcW w:w="3893" w:type="dxa"/>
            <w:shd w:val="clear" w:color="auto" w:fill="auto"/>
            <w:vAlign w:val="center"/>
          </w:tcPr>
          <w:p>
            <w:pPr>
              <w:overflowPunct w:val="0"/>
              <w:snapToGrid w:val="0"/>
              <w:spacing w:line="400" w:lineRule="exact"/>
              <w:jc w:val="center"/>
              <w:rPr>
                <w:rFonts w:hint="default" w:ascii="宋体" w:hAnsi="宋体" w:eastAsia="宋体" w:cs="Arial"/>
                <w:kern w:val="2"/>
                <w:sz w:val="21"/>
                <w:szCs w:val="21"/>
                <w:highlight w:val="none"/>
                <w:lang w:val="en-US" w:eastAsia="zh-CN" w:bidi="ar-SA"/>
              </w:rPr>
            </w:pPr>
            <w:r>
              <w:rPr>
                <w:rFonts w:hint="eastAsia" w:ascii="仿宋" w:hAnsi="仿宋" w:eastAsia="仿宋" w:cs="宋体"/>
                <w:bCs/>
                <w:kern w:val="0"/>
                <w:sz w:val="24"/>
              </w:rPr>
              <w:t>8段温度控制柜</w:t>
            </w:r>
          </w:p>
        </w:tc>
        <w:tc>
          <w:tcPr>
            <w:tcW w:w="992" w:type="dxa"/>
            <w:vAlign w:val="center"/>
          </w:tcPr>
          <w:p>
            <w:pPr>
              <w:jc w:val="center"/>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个</w:t>
            </w:r>
          </w:p>
        </w:tc>
        <w:tc>
          <w:tcPr>
            <w:tcW w:w="1984" w:type="dxa"/>
            <w:vAlign w:val="center"/>
          </w:tcPr>
          <w:p>
            <w:pPr>
              <w:spacing w:line="300" w:lineRule="auto"/>
              <w:jc w:val="center"/>
              <w:rPr>
                <w:rFonts w:hint="default" w:ascii="仿宋" w:hAnsi="仿宋" w:eastAsia="仿宋" w:cs="仿宋"/>
                <w:bCs/>
                <w:kern w:val="0"/>
                <w:sz w:val="24"/>
                <w:szCs w:val="22"/>
                <w:highlight w:val="none"/>
                <w:lang w:val="en-US" w:eastAsia="zh-CN" w:bidi="ar-SA"/>
              </w:rPr>
            </w:pPr>
            <w:r>
              <w:rPr>
                <w:rFonts w:hint="eastAsia" w:ascii="宋体" w:hAnsi="宋体" w:eastAsia="宋体" w:cs="Arial"/>
                <w:sz w:val="21"/>
                <w:szCs w:val="21"/>
                <w:highlight w:val="none"/>
              </w:rPr>
              <w:t>1</w:t>
            </w:r>
          </w:p>
        </w:tc>
        <w:tc>
          <w:tcPr>
            <w:tcW w:w="1277" w:type="dxa"/>
            <w:vMerge w:val="continue"/>
            <w:vAlign w:val="center"/>
          </w:tcPr>
          <w:p>
            <w:pPr>
              <w:snapToGrid w:val="0"/>
              <w:jc w:val="center"/>
              <w:rPr>
                <w:rFonts w:hint="default" w:ascii="Times New Roman" w:hAnsi="Times New Roman" w:eastAsia="宋体" w:cs="Times New Roman"/>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jc w:val="center"/>
              <w:textAlignment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4</w:t>
            </w:r>
          </w:p>
        </w:tc>
        <w:tc>
          <w:tcPr>
            <w:tcW w:w="3893" w:type="dxa"/>
            <w:shd w:val="clear" w:color="auto" w:fill="auto"/>
            <w:vAlign w:val="center"/>
          </w:tcPr>
          <w:p>
            <w:pPr>
              <w:overflowPunct w:val="0"/>
              <w:snapToGrid w:val="0"/>
              <w:spacing w:line="400" w:lineRule="exact"/>
              <w:jc w:val="center"/>
              <w:rPr>
                <w:rFonts w:hint="default" w:ascii="宋体" w:hAnsi="宋体" w:eastAsia="宋体" w:cs="Arial"/>
                <w:kern w:val="2"/>
                <w:sz w:val="21"/>
                <w:szCs w:val="21"/>
                <w:highlight w:val="none"/>
                <w:lang w:val="en-US" w:eastAsia="zh-CN" w:bidi="ar-SA"/>
              </w:rPr>
            </w:pPr>
            <w:r>
              <w:rPr>
                <w:rFonts w:hint="eastAsia" w:ascii="仿宋" w:hAnsi="仿宋" w:eastAsia="仿宋" w:cs="宋体"/>
                <w:bCs/>
                <w:kern w:val="0"/>
                <w:sz w:val="24"/>
              </w:rPr>
              <w:t>￠22高压加热保温不锈钢管</w:t>
            </w:r>
          </w:p>
        </w:tc>
        <w:tc>
          <w:tcPr>
            <w:tcW w:w="992" w:type="dxa"/>
            <w:vAlign w:val="center"/>
          </w:tcPr>
          <w:p>
            <w:pPr>
              <w:jc w:val="center"/>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组</w:t>
            </w:r>
          </w:p>
        </w:tc>
        <w:tc>
          <w:tcPr>
            <w:tcW w:w="1984" w:type="dxa"/>
            <w:vAlign w:val="center"/>
          </w:tcPr>
          <w:p>
            <w:pPr>
              <w:spacing w:line="300" w:lineRule="auto"/>
              <w:jc w:val="center"/>
              <w:rPr>
                <w:rFonts w:hint="eastAsia" w:ascii="仿宋" w:hAnsi="仿宋" w:eastAsia="仿宋" w:cs="仿宋"/>
                <w:bCs/>
                <w:kern w:val="0"/>
                <w:sz w:val="24"/>
                <w:szCs w:val="22"/>
                <w:highlight w:val="none"/>
                <w:lang w:val="en-US" w:eastAsia="zh-CN" w:bidi="ar-SA"/>
              </w:rPr>
            </w:pPr>
            <w:r>
              <w:rPr>
                <w:rFonts w:hint="eastAsia" w:ascii="宋体" w:hAnsi="宋体" w:eastAsia="宋体" w:cs="Arial"/>
                <w:sz w:val="21"/>
                <w:szCs w:val="21"/>
                <w:highlight w:val="none"/>
                <w:lang w:val="en-US" w:eastAsia="zh-CN"/>
              </w:rPr>
              <w:t>1</w:t>
            </w:r>
          </w:p>
        </w:tc>
        <w:tc>
          <w:tcPr>
            <w:tcW w:w="1277" w:type="dxa"/>
            <w:vMerge w:val="continue"/>
            <w:vAlign w:val="center"/>
          </w:tcPr>
          <w:p>
            <w:pPr>
              <w:snapToGrid w:val="0"/>
              <w:jc w:val="center"/>
              <w:rPr>
                <w:rFonts w:hint="default" w:ascii="Times New Roman" w:hAnsi="Times New Roman" w:eastAsia="宋体" w:cs="Times New Roman"/>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jc w:val="center"/>
              <w:textAlignment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5</w:t>
            </w:r>
          </w:p>
        </w:tc>
        <w:tc>
          <w:tcPr>
            <w:tcW w:w="3893" w:type="dxa"/>
            <w:shd w:val="clear" w:color="auto" w:fill="auto"/>
            <w:vAlign w:val="center"/>
          </w:tcPr>
          <w:p>
            <w:pPr>
              <w:overflowPunct w:val="0"/>
              <w:snapToGrid w:val="0"/>
              <w:spacing w:line="400" w:lineRule="exact"/>
              <w:jc w:val="center"/>
              <w:rPr>
                <w:rFonts w:hint="default" w:ascii="宋体" w:hAnsi="宋体" w:eastAsia="宋体" w:cs="Arial"/>
                <w:kern w:val="2"/>
                <w:sz w:val="21"/>
                <w:szCs w:val="21"/>
                <w:highlight w:val="none"/>
                <w:lang w:val="en-US" w:eastAsia="zh-CN" w:bidi="ar-SA"/>
              </w:rPr>
            </w:pPr>
            <w:r>
              <w:rPr>
                <w:rFonts w:hint="eastAsia" w:ascii="仿宋" w:hAnsi="仿宋" w:eastAsia="仿宋" w:cs="宋体"/>
                <w:bCs/>
                <w:kern w:val="0"/>
                <w:sz w:val="24"/>
              </w:rPr>
              <w:t>安装辅料</w:t>
            </w:r>
          </w:p>
        </w:tc>
        <w:tc>
          <w:tcPr>
            <w:tcW w:w="992" w:type="dxa"/>
            <w:vAlign w:val="center"/>
          </w:tcPr>
          <w:p>
            <w:pPr>
              <w:jc w:val="center"/>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个</w:t>
            </w:r>
          </w:p>
        </w:tc>
        <w:tc>
          <w:tcPr>
            <w:tcW w:w="1984" w:type="dxa"/>
            <w:vAlign w:val="center"/>
          </w:tcPr>
          <w:p>
            <w:pPr>
              <w:spacing w:line="300" w:lineRule="auto"/>
              <w:jc w:val="center"/>
              <w:rPr>
                <w:rFonts w:hint="default" w:ascii="仿宋" w:hAnsi="仿宋" w:eastAsia="仿宋" w:cs="仿宋"/>
                <w:bCs/>
                <w:kern w:val="0"/>
                <w:sz w:val="24"/>
                <w:szCs w:val="22"/>
                <w:highlight w:val="none"/>
                <w:lang w:val="en-US" w:eastAsia="zh-CN" w:bidi="ar-SA"/>
              </w:rPr>
            </w:pPr>
            <w:r>
              <w:rPr>
                <w:rFonts w:hint="eastAsia" w:ascii="宋体" w:hAnsi="宋体" w:eastAsia="宋体" w:cs="Arial"/>
                <w:sz w:val="21"/>
                <w:szCs w:val="21"/>
                <w:highlight w:val="none"/>
              </w:rPr>
              <w:t>1</w:t>
            </w:r>
          </w:p>
        </w:tc>
        <w:tc>
          <w:tcPr>
            <w:tcW w:w="1277" w:type="dxa"/>
            <w:vMerge w:val="continue"/>
            <w:vAlign w:val="center"/>
          </w:tcPr>
          <w:p>
            <w:pPr>
              <w:snapToGrid w:val="0"/>
              <w:jc w:val="center"/>
              <w:rPr>
                <w:rFonts w:hint="default" w:ascii="Times New Roman" w:hAnsi="Times New Roman" w:eastAsia="宋体" w:cs="Times New Roman"/>
                <w:color w:val="00000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pPr>
              <w:jc w:val="center"/>
              <w:textAlignment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6</w:t>
            </w:r>
          </w:p>
        </w:tc>
        <w:tc>
          <w:tcPr>
            <w:tcW w:w="3893" w:type="dxa"/>
            <w:shd w:val="clear" w:color="auto" w:fill="auto"/>
            <w:vAlign w:val="center"/>
          </w:tcPr>
          <w:p>
            <w:pPr>
              <w:overflowPunct w:val="0"/>
              <w:snapToGrid w:val="0"/>
              <w:spacing w:line="400" w:lineRule="exact"/>
              <w:jc w:val="center"/>
              <w:rPr>
                <w:rFonts w:hint="default" w:ascii="宋体" w:hAnsi="宋体" w:eastAsia="宋体" w:cs="Arial"/>
                <w:kern w:val="2"/>
                <w:sz w:val="21"/>
                <w:szCs w:val="21"/>
                <w:highlight w:val="none"/>
                <w:lang w:val="en-US" w:eastAsia="zh-CN" w:bidi="ar-SA"/>
              </w:rPr>
            </w:pPr>
            <w:r>
              <w:rPr>
                <w:rFonts w:hint="eastAsia" w:ascii="仿宋" w:hAnsi="仿宋" w:eastAsia="仿宋" w:cs="宋体"/>
                <w:bCs/>
                <w:kern w:val="0"/>
                <w:sz w:val="24"/>
              </w:rPr>
              <w:t>设备运输/安装调试培训</w:t>
            </w:r>
          </w:p>
        </w:tc>
        <w:tc>
          <w:tcPr>
            <w:tcW w:w="992" w:type="dxa"/>
            <w:vAlign w:val="center"/>
          </w:tcPr>
          <w:p>
            <w:pPr>
              <w:jc w:val="center"/>
              <w:rPr>
                <w:highlight w:val="none"/>
              </w:rPr>
            </w:pPr>
            <w:r>
              <w:rPr>
                <w:rFonts w:hint="eastAsia" w:ascii="Times New Roman" w:hAnsi="Times New Roman" w:eastAsia="宋体" w:cs="Times New Roman"/>
                <w:sz w:val="24"/>
                <w:szCs w:val="24"/>
                <w:highlight w:val="none"/>
                <w:lang w:val="en-US" w:eastAsia="zh-CN"/>
              </w:rPr>
              <w:t>个</w:t>
            </w:r>
          </w:p>
        </w:tc>
        <w:tc>
          <w:tcPr>
            <w:tcW w:w="1984" w:type="dxa"/>
            <w:vAlign w:val="center"/>
          </w:tcPr>
          <w:p>
            <w:pPr>
              <w:spacing w:line="300" w:lineRule="auto"/>
              <w:jc w:val="center"/>
              <w:rPr>
                <w:rFonts w:hint="default" w:ascii="仿宋" w:hAnsi="仿宋" w:eastAsia="仿宋" w:cs="仿宋"/>
                <w:bCs/>
                <w:kern w:val="0"/>
                <w:sz w:val="24"/>
                <w:szCs w:val="22"/>
                <w:highlight w:val="none"/>
                <w:lang w:val="en-US" w:eastAsia="zh-CN" w:bidi="ar-SA"/>
              </w:rPr>
            </w:pPr>
            <w:r>
              <w:rPr>
                <w:rFonts w:hint="eastAsia" w:ascii="仿宋" w:hAnsi="仿宋" w:eastAsia="仿宋" w:cs="仿宋"/>
                <w:bCs/>
                <w:kern w:val="0"/>
                <w:sz w:val="24"/>
                <w:szCs w:val="22"/>
                <w:highlight w:val="none"/>
                <w:lang w:val="en-US" w:eastAsia="zh-CN" w:bidi="ar-SA"/>
              </w:rPr>
              <w:t>1</w:t>
            </w:r>
          </w:p>
        </w:tc>
        <w:tc>
          <w:tcPr>
            <w:tcW w:w="1277" w:type="dxa"/>
            <w:vMerge w:val="continue"/>
            <w:vAlign w:val="center"/>
          </w:tcPr>
          <w:p>
            <w:pPr>
              <w:snapToGrid w:val="0"/>
              <w:jc w:val="center"/>
              <w:rPr>
                <w:rFonts w:hint="default" w:ascii="Times New Roman" w:hAnsi="Times New Roman" w:eastAsia="宋体" w:cs="Times New Roman"/>
                <w:color w:val="000000"/>
                <w:sz w:val="24"/>
                <w:szCs w:val="24"/>
                <w:highlight w:val="none"/>
              </w:rPr>
            </w:pPr>
          </w:p>
        </w:tc>
      </w:tr>
    </w:tbl>
    <w:p>
      <w:pPr>
        <w:spacing w:before="120" w:beforeLines="50" w:after="120" w:afterLines="50" w:line="360" w:lineRule="auto"/>
        <w:ind w:firstLine="482" w:firstLineChars="20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（一）一般界定</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1.包括本技术标书所列明的主要货物以及货物正常运行所必需的全套连线设备、材料等。</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2.包括为保证货物正常安装、调试和验收完成及以前所必需的整套配件、附件及材料等。</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如果终验收完成后，投标人有需要收回的配件、附件等，应当在投标文件的技术偏离条款中，予以详细说明；否则视同包括在供货范围之内。</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3.包括货物维护维修所必需的专用工具。</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包括为保证货物自身正常运行所必需的、满足使用地点环境条件的通风、冷却、降温等必需设施。</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（二）供货范围边界界定</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1.对于招标文件中无明确具体要求而投标方认为必须具备的其它货物，投标方必须将该部分货物单独报价（该报价含运杂费及税费等其它费用，而且不再作为其它报价涉及的其它费用的计算基数）。</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二、备品备件、易损件和专用耗材供货范围</w:t>
      </w:r>
    </w:p>
    <w:p>
      <w:pPr>
        <w:spacing w:line="360" w:lineRule="auto"/>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质保期之内正常需要的易损件和专用耗材全部包括在供货范围之内而不属于本条款界定的范围（应有明细）。</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三、技术资料供货范围</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技术资料供货范围包括：</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sz w:val="24"/>
          <w:szCs w:val="24"/>
        </w:rPr>
        <w:t>1.在</w:t>
      </w:r>
      <w:r>
        <w:rPr>
          <w:rFonts w:hint="default" w:ascii="Times New Roman" w:hAnsi="Times New Roman" w:eastAsia="宋体" w:cs="Times New Roman"/>
          <w:bCs/>
          <w:sz w:val="24"/>
          <w:szCs w:val="24"/>
        </w:rPr>
        <w:t>合同签订后</w:t>
      </w:r>
      <w:r>
        <w:rPr>
          <w:rFonts w:hint="default" w:ascii="Times New Roman" w:hAnsi="Times New Roman" w:eastAsia="宋体" w:cs="Times New Roman"/>
          <w:bCs/>
          <w:sz w:val="24"/>
          <w:szCs w:val="24"/>
          <w:highlight w:val="yellow"/>
          <w:u w:val="single"/>
          <w:shd w:val="pct10" w:color="auto" w:fill="FFFFFF"/>
        </w:rPr>
        <w:t xml:space="preserve"> 30 </w:t>
      </w:r>
      <w:r>
        <w:rPr>
          <w:rFonts w:hint="default" w:ascii="Times New Roman" w:hAnsi="Times New Roman" w:eastAsia="宋体" w:cs="Times New Roman"/>
          <w:bCs/>
          <w:sz w:val="24"/>
          <w:szCs w:val="24"/>
        </w:rPr>
        <w:t>个日历日内，提供货物基础及相关的设计、制作所需的纸质及电子版资料</w:t>
      </w:r>
      <w:r>
        <w:rPr>
          <w:rFonts w:hint="eastAsia" w:ascii="Times New Roman" w:hAnsi="Times New Roman" w:eastAsia="宋体" w:cs="Times New Roman"/>
          <w:bCs/>
          <w:sz w:val="24"/>
          <w:szCs w:val="24"/>
          <w:lang w:val="en-US" w:eastAsia="zh-CN"/>
        </w:rPr>
        <w:t>可提供U盘技术资料</w:t>
      </w:r>
      <w:r>
        <w:rPr>
          <w:rFonts w:hint="default" w:ascii="Times New Roman" w:hAnsi="Times New Roman" w:eastAsia="宋体" w:cs="Times New Roman"/>
          <w:bCs/>
          <w:sz w:val="24"/>
          <w:szCs w:val="24"/>
        </w:rPr>
        <w:t>；电子版文件应当能够使用常用版本软件可以阅读甚至使用，进口货物、设备应有中外文对照。</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2.在预验收前，提供货物各部分的功能描述文件、图片、影像等资料（进口、设备应有中外文对照）。</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3.在终验收前，提供为保证货物后续正常运行所需的具体技术要求等资料（如果供货范围包含该部分实物）。</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7.本条款所列的技术资料、图片、影像等，投标人应各提供3套，其中2套为</w:t>
      </w:r>
      <w:r>
        <w:rPr>
          <w:rFonts w:hint="default" w:ascii="Times New Roman" w:hAnsi="Times New Roman" w:eastAsia="宋体" w:cs="Times New Roman"/>
          <w:sz w:val="24"/>
          <w:szCs w:val="24"/>
          <w:highlight w:val="yellow"/>
        </w:rPr>
        <w:t>电子版光盘或U盘</w:t>
      </w:r>
      <w:r>
        <w:rPr>
          <w:rFonts w:hint="default" w:ascii="Times New Roman" w:hAnsi="Times New Roman" w:eastAsia="宋体" w:cs="Times New Roman"/>
          <w:sz w:val="24"/>
          <w:szCs w:val="24"/>
        </w:rPr>
        <w:t>；每份技术文件应装有目录清单。</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8.本条款所列要求，如招标人认为投标人提供的资料不能满足要求时，有权要求投标人免费补充或增加。</w:t>
      </w:r>
    </w:p>
    <w:p>
      <w:pPr>
        <w:spacing w:line="360" w:lineRule="auto"/>
        <w:ind w:firstLine="480" w:firstLineChars="200"/>
        <w:rPr>
          <w:rFonts w:hint="eastAsia" w:ascii="Times New Roman" w:hAnsi="Times New Roman" w:eastAsia="宋体" w:cs="Times New Roman"/>
          <w:sz w:val="24"/>
          <w:szCs w:val="24"/>
          <w:highlight w:val="yellow"/>
        </w:rPr>
      </w:pPr>
      <w:r>
        <w:rPr>
          <w:rFonts w:hint="eastAsia" w:ascii="Times New Roman" w:hAnsi="Times New Roman" w:eastAsia="宋体" w:cs="Times New Roman"/>
          <w:sz w:val="24"/>
          <w:szCs w:val="24"/>
          <w:highlight w:val="yellow"/>
          <w:lang w:val="en-US" w:eastAsia="zh-CN"/>
        </w:rPr>
        <w:t>9.</w:t>
      </w:r>
      <w:r>
        <w:rPr>
          <w:rFonts w:hint="eastAsia" w:ascii="Times New Roman" w:hAnsi="Times New Roman" w:eastAsia="宋体" w:cs="Times New Roman"/>
          <w:sz w:val="24"/>
          <w:szCs w:val="24"/>
          <w:highlight w:val="yellow"/>
        </w:rPr>
        <w:t>供方必须提供</w:t>
      </w:r>
      <w:r>
        <w:rPr>
          <w:rFonts w:hint="eastAsia" w:ascii="Times New Roman" w:hAnsi="Times New Roman" w:eastAsia="宋体" w:cs="Times New Roman"/>
          <w:sz w:val="24"/>
          <w:szCs w:val="24"/>
          <w:highlight w:val="yellow"/>
          <w:lang w:val="en-US" w:eastAsia="zh-CN"/>
        </w:rPr>
        <w:t>设备模型</w:t>
      </w:r>
      <w:r>
        <w:rPr>
          <w:rFonts w:hint="eastAsia" w:ascii="Times New Roman" w:hAnsi="Times New Roman" w:eastAsia="宋体" w:cs="Times New Roman"/>
          <w:sz w:val="24"/>
          <w:szCs w:val="24"/>
          <w:highlight w:val="yellow"/>
        </w:rPr>
        <w:t>（文件格式</w:t>
      </w:r>
      <w:r>
        <w:rPr>
          <w:rFonts w:hint="eastAsia" w:ascii="Times New Roman" w:hAnsi="Times New Roman" w:eastAsia="宋体" w:cs="Times New Roman"/>
          <w:sz w:val="24"/>
          <w:szCs w:val="24"/>
          <w:highlight w:val="yellow"/>
          <w:lang w:val="en-US" w:eastAsia="zh-CN"/>
        </w:rPr>
        <w:t>STP</w:t>
      </w:r>
      <w:r>
        <w:rPr>
          <w:rFonts w:hint="eastAsia" w:ascii="Times New Roman" w:hAnsi="Times New Roman" w:eastAsia="宋体" w:cs="Times New Roman"/>
          <w:sz w:val="24"/>
          <w:szCs w:val="24"/>
          <w:highlight w:val="yellow"/>
        </w:rPr>
        <w:t>），</w:t>
      </w:r>
      <w:r>
        <w:rPr>
          <w:rFonts w:hint="eastAsia" w:ascii="Times New Roman" w:hAnsi="Times New Roman" w:eastAsia="宋体" w:cs="Times New Roman"/>
          <w:sz w:val="24"/>
          <w:szCs w:val="24"/>
          <w:highlight w:val="yellow"/>
          <w:lang w:val="en-US" w:eastAsia="zh-CN"/>
        </w:rPr>
        <w:t>模型文件</w:t>
      </w:r>
      <w:r>
        <w:rPr>
          <w:rFonts w:hint="eastAsia" w:ascii="Times New Roman" w:hAnsi="Times New Roman" w:eastAsia="宋体" w:cs="Times New Roman"/>
          <w:sz w:val="24"/>
          <w:szCs w:val="24"/>
          <w:highlight w:val="yellow"/>
        </w:rPr>
        <w:t>应包含设备</w:t>
      </w:r>
      <w:r>
        <w:rPr>
          <w:rFonts w:hint="eastAsia" w:ascii="Times New Roman" w:hAnsi="Times New Roman" w:eastAsia="宋体" w:cs="Times New Roman"/>
          <w:sz w:val="24"/>
          <w:szCs w:val="24"/>
          <w:highlight w:val="yellow"/>
          <w:lang w:val="en-US" w:eastAsia="zh-CN"/>
        </w:rPr>
        <w:t>的</w:t>
      </w:r>
      <w:r>
        <w:rPr>
          <w:rFonts w:hint="eastAsia" w:ascii="Times New Roman" w:hAnsi="Times New Roman" w:eastAsia="宋体" w:cs="Times New Roman"/>
          <w:sz w:val="24"/>
          <w:szCs w:val="24"/>
          <w:highlight w:val="yellow"/>
        </w:rPr>
        <w:t>全部信息；对</w:t>
      </w:r>
      <w:r>
        <w:rPr>
          <w:rFonts w:hint="eastAsia" w:ascii="Times New Roman" w:hAnsi="Times New Roman" w:eastAsia="宋体" w:cs="Times New Roman"/>
          <w:sz w:val="24"/>
          <w:szCs w:val="24"/>
          <w:highlight w:val="yellow"/>
          <w:lang w:val="en-US" w:eastAsia="zh-CN"/>
        </w:rPr>
        <w:t>设备结构及功能</w:t>
      </w:r>
      <w:r>
        <w:rPr>
          <w:rFonts w:hint="eastAsia" w:ascii="Times New Roman" w:hAnsi="Times New Roman" w:eastAsia="宋体" w:cs="Times New Roman"/>
          <w:sz w:val="24"/>
          <w:szCs w:val="24"/>
          <w:highlight w:val="yellow"/>
        </w:rPr>
        <w:t>详细说明，包括</w:t>
      </w:r>
      <w:r>
        <w:rPr>
          <w:rFonts w:hint="eastAsia" w:ascii="Times New Roman" w:hAnsi="Times New Roman" w:eastAsia="宋体" w:cs="Times New Roman"/>
          <w:sz w:val="24"/>
          <w:szCs w:val="24"/>
          <w:highlight w:val="yellow"/>
          <w:lang w:val="en-US" w:eastAsia="zh-CN"/>
        </w:rPr>
        <w:t>设备工作</w:t>
      </w:r>
      <w:r>
        <w:rPr>
          <w:rFonts w:hint="eastAsia" w:ascii="Times New Roman" w:hAnsi="Times New Roman" w:eastAsia="宋体" w:cs="Times New Roman"/>
          <w:sz w:val="24"/>
          <w:szCs w:val="24"/>
          <w:highlight w:val="yellow"/>
        </w:rPr>
        <w:t>流程描述、运行说明、工位节拍</w:t>
      </w:r>
      <w:r>
        <w:rPr>
          <w:rFonts w:hint="eastAsia" w:ascii="Times New Roman" w:hAnsi="Times New Roman" w:eastAsia="宋体" w:cs="Times New Roman"/>
          <w:sz w:val="24"/>
          <w:szCs w:val="24"/>
          <w:highlight w:val="yellow"/>
          <w:lang w:val="en-US" w:eastAsia="zh-CN"/>
        </w:rPr>
        <w:t>等</w:t>
      </w:r>
      <w:r>
        <w:rPr>
          <w:rFonts w:hint="eastAsia" w:ascii="Times New Roman" w:hAnsi="Times New Roman" w:eastAsia="宋体" w:cs="Times New Roman"/>
          <w:sz w:val="24"/>
          <w:szCs w:val="24"/>
          <w:highlight w:val="yellow"/>
        </w:rPr>
        <w:t>信息。</w:t>
      </w:r>
    </w:p>
    <w:p>
      <w:pPr>
        <w:spacing w:line="360" w:lineRule="auto"/>
        <w:ind w:firstLine="480" w:firstLineChars="200"/>
        <w:rPr>
          <w:rFonts w:hint="default" w:ascii="Times New Roman" w:hAnsi="Times New Roman" w:eastAsia="宋体" w:cs="Times New Roman"/>
          <w:sz w:val="24"/>
          <w:szCs w:val="24"/>
          <w:highlight w:val="yellow"/>
          <w:lang w:val="en-US" w:eastAsia="zh-CN"/>
        </w:rPr>
      </w:pPr>
      <w:r>
        <w:rPr>
          <w:rFonts w:hint="eastAsia" w:ascii="Times New Roman" w:hAnsi="Times New Roman" w:eastAsia="宋体" w:cs="Times New Roman"/>
          <w:sz w:val="24"/>
          <w:szCs w:val="24"/>
          <w:highlight w:val="yellow"/>
          <w:lang w:val="en-US" w:eastAsia="zh-CN"/>
        </w:rPr>
        <w:t>10.</w:t>
      </w:r>
      <w:r>
        <w:rPr>
          <w:rFonts w:hint="default" w:ascii="Times New Roman" w:hAnsi="Times New Roman" w:eastAsia="宋体" w:cs="Times New Roman"/>
          <w:sz w:val="24"/>
          <w:szCs w:val="24"/>
          <w:highlight w:val="yellow"/>
          <w:lang w:val="en-US" w:eastAsia="zh-CN"/>
        </w:rPr>
        <w:t>维修和使用手册</w:t>
      </w:r>
    </w:p>
    <w:p>
      <w:pPr>
        <w:spacing w:line="360" w:lineRule="auto"/>
        <w:ind w:firstLine="480" w:firstLineChars="200"/>
        <w:rPr>
          <w:rFonts w:hint="default" w:ascii="Times New Roman" w:hAnsi="Times New Roman" w:eastAsia="宋体" w:cs="Times New Roman"/>
          <w:sz w:val="24"/>
          <w:szCs w:val="24"/>
          <w:highlight w:val="yellow"/>
          <w:lang w:val="en-US" w:eastAsia="zh-CN"/>
        </w:rPr>
      </w:pPr>
      <w:r>
        <w:rPr>
          <w:rFonts w:hint="default" w:ascii="Times New Roman" w:hAnsi="Times New Roman" w:eastAsia="宋体" w:cs="Times New Roman"/>
          <w:sz w:val="24"/>
          <w:szCs w:val="24"/>
          <w:highlight w:val="yellow"/>
          <w:lang w:val="en-US" w:eastAsia="zh-CN"/>
        </w:rPr>
        <w:t>在调试以前必须提供维修和使用手册四套和一套电子文件。这些手册应包括，但不限于下述内容：</w:t>
      </w:r>
    </w:p>
    <w:p>
      <w:pPr>
        <w:spacing w:line="360" w:lineRule="auto"/>
        <w:ind w:firstLine="480" w:firstLineChars="200"/>
        <w:rPr>
          <w:rFonts w:hint="default" w:ascii="Times New Roman" w:hAnsi="Times New Roman" w:eastAsia="宋体" w:cs="Times New Roman"/>
          <w:sz w:val="24"/>
          <w:szCs w:val="24"/>
          <w:highlight w:val="yellow"/>
          <w:lang w:val="en-US" w:eastAsia="zh-CN"/>
        </w:rPr>
      </w:pPr>
      <w:r>
        <w:rPr>
          <w:rFonts w:hint="default" w:ascii="Times New Roman" w:hAnsi="Times New Roman" w:eastAsia="宋体" w:cs="Times New Roman"/>
          <w:sz w:val="24"/>
          <w:szCs w:val="24"/>
          <w:highlight w:val="yellow"/>
          <w:lang w:val="en-US" w:eastAsia="zh-CN"/>
        </w:rPr>
        <w:t>设备描述和主要设备的分项；</w:t>
      </w:r>
    </w:p>
    <w:p>
      <w:pPr>
        <w:spacing w:line="360" w:lineRule="auto"/>
        <w:ind w:firstLine="480" w:firstLineChars="200"/>
        <w:rPr>
          <w:rFonts w:hint="default" w:ascii="Times New Roman" w:hAnsi="Times New Roman" w:eastAsia="宋体" w:cs="Times New Roman"/>
          <w:sz w:val="24"/>
          <w:szCs w:val="24"/>
          <w:highlight w:val="yellow"/>
          <w:lang w:val="en-US" w:eastAsia="zh-CN"/>
        </w:rPr>
      </w:pPr>
      <w:r>
        <w:rPr>
          <w:rFonts w:hint="default" w:ascii="Times New Roman" w:hAnsi="Times New Roman" w:eastAsia="宋体" w:cs="Times New Roman"/>
          <w:sz w:val="24"/>
          <w:szCs w:val="24"/>
          <w:highlight w:val="yellow"/>
          <w:lang w:val="en-US" w:eastAsia="zh-CN"/>
        </w:rPr>
        <w:t>润滑计划和润滑频次；</w:t>
      </w:r>
    </w:p>
    <w:p>
      <w:pPr>
        <w:spacing w:line="360" w:lineRule="auto"/>
        <w:ind w:firstLine="480" w:firstLineChars="200"/>
        <w:rPr>
          <w:rFonts w:hint="default" w:ascii="Times New Roman" w:hAnsi="Times New Roman" w:eastAsia="宋体" w:cs="Times New Roman"/>
          <w:sz w:val="24"/>
          <w:szCs w:val="24"/>
          <w:highlight w:val="yellow"/>
          <w:lang w:val="en-US" w:eastAsia="zh-CN"/>
        </w:rPr>
      </w:pPr>
      <w:r>
        <w:rPr>
          <w:rFonts w:hint="default" w:ascii="Times New Roman" w:hAnsi="Times New Roman" w:eastAsia="宋体" w:cs="Times New Roman"/>
          <w:sz w:val="24"/>
          <w:szCs w:val="24"/>
          <w:highlight w:val="yellow"/>
          <w:lang w:val="en-US" w:eastAsia="zh-CN"/>
        </w:rPr>
        <w:t>设备布置图；</w:t>
      </w:r>
    </w:p>
    <w:p>
      <w:pPr>
        <w:tabs>
          <w:tab w:val="left" w:pos="2370"/>
        </w:tabs>
        <w:rPr>
          <w:rFonts w:hint="default" w:ascii="Times New Roman" w:hAnsi="Times New Roman" w:eastAsia="宋体" w:cs="Times New Roman"/>
          <w:sz w:val="24"/>
          <w:szCs w:val="24"/>
          <w:highlight w:val="yellow"/>
          <w:lang w:val="en-US" w:eastAsia="zh-CN"/>
        </w:rPr>
      </w:pPr>
      <w:r>
        <w:rPr>
          <w:rFonts w:hint="default" w:ascii="Times New Roman" w:hAnsi="Times New Roman" w:eastAsia="宋体" w:cs="Times New Roman"/>
          <w:sz w:val="24"/>
          <w:szCs w:val="24"/>
          <w:highlight w:val="yellow"/>
          <w:lang w:val="en-US" w:eastAsia="zh-CN"/>
        </w:rPr>
        <w:t>详细的元件和总装图，</w:t>
      </w:r>
      <w:r>
        <w:rPr>
          <w:rFonts w:hint="eastAsia" w:ascii="Times New Roman" w:hAnsi="Times New Roman" w:eastAsia="宋体" w:cs="Times New Roman"/>
          <w:sz w:val="24"/>
          <w:szCs w:val="24"/>
          <w:highlight w:val="yellow"/>
          <w:lang w:val="en-US" w:eastAsia="zh-CN"/>
        </w:rPr>
        <w:t>提供主要部件分解图</w:t>
      </w:r>
      <w:r>
        <w:rPr>
          <w:rFonts w:hint="default" w:ascii="Times New Roman" w:hAnsi="Times New Roman" w:eastAsia="宋体" w:cs="Times New Roman"/>
          <w:sz w:val="24"/>
          <w:szCs w:val="24"/>
          <w:highlight w:val="yellow"/>
          <w:lang w:val="en-US" w:eastAsia="zh-CN"/>
        </w:rPr>
        <w:t>；</w:t>
      </w:r>
    </w:p>
    <w:p>
      <w:pPr>
        <w:spacing w:line="360" w:lineRule="auto"/>
        <w:ind w:firstLine="480" w:firstLineChars="200"/>
        <w:rPr>
          <w:rFonts w:hint="default" w:ascii="Times New Roman" w:hAnsi="Times New Roman" w:eastAsia="宋体" w:cs="Times New Roman"/>
          <w:sz w:val="24"/>
          <w:szCs w:val="24"/>
          <w:highlight w:val="yellow"/>
          <w:lang w:val="en-US" w:eastAsia="zh-CN"/>
        </w:rPr>
      </w:pPr>
      <w:r>
        <w:rPr>
          <w:rFonts w:hint="default" w:ascii="Times New Roman" w:hAnsi="Times New Roman" w:eastAsia="宋体" w:cs="Times New Roman"/>
          <w:sz w:val="24"/>
          <w:szCs w:val="24"/>
          <w:highlight w:val="yellow"/>
          <w:lang w:val="en-US" w:eastAsia="zh-CN"/>
        </w:rPr>
        <w:t>故障分析和解决方法；</w:t>
      </w:r>
    </w:p>
    <w:p>
      <w:pPr>
        <w:spacing w:line="360" w:lineRule="auto"/>
        <w:ind w:firstLine="480" w:firstLineChars="200"/>
        <w:rPr>
          <w:rFonts w:hint="default" w:ascii="Times New Roman" w:hAnsi="Times New Roman" w:eastAsia="宋体" w:cs="Times New Roman"/>
          <w:sz w:val="24"/>
          <w:szCs w:val="24"/>
          <w:highlight w:val="yellow"/>
          <w:lang w:val="en-US" w:eastAsia="zh-CN"/>
        </w:rPr>
      </w:pPr>
      <w:r>
        <w:rPr>
          <w:rFonts w:hint="default" w:ascii="Times New Roman" w:hAnsi="Times New Roman" w:eastAsia="宋体" w:cs="Times New Roman"/>
          <w:sz w:val="24"/>
          <w:szCs w:val="24"/>
          <w:highlight w:val="yellow"/>
          <w:lang w:val="en-US" w:eastAsia="zh-CN"/>
        </w:rPr>
        <w:t>维修功能——</w:t>
      </w:r>
      <w:r>
        <w:rPr>
          <w:rFonts w:hint="eastAsia" w:ascii="Times New Roman" w:hAnsi="Times New Roman" w:eastAsia="宋体" w:cs="Times New Roman"/>
          <w:sz w:val="24"/>
          <w:szCs w:val="24"/>
          <w:highlight w:val="yellow"/>
          <w:lang w:val="en-US" w:eastAsia="zh-CN"/>
        </w:rPr>
        <w:t>主要部件维护和维修细节</w:t>
      </w:r>
      <w:r>
        <w:rPr>
          <w:rFonts w:hint="default" w:ascii="Times New Roman" w:hAnsi="Times New Roman" w:eastAsia="宋体" w:cs="Times New Roman"/>
          <w:sz w:val="24"/>
          <w:szCs w:val="24"/>
          <w:highlight w:val="yellow"/>
          <w:lang w:val="en-US" w:eastAsia="zh-CN"/>
        </w:rPr>
        <w:t>，包括频次；</w:t>
      </w:r>
    </w:p>
    <w:p>
      <w:pPr>
        <w:spacing w:line="360" w:lineRule="auto"/>
        <w:ind w:firstLine="480" w:firstLineChars="200"/>
        <w:rPr>
          <w:rFonts w:hint="default" w:ascii="Times New Roman" w:hAnsi="Times New Roman" w:eastAsia="宋体" w:cs="Times New Roman"/>
          <w:sz w:val="24"/>
          <w:szCs w:val="24"/>
          <w:highlight w:val="yellow"/>
          <w:lang w:val="en-US" w:eastAsia="zh-CN"/>
        </w:rPr>
      </w:pPr>
      <w:r>
        <w:rPr>
          <w:rFonts w:hint="eastAsia" w:ascii="Times New Roman" w:hAnsi="Times New Roman" w:eastAsia="宋体" w:cs="Times New Roman"/>
          <w:sz w:val="24"/>
          <w:szCs w:val="24"/>
          <w:highlight w:val="yellow"/>
          <w:lang w:val="en-US" w:eastAsia="zh-CN"/>
        </w:rPr>
        <w:t>12.</w:t>
      </w:r>
      <w:r>
        <w:rPr>
          <w:rFonts w:hint="default" w:ascii="Times New Roman" w:hAnsi="Times New Roman" w:eastAsia="宋体" w:cs="Times New Roman"/>
          <w:sz w:val="24"/>
          <w:szCs w:val="24"/>
          <w:highlight w:val="yellow"/>
          <w:lang w:val="en-US" w:eastAsia="zh-CN"/>
        </w:rPr>
        <w:t>图纸</w:t>
      </w:r>
    </w:p>
    <w:p>
      <w:pPr>
        <w:spacing w:line="360" w:lineRule="auto"/>
        <w:ind w:firstLine="480" w:firstLineChars="200"/>
        <w:rPr>
          <w:rFonts w:hint="default" w:ascii="Times New Roman" w:hAnsi="Times New Roman" w:eastAsia="宋体" w:cs="Times New Roman"/>
          <w:sz w:val="24"/>
          <w:szCs w:val="24"/>
          <w:highlight w:val="yellow"/>
          <w:lang w:val="en-US" w:eastAsia="zh-CN"/>
        </w:rPr>
      </w:pPr>
      <w:r>
        <w:rPr>
          <w:rFonts w:hint="eastAsia" w:ascii="Times New Roman" w:hAnsi="Times New Roman" w:eastAsia="宋体" w:cs="Times New Roman"/>
          <w:sz w:val="24"/>
          <w:szCs w:val="24"/>
          <w:highlight w:val="yellow"/>
          <w:lang w:val="en-US" w:eastAsia="zh-CN"/>
        </w:rPr>
        <w:t>1</w:t>
      </w:r>
      <w:r>
        <w:rPr>
          <w:rFonts w:hint="default" w:ascii="Times New Roman" w:hAnsi="Times New Roman" w:eastAsia="宋体" w:cs="Times New Roman"/>
          <w:sz w:val="24"/>
          <w:szCs w:val="24"/>
          <w:highlight w:val="yellow"/>
          <w:lang w:val="en-US" w:eastAsia="zh-CN"/>
        </w:rPr>
        <w:t>2.1提供机械AutoCAD（.dwg）格式，电气EPLANP8可编辑格式的文件和电子数据。</w:t>
      </w:r>
    </w:p>
    <w:p>
      <w:pPr>
        <w:spacing w:line="360" w:lineRule="auto"/>
        <w:ind w:firstLine="480" w:firstLineChars="200"/>
        <w:rPr>
          <w:rFonts w:hint="default" w:ascii="Times New Roman" w:hAnsi="Times New Roman" w:eastAsia="宋体" w:cs="Times New Roman"/>
          <w:sz w:val="24"/>
          <w:szCs w:val="24"/>
          <w:highlight w:val="yellow"/>
          <w:lang w:val="en-US" w:eastAsia="zh-CN"/>
        </w:rPr>
      </w:pPr>
      <w:r>
        <w:rPr>
          <w:rFonts w:hint="eastAsia" w:ascii="Times New Roman" w:hAnsi="Times New Roman" w:eastAsia="宋体" w:cs="Times New Roman"/>
          <w:sz w:val="24"/>
          <w:szCs w:val="24"/>
          <w:highlight w:val="yellow"/>
          <w:lang w:val="en-US" w:eastAsia="zh-CN"/>
        </w:rPr>
        <w:t>1</w:t>
      </w:r>
      <w:r>
        <w:rPr>
          <w:rFonts w:hint="default" w:ascii="Times New Roman" w:hAnsi="Times New Roman" w:eastAsia="宋体" w:cs="Times New Roman"/>
          <w:sz w:val="24"/>
          <w:szCs w:val="24"/>
          <w:highlight w:val="yellow"/>
          <w:lang w:val="en-US" w:eastAsia="zh-CN"/>
        </w:rPr>
        <w:t>2.2提供所有设施和设备的图纸，包括总图、原理图。</w:t>
      </w:r>
    </w:p>
    <w:p>
      <w:pPr>
        <w:spacing w:line="360" w:lineRule="auto"/>
        <w:ind w:firstLine="480" w:firstLineChars="200"/>
        <w:rPr>
          <w:rFonts w:hint="default" w:ascii="Times New Roman" w:hAnsi="Times New Roman" w:eastAsia="宋体" w:cs="Times New Roman"/>
          <w:sz w:val="24"/>
          <w:szCs w:val="24"/>
          <w:highlight w:val="yellow"/>
          <w:lang w:val="en-US" w:eastAsia="zh-CN"/>
        </w:rPr>
      </w:pPr>
      <w:r>
        <w:rPr>
          <w:rFonts w:hint="eastAsia" w:ascii="Times New Roman" w:hAnsi="Times New Roman" w:eastAsia="宋体" w:cs="Times New Roman"/>
          <w:sz w:val="24"/>
          <w:szCs w:val="24"/>
          <w:highlight w:val="yellow"/>
          <w:lang w:val="en-US" w:eastAsia="zh-CN"/>
        </w:rPr>
        <w:t>1</w:t>
      </w:r>
      <w:r>
        <w:rPr>
          <w:rFonts w:hint="default" w:ascii="Times New Roman" w:hAnsi="Times New Roman" w:eastAsia="宋体" w:cs="Times New Roman"/>
          <w:sz w:val="24"/>
          <w:szCs w:val="24"/>
          <w:highlight w:val="yellow"/>
          <w:lang w:val="en-US" w:eastAsia="zh-CN"/>
        </w:rPr>
        <w:t>2.3在签订合同后立即进行设计图纸，并提供图纸，在整个阶段连续地进行。这些图纸包括，但不限于：</w:t>
      </w:r>
    </w:p>
    <w:p>
      <w:pPr>
        <w:spacing w:line="360" w:lineRule="auto"/>
        <w:ind w:firstLine="480" w:firstLineChars="200"/>
        <w:rPr>
          <w:rFonts w:hint="default" w:ascii="Times New Roman" w:hAnsi="Times New Roman" w:eastAsia="宋体" w:cs="Times New Roman"/>
          <w:sz w:val="24"/>
          <w:szCs w:val="24"/>
          <w:highlight w:val="yellow"/>
          <w:lang w:val="en-US" w:eastAsia="zh-CN"/>
        </w:rPr>
      </w:pPr>
      <w:r>
        <w:rPr>
          <w:rFonts w:hint="default" w:ascii="Times New Roman" w:hAnsi="Times New Roman" w:eastAsia="宋体" w:cs="Times New Roman"/>
          <w:sz w:val="24"/>
          <w:szCs w:val="24"/>
          <w:highlight w:val="yellow"/>
          <w:lang w:val="en-US" w:eastAsia="zh-CN"/>
        </w:rPr>
        <w:t>总的平面布置图和分图；</w:t>
      </w:r>
    </w:p>
    <w:p>
      <w:pPr>
        <w:spacing w:line="360" w:lineRule="auto"/>
        <w:ind w:firstLine="480" w:firstLineChars="200"/>
        <w:rPr>
          <w:rFonts w:hint="default" w:ascii="Times New Roman" w:hAnsi="Times New Roman" w:eastAsia="宋体" w:cs="Times New Roman"/>
          <w:sz w:val="24"/>
          <w:szCs w:val="24"/>
          <w:highlight w:val="yellow"/>
          <w:lang w:val="en-US" w:eastAsia="zh-CN"/>
        </w:rPr>
      </w:pPr>
      <w:r>
        <w:rPr>
          <w:rFonts w:hint="eastAsia" w:ascii="Times New Roman" w:hAnsi="Times New Roman" w:eastAsia="宋体" w:cs="Times New Roman"/>
          <w:sz w:val="24"/>
          <w:szCs w:val="24"/>
          <w:highlight w:val="yellow"/>
          <w:lang w:val="en-US" w:eastAsia="zh-CN"/>
        </w:rPr>
        <w:t>1</w:t>
      </w:r>
      <w:r>
        <w:rPr>
          <w:rFonts w:hint="default" w:ascii="Times New Roman" w:hAnsi="Times New Roman" w:eastAsia="宋体" w:cs="Times New Roman"/>
          <w:sz w:val="24"/>
          <w:szCs w:val="24"/>
          <w:highlight w:val="yellow"/>
          <w:lang w:val="en-US" w:eastAsia="zh-CN"/>
        </w:rPr>
        <w:t>2.4在制作开始前必须将所有平面图和分图交给本公司会签。提供二份图纸加一套电子文件。这种图纸的会签并不构成供货厂商可以不承担设计责任保证或者对设备顺利运用的责任。</w:t>
      </w:r>
    </w:p>
    <w:p>
      <w:pPr>
        <w:spacing w:line="360" w:lineRule="auto"/>
        <w:ind w:firstLine="480" w:firstLineChars="200"/>
        <w:rPr>
          <w:rFonts w:hint="default" w:ascii="Times New Roman" w:hAnsi="Times New Roman" w:eastAsia="宋体" w:cs="Times New Roman"/>
          <w:sz w:val="24"/>
          <w:szCs w:val="24"/>
          <w:highlight w:val="yellow"/>
          <w:lang w:val="en-US" w:eastAsia="zh-CN"/>
        </w:rPr>
      </w:pPr>
      <w:r>
        <w:rPr>
          <w:rFonts w:hint="eastAsia" w:ascii="Times New Roman" w:hAnsi="Times New Roman" w:eastAsia="宋体" w:cs="Times New Roman"/>
          <w:sz w:val="24"/>
          <w:szCs w:val="24"/>
          <w:highlight w:val="yellow"/>
          <w:lang w:val="en-US" w:eastAsia="zh-CN"/>
        </w:rPr>
        <w:t>1</w:t>
      </w:r>
      <w:r>
        <w:rPr>
          <w:rFonts w:hint="default" w:ascii="Times New Roman" w:hAnsi="Times New Roman" w:eastAsia="宋体" w:cs="Times New Roman"/>
          <w:sz w:val="24"/>
          <w:szCs w:val="24"/>
          <w:highlight w:val="yellow"/>
          <w:lang w:val="en-US" w:eastAsia="zh-CN"/>
        </w:rPr>
        <w:t>2.5在完工时要提供四套图纸和机械AutoCAD（.dwg）格式，电气EPLANP8电子版本图纸。</w:t>
      </w:r>
    </w:p>
    <w:p>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四、供货范围特别提示</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如果投标人认为本节所列的供货范围难以满足，则仍需要按照本要求提供，但该部分货物应当在投标报价中单独列明货物名称及品质、货值。</w:t>
      </w:r>
      <w:bookmarkStart w:id="38" w:name="_Toc169605883"/>
    </w:p>
    <w:p>
      <w:pPr>
        <w:pStyle w:val="20"/>
        <w:spacing w:line="360" w:lineRule="auto"/>
        <w:rPr>
          <w:rFonts w:hint="default" w:ascii="Times New Roman" w:hAnsi="Times New Roman" w:cs="Times New Roman"/>
        </w:rPr>
      </w:pPr>
    </w:p>
    <w:p>
      <w:pPr>
        <w:keepNext/>
        <w:keepLines/>
        <w:spacing w:line="360" w:lineRule="auto"/>
        <w:jc w:val="center"/>
        <w:outlineLvl w:val="2"/>
        <w:rPr>
          <w:rFonts w:hint="default" w:ascii="Times New Roman" w:hAnsi="Times New Roman" w:eastAsia="宋体" w:cs="Times New Roman"/>
          <w:b/>
          <w:bCs/>
          <w:sz w:val="24"/>
          <w:szCs w:val="32"/>
        </w:rPr>
      </w:pPr>
      <w:r>
        <w:rPr>
          <w:rFonts w:hint="default" w:ascii="Times New Roman" w:hAnsi="Times New Roman" w:eastAsia="宋体" w:cs="Times New Roman"/>
          <w:b/>
          <w:bCs/>
          <w:sz w:val="24"/>
          <w:szCs w:val="32"/>
        </w:rPr>
        <w:t>第二节  供货方式</w:t>
      </w:r>
      <w:bookmarkEnd w:id="38"/>
    </w:p>
    <w:p>
      <w:pPr>
        <w:spacing w:line="360" w:lineRule="auto"/>
        <w:ind w:firstLine="482" w:firstLineChars="200"/>
        <w:outlineLvl w:val="3"/>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一、供货方式</w:t>
      </w:r>
    </w:p>
    <w:p>
      <w:pPr>
        <w:spacing w:line="360" w:lineRule="auto"/>
        <w:ind w:firstLine="480" w:firstLineChars="200"/>
        <w:rPr>
          <w:rFonts w:hint="default" w:ascii="Times New Roman" w:hAnsi="Times New Roman" w:eastAsia="宋体" w:cs="Times New Roman"/>
          <w:b/>
          <w:i/>
          <w:sz w:val="24"/>
          <w:szCs w:val="24"/>
        </w:rPr>
      </w:pPr>
      <w:r>
        <w:rPr>
          <w:rFonts w:hint="default" w:ascii="Times New Roman" w:hAnsi="Times New Roman" w:eastAsia="宋体" w:cs="Times New Roman"/>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二、供货地点：</w:t>
      </w:r>
    </w:p>
    <w:p>
      <w:pPr>
        <w:spacing w:line="360" w:lineRule="auto"/>
        <w:ind w:firstLine="480" w:firstLineChars="200"/>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济南商用车</w:t>
      </w:r>
      <w:r>
        <w:rPr>
          <w:rFonts w:hint="default" w:ascii="Times New Roman" w:hAnsi="Times New Roman" w:eastAsia="宋体" w:cs="Times New Roman"/>
          <w:sz w:val="24"/>
          <w:szCs w:val="24"/>
          <w:u w:val="single"/>
          <w:lang w:val="en-US" w:eastAsia="zh-CN"/>
        </w:rPr>
        <w:t>制造</w:t>
      </w:r>
      <w:r>
        <w:rPr>
          <w:rFonts w:hint="default" w:ascii="Times New Roman" w:hAnsi="Times New Roman" w:eastAsia="宋体" w:cs="Times New Roman"/>
          <w:sz w:val="24"/>
          <w:szCs w:val="24"/>
          <w:u w:val="single"/>
        </w:rPr>
        <w:t>公司（章丘重汽工业园）</w:t>
      </w:r>
    </w:p>
    <w:p>
      <w:pPr>
        <w:spacing w:line="360" w:lineRule="auto"/>
        <w:ind w:firstLine="482" w:firstLineChars="200"/>
        <w:jc w:val="left"/>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三、供货时间</w:t>
      </w:r>
    </w:p>
    <w:p>
      <w:pPr>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1.自合同签定生效之日起，</w:t>
      </w:r>
      <w:r>
        <w:rPr>
          <w:rFonts w:hint="eastAsia" w:ascii="Times New Roman" w:hAnsi="Times New Roman" w:eastAsia="宋体" w:cs="Times New Roman"/>
          <w:sz w:val="24"/>
          <w:szCs w:val="24"/>
          <w:highlight w:val="yellow"/>
          <w:u w:val="single"/>
          <w:lang w:val="en-US" w:eastAsia="zh-CN"/>
        </w:rPr>
        <w:t>100</w:t>
      </w:r>
      <w:r>
        <w:rPr>
          <w:rFonts w:hint="default" w:ascii="Times New Roman" w:hAnsi="Times New Roman" w:eastAsia="宋体" w:cs="Times New Roman"/>
          <w:sz w:val="24"/>
          <w:szCs w:val="24"/>
        </w:rPr>
        <w:t>个日历日之内交货至供货地点。</w:t>
      </w:r>
    </w:p>
    <w:p>
      <w:pPr>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2.接续</w:t>
      </w:r>
      <w:r>
        <w:rPr>
          <w:rFonts w:hint="eastAsia" w:ascii="Times New Roman" w:hAnsi="Times New Roman" w:eastAsia="宋体" w:cs="Times New Roman"/>
          <w:sz w:val="24"/>
          <w:szCs w:val="24"/>
          <w:u w:val="single"/>
          <w:shd w:val="clear" w:color="auto" w:fill="FFFF00"/>
          <w:lang w:val="en-US" w:eastAsia="zh-CN"/>
        </w:rPr>
        <w:t>20</w:t>
      </w:r>
      <w:r>
        <w:rPr>
          <w:rFonts w:hint="default" w:ascii="Times New Roman" w:hAnsi="Times New Roman" w:eastAsia="宋体" w:cs="Times New Roman"/>
          <w:sz w:val="24"/>
          <w:szCs w:val="24"/>
        </w:rPr>
        <w:t>个日历日之内安装调试完毕。</w:t>
      </w:r>
    </w:p>
    <w:p>
      <w:pPr>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3.接续</w:t>
      </w:r>
      <w:r>
        <w:rPr>
          <w:rFonts w:hint="eastAsia" w:ascii="Times New Roman" w:hAnsi="Times New Roman" w:eastAsia="宋体" w:cs="Times New Roman"/>
          <w:sz w:val="24"/>
          <w:szCs w:val="24"/>
          <w:u w:val="single"/>
          <w:shd w:val="clear" w:color="auto" w:fill="FFFF00"/>
          <w:lang w:val="en-US" w:eastAsia="zh-CN"/>
        </w:rPr>
        <w:t>50</w:t>
      </w:r>
      <w:r>
        <w:rPr>
          <w:rFonts w:hint="default" w:ascii="Times New Roman" w:hAnsi="Times New Roman" w:eastAsia="宋体" w:cs="Times New Roman"/>
          <w:sz w:val="24"/>
          <w:szCs w:val="24"/>
        </w:rPr>
        <w:t>个日历日之内完成终验收。</w:t>
      </w:r>
    </w:p>
    <w:p>
      <w:pPr>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超过规定时间的，投标人应当随标书提供详细的工期计划。</w:t>
      </w:r>
    </w:p>
    <w:p>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四、包装</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4.应对包装件做必要的加固和固定，以防止运输可能造成的损坏。</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8.包装箱应连续编号，不应出现重复编号。</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五、运输</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2.同批货物（或设备）应统一包装、编号运输。</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5.货物（或设备）运抵交货地点后，应负责货物（或设备）的卸货、搬运、保管等事宜，或按照合同约定。</w:t>
      </w:r>
    </w:p>
    <w:p>
      <w:pPr>
        <w:adjustRightInd w:val="0"/>
        <w:snapToGrid w:val="0"/>
        <w:spacing w:line="360" w:lineRule="auto"/>
        <w:rPr>
          <w:rFonts w:hint="default" w:ascii="Times New Roman" w:hAnsi="Times New Roman" w:eastAsia="宋体" w:cs="Times New Roman"/>
          <w:szCs w:val="20"/>
        </w:rPr>
      </w:pPr>
    </w:p>
    <w:p>
      <w:pPr>
        <w:widowControl/>
        <w:spacing w:line="360" w:lineRule="auto"/>
        <w:jc w:val="left"/>
        <w:rPr>
          <w:rFonts w:hint="default" w:ascii="Times New Roman" w:hAnsi="Times New Roman" w:eastAsia="宋体" w:cs="Times New Roman"/>
          <w:b/>
          <w:bCs/>
          <w:kern w:val="44"/>
          <w:sz w:val="28"/>
          <w:szCs w:val="28"/>
        </w:rPr>
      </w:pPr>
      <w:bookmarkStart w:id="39" w:name="_Toc169605884"/>
    </w:p>
    <w:p>
      <w:pPr>
        <w:widowControl/>
        <w:spacing w:line="360" w:lineRule="auto"/>
        <w:jc w:val="center"/>
        <w:rPr>
          <w:rFonts w:hint="default" w:ascii="Times New Roman" w:hAnsi="Times New Roman" w:eastAsia="宋体" w:cs="Times New Roman"/>
          <w:b/>
          <w:bCs/>
          <w:kern w:val="44"/>
          <w:sz w:val="28"/>
          <w:szCs w:val="28"/>
        </w:rPr>
      </w:pPr>
      <w:r>
        <w:rPr>
          <w:rFonts w:hint="default" w:ascii="Times New Roman" w:hAnsi="Times New Roman" w:eastAsia="宋体" w:cs="Times New Roman"/>
          <w:b/>
          <w:bCs/>
          <w:kern w:val="44"/>
          <w:sz w:val="28"/>
          <w:szCs w:val="28"/>
        </w:rPr>
        <w:t>第四章</w:t>
      </w:r>
      <w:r>
        <w:rPr>
          <w:rFonts w:hint="default" w:ascii="Times New Roman" w:hAnsi="Times New Roman" w:eastAsia="宋体" w:cs="Times New Roman"/>
          <w:b/>
          <w:bCs/>
          <w:kern w:val="44"/>
          <w:sz w:val="28"/>
          <w:szCs w:val="28"/>
          <w:lang w:val="en-US" w:eastAsia="zh-CN"/>
        </w:rPr>
        <w:t xml:space="preserve"> </w:t>
      </w:r>
      <w:r>
        <w:rPr>
          <w:rFonts w:hint="default" w:ascii="Times New Roman" w:hAnsi="Times New Roman" w:eastAsia="宋体" w:cs="Times New Roman"/>
          <w:b/>
          <w:bCs/>
          <w:kern w:val="44"/>
          <w:sz w:val="28"/>
          <w:szCs w:val="28"/>
        </w:rPr>
        <w:t>质保期及售后服务</w:t>
      </w:r>
      <w:bookmarkEnd w:id="39"/>
    </w:p>
    <w:p>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一、质保期及质保要求</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1.全部供货范围内的设备、材料、零配件和工器具等，除合同特别约定外，其质保期均自终验收签字生效之日起</w:t>
      </w:r>
      <w:r>
        <w:rPr>
          <w:rFonts w:hint="default" w:ascii="Times New Roman" w:hAnsi="Times New Roman" w:eastAsia="宋体" w:cs="Times New Roman"/>
          <w:sz w:val="24"/>
          <w:szCs w:val="24"/>
          <w:highlight w:val="yellow"/>
          <w:u w:val="single"/>
        </w:rPr>
        <w:t>12</w:t>
      </w:r>
      <w:r>
        <w:rPr>
          <w:rFonts w:hint="default" w:ascii="Times New Roman" w:hAnsi="Times New Roman" w:eastAsia="宋体" w:cs="Times New Roman"/>
          <w:sz w:val="24"/>
          <w:szCs w:val="24"/>
        </w:rPr>
        <w:t>个月。</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设计使用寿命短于质保期的易损件除外，但属于易损件的，应当有明确说明。</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3.质保期内免费提供零部件和及时有效的服务。质保期内因货物本身缺陷造成的各种故障，卖方应负责免费维修和服务。给招标方造成的直接经济损失由投标方承担。</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4.质保期终止之日起</w:t>
      </w:r>
      <w:r>
        <w:rPr>
          <w:rFonts w:hint="default" w:ascii="Times New Roman" w:hAnsi="Times New Roman" w:eastAsia="宋体" w:cs="Times New Roman"/>
          <w:sz w:val="24"/>
          <w:szCs w:val="24"/>
          <w:highlight w:val="yellow"/>
          <w:u w:val="single"/>
        </w:rPr>
        <w:t>一年内</w:t>
      </w:r>
      <w:r>
        <w:rPr>
          <w:rFonts w:hint="default" w:ascii="Times New Roman" w:hAnsi="Times New Roman" w:eastAsia="宋体" w:cs="Times New Roman"/>
          <w:sz w:val="24"/>
          <w:szCs w:val="24"/>
        </w:rPr>
        <w:t>重复出现的质保期之内出现的故障，仍属质保范围而且应当免费。</w:t>
      </w:r>
    </w:p>
    <w:p>
      <w:pPr>
        <w:adjustRightInd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rPr>
        <w:t>软件要具备升级功能，在投产后</w:t>
      </w:r>
      <w:r>
        <w:rPr>
          <w:rFonts w:hint="eastAsia" w:ascii="Times New Roman" w:hAnsi="Times New Roman" w:eastAsia="宋体" w:cs="Times New Roman"/>
          <w:sz w:val="24"/>
          <w:szCs w:val="24"/>
          <w:highlight w:val="yellow"/>
        </w:rPr>
        <w:t>五年内</w:t>
      </w:r>
      <w:r>
        <w:rPr>
          <w:rFonts w:hint="eastAsia" w:ascii="Times New Roman" w:hAnsi="Times New Roman" w:eastAsia="宋体" w:cs="Times New Roman"/>
          <w:sz w:val="24"/>
          <w:szCs w:val="24"/>
        </w:rPr>
        <w:t>中标方负责为业主方免费升级。</w:t>
      </w:r>
    </w:p>
    <w:p>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二、技术及培训服务</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default" w:ascii="Times New Roman" w:hAnsi="Times New Roman" w:eastAsia="宋体" w:cs="Times New Roman"/>
          <w:color w:val="000000"/>
          <w:sz w:val="24"/>
          <w:szCs w:val="24"/>
          <w:u w:val="single"/>
          <w:shd w:val="pct10" w:color="auto" w:fill="FFFFFF"/>
        </w:rPr>
        <w:t>2</w:t>
      </w:r>
      <w:r>
        <w:rPr>
          <w:rFonts w:hint="default" w:ascii="Times New Roman" w:hAnsi="Times New Roman" w:eastAsia="宋体" w:cs="Times New Roman"/>
          <w:color w:val="000000"/>
          <w:sz w:val="24"/>
          <w:szCs w:val="24"/>
        </w:rPr>
        <w:t>个日历日。</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2.应免费提供一定数量的培训资料。</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5.应按要求免费积极协助和提供招标方以及招标方所委托的工程设计单位有关人员所需要的、与货物有关的工程设计资料、技术咨询等。</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6.若投标方提供货物涉及到外购外协货物、而且该货物的技术质量等较为关键时，投标方应能保证得到配套厂家的技术支持，并免费为招标方提供技术服务。</w:t>
      </w:r>
    </w:p>
    <w:p>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三、安装调试及验收服务</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6.服务缺陷视同货物缺陷和履约延期。</w:t>
      </w:r>
    </w:p>
    <w:p>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四、售后服务</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2.如发现所提供的货物存在问题，需要卖方解决或配合解决时：在质保期之内，应在接到通知后 24 小时内提供免费技术支持（不限于电话、远程 、邮件、视频等方式）；在质保期之外，应在接到通知后 48 小时内提供免费技术支持（不限于电话、远程 、邮件、视频等方式）。</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3.卖方派往买方使用现场的人员，应具有较高的业务素质；现场解决问题时，不得无故拖延或推迟，应为买方提供最佳的服务。</w:t>
      </w:r>
    </w:p>
    <w:p>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五、其它服务</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3.本章节条款所列“免费”，并非指定不可收费，而是指招标文件、投标文件、答疑文件、技术交流文件、技术标书和合同等范围之外，投标人不可另行收取的费用。</w:t>
      </w:r>
    </w:p>
    <w:p>
      <w:pPr>
        <w:pStyle w:val="20"/>
        <w:spacing w:line="360" w:lineRule="auto"/>
        <w:rPr>
          <w:rFonts w:hint="default" w:ascii="Times New Roman" w:hAnsi="Times New Roman" w:eastAsia="宋体" w:cs="Times New Roman"/>
          <w:b/>
          <w:bCs/>
          <w:kern w:val="44"/>
          <w:sz w:val="28"/>
          <w:szCs w:val="28"/>
        </w:rPr>
      </w:pPr>
      <w:bookmarkStart w:id="40" w:name="_Toc465187646"/>
    </w:p>
    <w:p>
      <w:pPr>
        <w:pStyle w:val="20"/>
        <w:spacing w:line="360" w:lineRule="auto"/>
        <w:jc w:val="center"/>
        <w:rPr>
          <w:rFonts w:hint="default" w:ascii="Times New Roman" w:hAnsi="Times New Roman" w:eastAsia="宋体" w:cs="Times New Roman"/>
          <w:b/>
          <w:bCs/>
          <w:kern w:val="44"/>
          <w:sz w:val="28"/>
          <w:szCs w:val="28"/>
        </w:rPr>
      </w:pPr>
      <w:r>
        <w:rPr>
          <w:rFonts w:hint="default" w:ascii="Times New Roman" w:hAnsi="Times New Roman" w:eastAsia="宋体" w:cs="Times New Roman"/>
          <w:b/>
          <w:bCs/>
          <w:kern w:val="44"/>
          <w:sz w:val="28"/>
          <w:szCs w:val="28"/>
        </w:rPr>
        <w:t>第五章  终验收</w:t>
      </w:r>
      <w:bookmarkEnd w:id="40"/>
    </w:p>
    <w:p>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一、验收依据和验收标准</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2.如果验收过程中，发现招标文件、投标文件、答疑文件、技术交流文件等与技术标书、合同存在差异，原则上以涉及条款中对买方最有利条款为验收依据。</w:t>
      </w:r>
    </w:p>
    <w:p>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二、检验</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1.国产货物的检验一般由买卖双方共同进行或按照合同要求进行。</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2.进口货物的检验，卖方需要按照下述要求进行：</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三、验收基本条件</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bookmarkStart w:id="41" w:name="_Toc465187647"/>
      <w:r>
        <w:rPr>
          <w:rFonts w:hint="default" w:ascii="Times New Roman" w:hAnsi="Times New Roman" w:eastAsia="宋体" w:cs="Times New Roman"/>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1.外观检查及供货清单确认：投标方提供的设备内容及数量应满足标书中的要求，文档资料应满足标书中的要求；设备应是全新的、完好的、无破损、无裂纹等。</w:t>
      </w:r>
    </w:p>
    <w:p>
      <w:pPr>
        <w:adjustRightInd w:val="0"/>
        <w:snapToGrid w:val="0"/>
        <w:spacing w:line="360" w:lineRule="auto"/>
        <w:ind w:firstLine="48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rPr>
        <w:t>2.设备运行时，货物应连续运行30天，每天连续10小时或单次连续运24小时。</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 出现下列问题之一，视作验收失败：</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3.1 在整个验收过程中发生关键零部件损坏或重大故障；</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3.2 一般性故障超过2次；</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3.3 所有出现的维修调整，每次时间均超过90分钟；所有维修调整时间的总和超过总运行时间的5%；</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3.4 更换的零部件货值超过总货值的1%。</w:t>
      </w:r>
    </w:p>
    <w:p>
      <w:pPr>
        <w:adjustRightInd w:val="0"/>
        <w:snapToGrid w:val="0"/>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4.累计负载运行实际性能（或生产率）达到合同规定。</w:t>
      </w:r>
    </w:p>
    <w:p>
      <w:pPr>
        <w:spacing w:line="360" w:lineRule="auto"/>
        <w:ind w:left="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5．系统完整性验收</w:t>
      </w:r>
    </w:p>
    <w:p>
      <w:pPr>
        <w:spacing w:line="360" w:lineRule="auto"/>
        <w:ind w:left="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a）对照技术要求中的供货范围，对提交的设备进行确认需提供完整的项目资料。</w:t>
      </w:r>
      <w:r>
        <w:rPr>
          <w:rFonts w:hint="eastAsia" w:ascii="Times New Roman" w:hAnsi="Times New Roman" w:eastAsia="宋体" w:cs="Times New Roman"/>
          <w:sz w:val="24"/>
          <w:szCs w:val="24"/>
          <w:lang w:eastAsia="zh-CN"/>
        </w:rPr>
        <w:t>招标方</w:t>
      </w:r>
      <w:r>
        <w:rPr>
          <w:rFonts w:hint="default" w:ascii="Times New Roman" w:hAnsi="Times New Roman" w:eastAsia="宋体" w:cs="Times New Roman"/>
          <w:sz w:val="24"/>
          <w:szCs w:val="24"/>
        </w:rPr>
        <w:t>对所提交的工程文件、文档资料进行确认。</w:t>
      </w:r>
    </w:p>
    <w:p>
      <w:pPr>
        <w:spacing w:line="360" w:lineRule="auto"/>
        <w:ind w:left="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b）</w:t>
      </w:r>
      <w:r>
        <w:rPr>
          <w:rFonts w:hint="eastAsia" w:ascii="Times New Roman" w:hAnsi="Times New Roman" w:eastAsia="宋体" w:cs="Times New Roman"/>
          <w:sz w:val="24"/>
          <w:szCs w:val="24"/>
          <w:lang w:eastAsia="zh-CN"/>
        </w:rPr>
        <w:t>投标方</w:t>
      </w:r>
      <w:r>
        <w:rPr>
          <w:rFonts w:hint="default" w:ascii="Times New Roman" w:hAnsi="Times New Roman" w:eastAsia="宋体" w:cs="Times New Roman"/>
          <w:sz w:val="24"/>
          <w:szCs w:val="24"/>
        </w:rPr>
        <w:t>提供完整的验收测试服务。</w:t>
      </w:r>
    </w:p>
    <w:p>
      <w:pPr>
        <w:spacing w:line="360" w:lineRule="auto"/>
        <w:ind w:left="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br w:type="page"/>
      </w:r>
    </w:p>
    <w:p>
      <w:pPr>
        <w:pStyle w:val="136"/>
        <w:spacing w:line="360" w:lineRule="auto"/>
        <w:outlineLvl w:val="1"/>
        <w:rPr>
          <w:rFonts w:hint="default" w:ascii="Times New Roman" w:hAnsi="Times New Roman" w:eastAsia="宋体" w:cs="Times New Roman"/>
          <w:b/>
          <w:bCs w:val="0"/>
          <w:i w:val="0"/>
          <w:iCs w:val="0"/>
          <w:color w:val="auto"/>
          <w:sz w:val="28"/>
        </w:rPr>
      </w:pPr>
      <w:r>
        <w:rPr>
          <w:rFonts w:hint="default" w:ascii="Times New Roman" w:hAnsi="Times New Roman" w:eastAsia="宋体" w:cs="Times New Roman"/>
          <w:b/>
          <w:bCs w:val="0"/>
          <w:i w:val="0"/>
          <w:iCs w:val="0"/>
          <w:color w:val="auto"/>
          <w:sz w:val="28"/>
        </w:rPr>
        <w:t>第六章  投标技术文件一般要求</w:t>
      </w:r>
      <w:bookmarkEnd w:id="41"/>
    </w:p>
    <w:p>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一、技术文件一般内容要求</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1.投标人应认真阅读招标文件和本技术标书，并按要求编写投标技术文件。</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3.投标技术文件至少应根据投标货物的关键设备、总成、零部件或系统作出满足或优于招标文件要求的详细说明。</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4.投标技术文件至少应按照招标文件要求（或投标人建议）列明备品备件、易损件和专用耗材明细。</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6.1备品备件、易损件和专用耗材明细表：</w:t>
      </w:r>
    </w:p>
    <w:p>
      <w:pPr>
        <w:adjustRightInd w:val="0"/>
        <w:snapToGrid w:val="0"/>
        <w:spacing w:line="360" w:lineRule="auto"/>
        <w:ind w:firstLine="2160" w:firstLineChars="9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备品备件、易损件和专用耗材明细表             单位：元</w:t>
      </w:r>
    </w:p>
    <w:tbl>
      <w:tblPr>
        <w:tblStyle w:val="41"/>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序号</w:t>
            </w:r>
          </w:p>
        </w:tc>
        <w:tc>
          <w:tcPr>
            <w:tcW w:w="1924" w:type="dxa"/>
          </w:tcPr>
          <w:p>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名称</w:t>
            </w:r>
          </w:p>
        </w:tc>
        <w:tc>
          <w:tcPr>
            <w:tcW w:w="1236" w:type="dxa"/>
          </w:tcPr>
          <w:p>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型号规格</w:t>
            </w: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单位</w:t>
            </w: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数量</w:t>
            </w: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单价</w:t>
            </w: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总价</w:t>
            </w:r>
          </w:p>
        </w:tc>
        <w:tc>
          <w:tcPr>
            <w:tcW w:w="2235" w:type="dxa"/>
          </w:tcPr>
          <w:p>
            <w:pPr>
              <w:adjustRightInd w:val="0"/>
              <w:snapToGrid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pPr>
              <w:adjustRightInd w:val="0"/>
              <w:snapToGrid w:val="0"/>
              <w:spacing w:line="360" w:lineRule="auto"/>
              <w:rPr>
                <w:rFonts w:hint="default" w:ascii="Times New Roman" w:hAnsi="Times New Roman" w:eastAsia="宋体" w:cs="Times New Roman"/>
                <w:sz w:val="24"/>
                <w:szCs w:val="24"/>
              </w:rPr>
            </w:pPr>
          </w:p>
        </w:tc>
        <w:tc>
          <w:tcPr>
            <w:tcW w:w="1236" w:type="dxa"/>
          </w:tcPr>
          <w:p>
            <w:pPr>
              <w:adjustRightInd w:val="0"/>
              <w:snapToGrid w:val="0"/>
              <w:spacing w:line="360" w:lineRule="auto"/>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pPr>
              <w:adjustRightInd w:val="0"/>
              <w:snapToGrid w:val="0"/>
              <w:spacing w:line="360" w:lineRule="auto"/>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pPr>
              <w:adjustRightInd w:val="0"/>
              <w:snapToGrid w:val="0"/>
              <w:spacing w:line="360" w:lineRule="auto"/>
              <w:rPr>
                <w:rFonts w:hint="default" w:ascii="Times New Roman" w:hAnsi="Times New Roman" w:eastAsia="宋体" w:cs="Times New Roman"/>
                <w:sz w:val="24"/>
                <w:szCs w:val="24"/>
              </w:rPr>
            </w:pPr>
          </w:p>
        </w:tc>
        <w:tc>
          <w:tcPr>
            <w:tcW w:w="1236" w:type="dxa"/>
          </w:tcPr>
          <w:p>
            <w:pPr>
              <w:adjustRightInd w:val="0"/>
              <w:snapToGrid w:val="0"/>
              <w:spacing w:line="360" w:lineRule="auto"/>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pPr>
              <w:adjustRightInd w:val="0"/>
              <w:snapToGrid w:val="0"/>
              <w:spacing w:line="360" w:lineRule="auto"/>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pPr>
              <w:adjustRightInd w:val="0"/>
              <w:snapToGrid w:val="0"/>
              <w:spacing w:line="360" w:lineRule="auto"/>
              <w:rPr>
                <w:rFonts w:hint="default" w:ascii="Times New Roman" w:hAnsi="Times New Roman" w:eastAsia="宋体" w:cs="Times New Roman"/>
                <w:sz w:val="24"/>
                <w:szCs w:val="24"/>
              </w:rPr>
            </w:pPr>
          </w:p>
        </w:tc>
        <w:tc>
          <w:tcPr>
            <w:tcW w:w="1236" w:type="dxa"/>
          </w:tcPr>
          <w:p>
            <w:pPr>
              <w:adjustRightInd w:val="0"/>
              <w:snapToGrid w:val="0"/>
              <w:spacing w:line="360" w:lineRule="auto"/>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pPr>
              <w:adjustRightInd w:val="0"/>
              <w:snapToGrid w:val="0"/>
              <w:spacing w:line="360" w:lineRule="auto"/>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pPr>
              <w:adjustRightInd w:val="0"/>
              <w:snapToGrid w:val="0"/>
              <w:spacing w:line="360" w:lineRule="auto"/>
              <w:rPr>
                <w:rFonts w:hint="default" w:ascii="Times New Roman" w:hAnsi="Times New Roman" w:eastAsia="宋体" w:cs="Times New Roman"/>
                <w:sz w:val="24"/>
                <w:szCs w:val="24"/>
              </w:rPr>
            </w:pPr>
          </w:p>
        </w:tc>
        <w:tc>
          <w:tcPr>
            <w:tcW w:w="1236" w:type="dxa"/>
          </w:tcPr>
          <w:p>
            <w:pPr>
              <w:adjustRightInd w:val="0"/>
              <w:snapToGrid w:val="0"/>
              <w:spacing w:line="360" w:lineRule="auto"/>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pPr>
              <w:adjustRightInd w:val="0"/>
              <w:snapToGrid w:val="0"/>
              <w:spacing w:line="360" w:lineRule="auto"/>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pPr>
              <w:adjustRightInd w:val="0"/>
              <w:snapToGrid w:val="0"/>
              <w:spacing w:line="360" w:lineRule="auto"/>
              <w:rPr>
                <w:rFonts w:hint="default" w:ascii="Times New Roman" w:hAnsi="Times New Roman" w:eastAsia="宋体" w:cs="Times New Roman"/>
                <w:sz w:val="24"/>
                <w:szCs w:val="24"/>
              </w:rPr>
            </w:pPr>
          </w:p>
        </w:tc>
        <w:tc>
          <w:tcPr>
            <w:tcW w:w="1236" w:type="dxa"/>
          </w:tcPr>
          <w:p>
            <w:pPr>
              <w:adjustRightInd w:val="0"/>
              <w:snapToGrid w:val="0"/>
              <w:spacing w:line="360" w:lineRule="auto"/>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pPr>
              <w:adjustRightInd w:val="0"/>
              <w:snapToGrid w:val="0"/>
              <w:spacing w:line="360" w:lineRule="auto"/>
              <w:rPr>
                <w:rFonts w:hint="default" w:ascii="Times New Roman" w:hAnsi="Times New Roman"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default" w:ascii="Times New Roman" w:hAnsi="Times New Roman" w:eastAsia="宋体" w:cs="Times New Roman"/>
                <w:sz w:val="24"/>
                <w:szCs w:val="24"/>
              </w:rPr>
            </w:pPr>
          </w:p>
        </w:tc>
        <w:tc>
          <w:tcPr>
            <w:tcW w:w="1924" w:type="dxa"/>
          </w:tcPr>
          <w:p>
            <w:pPr>
              <w:adjustRightInd w:val="0"/>
              <w:snapToGrid w:val="0"/>
              <w:spacing w:line="360" w:lineRule="auto"/>
              <w:rPr>
                <w:rFonts w:hint="default" w:ascii="Times New Roman" w:hAnsi="Times New Roman" w:eastAsia="宋体" w:cs="Times New Roman"/>
                <w:sz w:val="24"/>
                <w:szCs w:val="24"/>
              </w:rPr>
            </w:pPr>
          </w:p>
        </w:tc>
        <w:tc>
          <w:tcPr>
            <w:tcW w:w="1236" w:type="dxa"/>
          </w:tcPr>
          <w:p>
            <w:pPr>
              <w:adjustRightInd w:val="0"/>
              <w:snapToGrid w:val="0"/>
              <w:spacing w:line="360" w:lineRule="auto"/>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720" w:type="dxa"/>
          </w:tcPr>
          <w:p>
            <w:pPr>
              <w:adjustRightInd w:val="0"/>
              <w:snapToGrid w:val="0"/>
              <w:spacing w:line="360" w:lineRule="auto"/>
              <w:jc w:val="center"/>
              <w:rPr>
                <w:rFonts w:hint="default" w:ascii="Times New Roman" w:hAnsi="Times New Roman" w:eastAsia="宋体" w:cs="Times New Roman"/>
                <w:sz w:val="24"/>
                <w:szCs w:val="24"/>
              </w:rPr>
            </w:pPr>
          </w:p>
        </w:tc>
        <w:tc>
          <w:tcPr>
            <w:tcW w:w="2235" w:type="dxa"/>
          </w:tcPr>
          <w:p>
            <w:pPr>
              <w:adjustRightInd w:val="0"/>
              <w:snapToGrid w:val="0"/>
              <w:spacing w:line="360" w:lineRule="auto"/>
              <w:rPr>
                <w:rFonts w:hint="default" w:ascii="Times New Roman" w:hAnsi="Times New Roman" w:eastAsia="宋体" w:cs="Times New Roman"/>
                <w:sz w:val="24"/>
                <w:szCs w:val="24"/>
              </w:rPr>
            </w:pPr>
          </w:p>
        </w:tc>
      </w:tr>
    </w:tbl>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6.3应当尽可能将货物的配置列全、列细，这将有助于投标人胜出；</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6.4单价与总价之间、总价与分类小计价之间、分类小计价与合计价之间数据应当齐全而且准确；</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6.5  本条款表格中的制造商，应当为全称或公认的简称。</w:t>
      </w:r>
    </w:p>
    <w:p>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二、技术文件中货物报价格式要求</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2.如果投标总报价与其它价格出现错误或不一致，将有可能导致废标。</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4.备品备件、易损件和专用耗材，招标人将可能与投标人按照投标价格另行签署供货合同。</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5.要求投标总报价、分项报价、明细报价之间应当具有相互间对应关系以及填报分项和明细报价，仅为便于评标而不妨碍投标人以最合适的形式签署合同。</w:t>
      </w:r>
    </w:p>
    <w:p>
      <w:pPr>
        <w:spacing w:line="360" w:lineRule="auto"/>
        <w:ind w:firstLine="482" w:firstLineChars="200"/>
        <w:outlineLvl w:val="3"/>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三、验收标准及内容要求</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除招标文件明确的验收标准或内容之外，投标人应当在投标文件中提供预验收（必要时）和终验收的标准以及规程；在合同签定之前，经投标人和招标人双方洽谈确认并签署，以作为验收标准执行。</w:t>
      </w:r>
      <w:bookmarkStart w:id="42" w:name="_Toc326840041"/>
    </w:p>
    <w:p>
      <w:pPr>
        <w:adjustRightInd w:val="0"/>
        <w:snapToGrid w:val="0"/>
        <w:spacing w:line="360" w:lineRule="auto"/>
        <w:ind w:firstLine="480" w:firstLineChars="200"/>
        <w:rPr>
          <w:rFonts w:hint="default" w:ascii="Times New Roman" w:hAnsi="Times New Roman" w:eastAsia="宋体" w:cs="Times New Roman"/>
          <w:sz w:val="24"/>
          <w:szCs w:val="24"/>
        </w:rPr>
      </w:pPr>
    </w:p>
    <w:p>
      <w:pPr>
        <w:adjustRightInd w:val="0"/>
        <w:snapToGrid w:val="0"/>
        <w:spacing w:line="360" w:lineRule="auto"/>
        <w:ind w:firstLine="562" w:firstLineChars="200"/>
        <w:jc w:val="center"/>
        <w:rPr>
          <w:rFonts w:hint="default" w:ascii="Times New Roman" w:hAnsi="Times New Roman" w:eastAsia="宋体" w:cs="Times New Roman"/>
          <w:b/>
          <w:bCs w:val="0"/>
          <w:iCs/>
          <w:color w:val="auto"/>
          <w:sz w:val="28"/>
        </w:rPr>
      </w:pPr>
      <w:r>
        <w:rPr>
          <w:rFonts w:hint="default" w:ascii="Times New Roman" w:hAnsi="Times New Roman" w:eastAsia="宋体" w:cs="Times New Roman"/>
          <w:b/>
          <w:bCs w:val="0"/>
          <w:iCs/>
          <w:color w:val="auto"/>
          <w:sz w:val="28"/>
        </w:rPr>
        <w:t>第七章  其它要求及说明</w:t>
      </w:r>
      <w:bookmarkEnd w:id="42"/>
    </w:p>
    <w:p>
      <w:pPr>
        <w:spacing w:line="360" w:lineRule="auto"/>
        <w:ind w:firstLine="482" w:firstLineChars="200"/>
        <w:outlineLvl w:val="3"/>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一、要求</w:t>
      </w:r>
    </w:p>
    <w:p>
      <w:pPr>
        <w:pStyle w:val="36"/>
        <w:keepNext w:val="0"/>
        <w:keepLines w:val="0"/>
        <w:pageBreakBefore w:val="0"/>
        <w:widowControl w:val="0"/>
        <w:kinsoku/>
        <w:wordWrap/>
        <w:overflowPunct/>
        <w:topLinePunct w:val="0"/>
        <w:autoSpaceDE/>
        <w:autoSpaceDN/>
        <w:bidi w:val="0"/>
        <w:adjustRightInd/>
        <w:snapToGrid/>
        <w:spacing w:before="146" w:beforeLines="50" w:line="360" w:lineRule="auto"/>
        <w:ind w:firstLine="477" w:firstLineChars="199"/>
        <w:textAlignment w:val="auto"/>
        <w:rPr>
          <w:rFonts w:hint="default" w:ascii="Times New Roman" w:hAnsi="Times New Roman" w:cs="Times New Roman"/>
        </w:rPr>
      </w:pPr>
      <w:r>
        <w:rPr>
          <w:rFonts w:hint="default" w:ascii="Times New Roman" w:hAnsi="Times New Roman" w:cs="Times New Roman"/>
          <w:szCs w:val="24"/>
          <w:lang w:bidi="ar"/>
        </w:rPr>
        <w:t>为保证本技术标书所列采购货物的质量以及先进性、可靠性、经济性和实用性，要求投标方在投标文件中，至少应具备以下资格证明文件或资料：</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1、投标方应是独立法人或得到法人授权的机构。应当在投标文件中提供法人营业执照（复印件）、税务登记证以及组织机构代码证（国外供应商参考该要求提供有效证明文件），并保证其真实性和有效性。</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2、投标方应当是通过有关资格认证的法人。应当在投标文件中提供有效期内的资格认证证书，如：ISO9001、VDA6.1、QS9000等。并提供原件（中英文）</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3、国产设备应附有采购货物（或设备）涉及的由“中国质量认证中心”颁发的《中国国家强制性产品认证证书》（CCC证书）。</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4、应附有其它与投标单位、采购货物有关的荣誉证书或资料。</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5、必须附有投标货物涉及产品要求的、国家或行业管理规定要求的、或者投标方认为能够体现其投标货物合法性及先进性的最高级别的证明材料（投标货物不涉及的除外）：</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5.1  国家相关机构颁发的有效期之内所必需的《生产许可证》。</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5.2  产品（或技术）鉴定报告/证书、专利证书或专利许可证书、新技术成果证书等。</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5.3  产品相关检验、试验报告，如：型式试验检验报告、安全试验检验报告、电弧效应试验报告、噪声检测报告等</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5.4  其它能够证明所供货物的质量水平、技术水平、安全性水平、节能性水平、环保性水平等相关的其它证明文件或资料、报告等。</w:t>
      </w:r>
    </w:p>
    <w:p>
      <w:pPr>
        <w:spacing w:line="360" w:lineRule="auto"/>
        <w:ind w:firstLine="477" w:firstLineChars="19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5.5  该类报告或证明材料对于投标方胜出乃至中标极为重要！</w:t>
      </w:r>
    </w:p>
    <w:p>
      <w:pPr>
        <w:spacing w:line="360" w:lineRule="auto"/>
        <w:ind w:firstLine="479" w:firstLineChars="199"/>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6、必须附有：202</w:t>
      </w:r>
      <w:r>
        <w:rPr>
          <w:rFonts w:hint="eastAsia" w:ascii="Times New Roman" w:hAnsi="Times New Roman" w:eastAsia="宋体" w:cs="Times New Roman"/>
          <w:b/>
          <w:color w:val="000000"/>
          <w:sz w:val="24"/>
          <w:szCs w:val="24"/>
          <w:lang w:val="en-US" w:eastAsia="zh-CN"/>
        </w:rPr>
        <w:t>1</w:t>
      </w:r>
      <w:r>
        <w:rPr>
          <w:rFonts w:hint="default" w:ascii="Times New Roman" w:hAnsi="Times New Roman" w:eastAsia="宋体" w:cs="Times New Roman"/>
          <w:b/>
          <w:color w:val="000000"/>
          <w:sz w:val="24"/>
          <w:szCs w:val="24"/>
        </w:rPr>
        <w:t>年1月1日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pPr>
        <w:spacing w:line="360" w:lineRule="auto"/>
        <w:ind w:firstLine="482" w:firstLineChars="200"/>
        <w:outlineLvl w:val="3"/>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二、说明</w:t>
      </w:r>
    </w:p>
    <w:p>
      <w:pPr>
        <w:keepNext w:val="0"/>
        <w:keepLines w:val="0"/>
        <w:pageBreakBefore w:val="0"/>
        <w:widowControl w:val="0"/>
        <w:kinsoku/>
        <w:wordWrap/>
        <w:overflowPunct/>
        <w:topLinePunct w:val="0"/>
        <w:autoSpaceDE/>
        <w:autoSpaceDN/>
        <w:bidi w:val="0"/>
        <w:adjustRightInd/>
        <w:snapToGrid/>
        <w:spacing w:before="146" w:beforeLines="5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1、投标方可以根据自身的技术、经验等优势以及对招标文件和本技术标书的理解，写明对招标方所采购货物的优化方案或建议意见。投标方的这些努力，投标方表示感谢，并将有助于投标方优先胜出。</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3、请投标方仔细阅读“采购货物概况”章节内说明，针对允许分投分中的货物，招标方有权利选择其中优秀设备或服务，作为投标方合同供货范围中的指定选用设备或服务（替代投标方分投而未中标部分）。</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4、招标文件、投标文件、答疑文件、技术交流文件、技术协议书等，在采购过程全部为有效文件，如有差异，以对招标方最有利的条款为准。</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bidi="ar"/>
        </w:rPr>
        <w:t>5、为避免歧异，本技术标书涉及招投标环节的条款，均将潜在的卖方称为投标方、将买方称为招标方；定标后合同签署环节以及后续的合同执行环节条款，招标方称为买方、投标方中的中标方称为卖方。</w:t>
      </w:r>
    </w:p>
    <w:p/>
    <w:p>
      <w:pPr>
        <w:spacing w:line="276" w:lineRule="auto"/>
        <w:jc w:val="center"/>
        <w:rPr>
          <w:rFonts w:hint="eastAsia" w:ascii="Calibri" w:hAnsi="宋体" w:eastAsia="宋体" w:cs="Times New Roman"/>
          <w:b/>
          <w:bCs/>
          <w:color w:val="000000"/>
          <w:spacing w:val="-8"/>
          <w:sz w:val="48"/>
          <w:szCs w:val="44"/>
        </w:rPr>
      </w:pPr>
    </w:p>
    <w:p>
      <w:pPr>
        <w:pStyle w:val="2"/>
        <w:rPr>
          <w:rFonts w:hint="eastAsia" w:ascii="Calibri" w:hAnsi="宋体" w:eastAsia="宋体" w:cs="Times New Roman"/>
          <w:b/>
          <w:bCs/>
          <w:color w:val="000000"/>
          <w:spacing w:val="-8"/>
          <w:sz w:val="48"/>
          <w:szCs w:val="44"/>
        </w:rPr>
      </w:pPr>
    </w:p>
    <w:p>
      <w:pPr>
        <w:rPr>
          <w:rFonts w:hint="eastAsia" w:ascii="Calibri" w:hAnsi="宋体" w:eastAsia="宋体" w:cs="Times New Roman"/>
          <w:b/>
          <w:bCs/>
          <w:color w:val="000000"/>
          <w:spacing w:val="-8"/>
          <w:sz w:val="48"/>
          <w:szCs w:val="44"/>
        </w:rPr>
      </w:pPr>
    </w:p>
    <w:p>
      <w:pPr>
        <w:pStyle w:val="2"/>
        <w:rPr>
          <w:rFonts w:hint="eastAsia" w:ascii="Calibri" w:hAnsi="宋体" w:eastAsia="宋体" w:cs="Times New Roman"/>
          <w:b/>
          <w:bCs/>
          <w:color w:val="000000"/>
          <w:spacing w:val="-8"/>
          <w:sz w:val="48"/>
          <w:szCs w:val="44"/>
        </w:rPr>
      </w:pPr>
    </w:p>
    <w:p>
      <w:pPr>
        <w:rPr>
          <w:rFonts w:hint="eastAsia" w:ascii="Calibri" w:hAnsi="宋体" w:eastAsia="宋体" w:cs="Times New Roman"/>
          <w:b/>
          <w:bCs/>
          <w:color w:val="000000"/>
          <w:spacing w:val="-8"/>
          <w:sz w:val="48"/>
          <w:szCs w:val="44"/>
        </w:rPr>
      </w:pPr>
    </w:p>
    <w:p>
      <w:pPr>
        <w:pStyle w:val="2"/>
        <w:rPr>
          <w:rFonts w:hint="eastAsia" w:ascii="Calibri" w:hAnsi="宋体" w:eastAsia="宋体" w:cs="Times New Roman"/>
          <w:b/>
          <w:bCs/>
          <w:color w:val="000000"/>
          <w:spacing w:val="-8"/>
          <w:sz w:val="48"/>
          <w:szCs w:val="44"/>
        </w:rPr>
      </w:pPr>
    </w:p>
    <w:p>
      <w:pPr>
        <w:spacing w:line="360" w:lineRule="auto"/>
        <w:jc w:val="center"/>
        <w:outlineLvl w:val="0"/>
        <w:rPr>
          <w:rFonts w:ascii="宋体" w:hAnsi="Calibri" w:eastAsia="宋体" w:cs="Times New Roman"/>
          <w:b/>
          <w:sz w:val="36"/>
          <w:szCs w:val="36"/>
        </w:rPr>
      </w:pPr>
      <w:bookmarkStart w:id="43"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3"/>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both"/>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20"/>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2"/>
        </w:rPr>
        <w:sectPr>
          <w:headerReference r:id="rId13" w:type="default"/>
          <w:footerReference r:id="rId14"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bookmarkStart w:id="44"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left="0" w:leftChars="0" w:right="-189" w:rightChars="-90" w:firstLine="0" w:firstLineChars="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5" w:name="_Toc11823"/>
      <w:bookmarkStart w:id="46" w:name="_Toc17619"/>
      <w:bookmarkStart w:id="47" w:name="_Toc16330018"/>
      <w:bookmarkStart w:id="48" w:name="_Toc11930"/>
      <w:r>
        <w:rPr>
          <w:rFonts w:hint="eastAsia" w:ascii="黑体" w:hAnsi="黑体" w:eastAsia="黑体" w:cstheme="minorEastAsia"/>
          <w:b w:val="0"/>
          <w:sz w:val="28"/>
          <w:szCs w:val="28"/>
        </w:rPr>
        <w:t>1 合同设备</w:t>
      </w:r>
      <w:bookmarkEnd w:id="45"/>
      <w:bookmarkEnd w:id="46"/>
      <w:bookmarkEnd w:id="47"/>
      <w:bookmarkEnd w:id="4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49" w:name="_Toc29026"/>
      <w:bookmarkStart w:id="50" w:name="_Toc32510"/>
      <w:bookmarkStart w:id="51" w:name="_Toc2280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2" w:name="_Toc16330019"/>
      <w:r>
        <w:rPr>
          <w:rFonts w:hint="eastAsia" w:ascii="黑体" w:hAnsi="黑体" w:eastAsia="黑体" w:cstheme="minorEastAsia"/>
          <w:b w:val="0"/>
          <w:sz w:val="28"/>
          <w:szCs w:val="28"/>
        </w:rPr>
        <w:t>2 包装</w:t>
      </w:r>
      <w:bookmarkEnd w:id="49"/>
      <w:bookmarkEnd w:id="50"/>
      <w:bookmarkEnd w:id="51"/>
      <w:bookmarkEnd w:id="5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3" w:name="_Toc16330020"/>
      <w:bookmarkStart w:id="54" w:name="_Toc27144"/>
      <w:bookmarkStart w:id="55" w:name="_Toc2833"/>
      <w:bookmarkStart w:id="56" w:name="_Toc27453"/>
      <w:r>
        <w:rPr>
          <w:rFonts w:hint="eastAsia" w:ascii="黑体" w:hAnsi="黑体" w:eastAsia="黑体" w:cstheme="minorEastAsia"/>
          <w:b w:val="0"/>
          <w:sz w:val="28"/>
          <w:szCs w:val="28"/>
        </w:rPr>
        <w:t>3 运输标记</w:t>
      </w:r>
      <w:bookmarkEnd w:id="53"/>
      <w:bookmarkEnd w:id="54"/>
      <w:bookmarkEnd w:id="55"/>
      <w:bookmarkEnd w:id="5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7" w:name="_Toc7431"/>
      <w:bookmarkStart w:id="58" w:name="_Toc10630"/>
      <w:bookmarkStart w:id="59" w:name="_Toc16133"/>
      <w:bookmarkStart w:id="60" w:name="_Toc16330021"/>
      <w:r>
        <w:rPr>
          <w:rFonts w:hint="eastAsia" w:ascii="黑体" w:hAnsi="黑体" w:eastAsia="黑体" w:cstheme="minorEastAsia"/>
          <w:b w:val="0"/>
          <w:sz w:val="28"/>
          <w:szCs w:val="28"/>
        </w:rPr>
        <w:t>4 检验</w:t>
      </w:r>
      <w:bookmarkEnd w:id="57"/>
      <w:bookmarkEnd w:id="58"/>
      <w:bookmarkEnd w:id="59"/>
      <w:bookmarkEnd w:id="6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1" w:name="_Toc24467"/>
      <w:bookmarkStart w:id="62" w:name="_Toc16330022"/>
      <w:bookmarkStart w:id="63" w:name="_Toc19850"/>
      <w:bookmarkStart w:id="64" w:name="_Toc11217"/>
      <w:r>
        <w:rPr>
          <w:rFonts w:hint="eastAsia" w:ascii="黑体" w:hAnsi="黑体" w:eastAsia="黑体" w:cstheme="minorEastAsia"/>
          <w:b w:val="0"/>
          <w:sz w:val="28"/>
          <w:szCs w:val="28"/>
        </w:rPr>
        <w:t>5 权利担保</w:t>
      </w:r>
      <w:bookmarkEnd w:id="61"/>
      <w:bookmarkEnd w:id="62"/>
      <w:bookmarkEnd w:id="63"/>
      <w:bookmarkEnd w:id="6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5" w:name="_Toc14809"/>
      <w:bookmarkStart w:id="66" w:name="_Toc16330023"/>
      <w:bookmarkStart w:id="67" w:name="_Toc11759"/>
      <w:bookmarkStart w:id="68" w:name="_Toc27500"/>
      <w:r>
        <w:rPr>
          <w:rFonts w:hint="eastAsia" w:ascii="黑体" w:hAnsi="黑体" w:eastAsia="黑体" w:cstheme="minorEastAsia"/>
          <w:b w:val="0"/>
          <w:sz w:val="28"/>
          <w:szCs w:val="28"/>
        </w:rPr>
        <w:t>6 交货</w:t>
      </w:r>
      <w:bookmarkEnd w:id="65"/>
      <w:bookmarkEnd w:id="66"/>
      <w:bookmarkEnd w:id="67"/>
      <w:bookmarkEnd w:id="6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9" w:name="_Toc16330024"/>
      <w:bookmarkStart w:id="70" w:name="_Toc25510"/>
      <w:bookmarkStart w:id="71" w:name="_Toc8024"/>
      <w:bookmarkStart w:id="72" w:name="_Toc2984"/>
      <w:r>
        <w:rPr>
          <w:rFonts w:hint="eastAsia" w:ascii="黑体" w:hAnsi="黑体" w:eastAsia="黑体" w:cstheme="minorEastAsia"/>
          <w:b w:val="0"/>
          <w:sz w:val="28"/>
          <w:szCs w:val="28"/>
        </w:rPr>
        <w:t>7 安装、调试</w:t>
      </w:r>
      <w:bookmarkEnd w:id="69"/>
      <w:bookmarkEnd w:id="70"/>
      <w:bookmarkEnd w:id="71"/>
      <w:bookmarkEnd w:id="72"/>
    </w:p>
    <w:p>
      <w:pPr>
        <w:pStyle w:val="15"/>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3" w:name="_Toc14098"/>
      <w:bookmarkStart w:id="74" w:name="_Toc6350"/>
      <w:bookmarkStart w:id="75" w:name="_Toc14260"/>
      <w:bookmarkStart w:id="76" w:name="_Toc16330025"/>
      <w:r>
        <w:rPr>
          <w:rFonts w:hint="eastAsia" w:ascii="黑体" w:hAnsi="黑体" w:eastAsia="黑体" w:cstheme="minorEastAsia"/>
          <w:b w:val="0"/>
          <w:sz w:val="28"/>
          <w:szCs w:val="28"/>
        </w:rPr>
        <w:t>8 价款与支付</w:t>
      </w:r>
      <w:bookmarkEnd w:id="73"/>
      <w:bookmarkEnd w:id="74"/>
      <w:bookmarkEnd w:id="75"/>
      <w:bookmarkEnd w:id="7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w:t>
      </w:r>
      <w:r>
        <w:rPr>
          <w:rFonts w:hint="eastAsia" w:ascii="仿宋_GB2312" w:hAnsi="黑体" w:eastAsia="仿宋_GB2312" w:cstheme="minorEastAsia"/>
          <w:sz w:val="24"/>
          <w:szCs w:val="24"/>
          <w:lang w:val="en-US" w:eastAsia="zh-CN"/>
        </w:rPr>
        <w:t>6</w:t>
      </w:r>
      <w:r>
        <w:rPr>
          <w:rFonts w:hint="eastAsia" w:ascii="仿宋_GB2312" w:hAnsi="黑体" w:eastAsia="仿宋_GB2312" w:cstheme="minorEastAsia"/>
          <w:sz w:val="24"/>
          <w:szCs w:val="24"/>
        </w:rPr>
        <w:t>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77" w:name="_Toc14676804"/>
      <w:bookmarkStart w:id="78"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77"/>
      <w:bookmarkEnd w:id="78"/>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9" w:name="_Toc24085"/>
      <w:bookmarkStart w:id="80" w:name="_Toc25708"/>
      <w:bookmarkStart w:id="81" w:name="_Toc6726"/>
      <w:bookmarkStart w:id="82" w:name="_Toc16330026"/>
      <w:r>
        <w:rPr>
          <w:rFonts w:hint="eastAsia" w:ascii="黑体" w:hAnsi="黑体" w:eastAsia="黑体" w:cstheme="minorEastAsia"/>
          <w:b w:val="0"/>
          <w:sz w:val="28"/>
          <w:szCs w:val="28"/>
        </w:rPr>
        <w:t>9 质量保证及售后服务</w:t>
      </w:r>
      <w:bookmarkEnd w:id="79"/>
      <w:bookmarkEnd w:id="80"/>
      <w:bookmarkEnd w:id="81"/>
      <w:bookmarkEnd w:id="8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3" w:name="_Toc15570"/>
      <w:bookmarkStart w:id="84" w:name="_Toc10359"/>
      <w:bookmarkStart w:id="85" w:name="_Toc12927"/>
      <w:bookmarkStart w:id="86" w:name="_Toc16330027"/>
      <w:r>
        <w:rPr>
          <w:rFonts w:hint="eastAsia" w:ascii="黑体" w:hAnsi="黑体" w:eastAsia="黑体" w:cstheme="minorEastAsia"/>
          <w:b w:val="0"/>
          <w:sz w:val="28"/>
          <w:szCs w:val="28"/>
        </w:rPr>
        <w:t>10法定责任</w:t>
      </w:r>
      <w:bookmarkEnd w:id="83"/>
      <w:bookmarkEnd w:id="84"/>
      <w:bookmarkEnd w:id="85"/>
      <w:bookmarkEnd w:id="8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7" w:name="_Toc9708"/>
      <w:bookmarkStart w:id="88" w:name="_Toc30381"/>
      <w:bookmarkStart w:id="89" w:name="_Toc27314"/>
      <w:bookmarkStart w:id="90" w:name="_Toc16330028"/>
      <w:r>
        <w:rPr>
          <w:rFonts w:hint="eastAsia" w:ascii="黑体" w:hAnsi="黑体" w:eastAsia="黑体" w:cstheme="minorEastAsia"/>
          <w:b w:val="0"/>
          <w:sz w:val="28"/>
          <w:szCs w:val="28"/>
        </w:rPr>
        <w:t>11 违约责任</w:t>
      </w:r>
      <w:bookmarkEnd w:id="87"/>
      <w:bookmarkEnd w:id="88"/>
      <w:bookmarkEnd w:id="89"/>
      <w:bookmarkEnd w:id="9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1" w:name="_Toc16330029"/>
      <w:bookmarkStart w:id="92" w:name="_Toc1827"/>
      <w:bookmarkStart w:id="93" w:name="_Toc9172"/>
      <w:bookmarkStart w:id="94" w:name="_Toc31554"/>
      <w:r>
        <w:rPr>
          <w:rFonts w:hint="eastAsia" w:ascii="黑体" w:hAnsi="黑体" w:eastAsia="黑体" w:cstheme="minorEastAsia"/>
          <w:b w:val="0"/>
          <w:sz w:val="28"/>
          <w:szCs w:val="28"/>
        </w:rPr>
        <w:t>12 合同的终止与解除</w:t>
      </w:r>
      <w:bookmarkEnd w:id="91"/>
      <w:bookmarkEnd w:id="92"/>
      <w:bookmarkEnd w:id="93"/>
      <w:bookmarkEnd w:id="9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5" w:name="_Toc16330030"/>
      <w:bookmarkStart w:id="96" w:name="_Toc8620"/>
      <w:bookmarkStart w:id="97" w:name="_Toc13671"/>
      <w:bookmarkStart w:id="98" w:name="_Toc31945"/>
      <w:r>
        <w:rPr>
          <w:rFonts w:hint="eastAsia" w:ascii="黑体" w:hAnsi="黑体" w:eastAsia="黑体" w:cstheme="minorEastAsia"/>
          <w:b w:val="0"/>
          <w:sz w:val="28"/>
          <w:szCs w:val="28"/>
        </w:rPr>
        <w:t>13 不可抗力</w:t>
      </w:r>
      <w:bookmarkEnd w:id="95"/>
      <w:bookmarkEnd w:id="96"/>
      <w:bookmarkEnd w:id="97"/>
      <w:bookmarkEnd w:id="9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9" w:name="_Toc31243"/>
      <w:bookmarkStart w:id="100" w:name="_Toc16330031"/>
      <w:bookmarkStart w:id="101" w:name="_Toc30389"/>
      <w:bookmarkStart w:id="102" w:name="_Toc637"/>
      <w:r>
        <w:rPr>
          <w:rFonts w:hint="eastAsia" w:ascii="黑体" w:hAnsi="黑体" w:eastAsia="黑体" w:cstheme="minorEastAsia"/>
          <w:b w:val="0"/>
          <w:sz w:val="28"/>
          <w:szCs w:val="28"/>
        </w:rPr>
        <w:t>14 通讯</w:t>
      </w:r>
      <w:bookmarkEnd w:id="99"/>
      <w:bookmarkEnd w:id="100"/>
      <w:bookmarkEnd w:id="101"/>
      <w:bookmarkEnd w:id="10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5"/>
        <w:tabs>
          <w:tab w:val="right" w:leader="dot" w:pos="9061"/>
        </w:tabs>
        <w:spacing w:before="240" w:beforeLines="100"/>
        <w:jc w:val="both"/>
        <w:rPr>
          <w:rFonts w:ascii="黑体" w:hAnsi="黑体" w:eastAsia="黑体" w:cstheme="minorEastAsia"/>
          <w:b w:val="0"/>
          <w:sz w:val="28"/>
          <w:szCs w:val="28"/>
        </w:rPr>
      </w:pPr>
      <w:bookmarkStart w:id="103" w:name="_Toc12984"/>
      <w:bookmarkStart w:id="104" w:name="_Toc11290"/>
      <w:bookmarkStart w:id="105" w:name="_Toc9915"/>
      <w:bookmarkStart w:id="106" w:name="_Toc16330032"/>
      <w:r>
        <w:rPr>
          <w:rFonts w:hint="eastAsia" w:ascii="黑体" w:hAnsi="黑体" w:eastAsia="黑体" w:cstheme="minorEastAsia"/>
          <w:b w:val="0"/>
          <w:sz w:val="28"/>
          <w:szCs w:val="28"/>
        </w:rPr>
        <w:t>15 适用法律及争议解决</w:t>
      </w:r>
      <w:bookmarkEnd w:id="103"/>
      <w:bookmarkEnd w:id="104"/>
      <w:bookmarkEnd w:id="105"/>
      <w:bookmarkEnd w:id="10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7" w:name="_Toc23765"/>
      <w:bookmarkStart w:id="108" w:name="_Toc16330033"/>
      <w:bookmarkStart w:id="109" w:name="_Toc18207"/>
      <w:bookmarkStart w:id="110" w:name="_Toc23906"/>
      <w:r>
        <w:rPr>
          <w:rFonts w:hint="eastAsia" w:ascii="黑体" w:hAnsi="黑体" w:eastAsia="黑体" w:cstheme="minorEastAsia"/>
          <w:b w:val="0"/>
          <w:sz w:val="28"/>
          <w:szCs w:val="28"/>
        </w:rPr>
        <w:t>16 附件</w:t>
      </w:r>
      <w:bookmarkEnd w:id="107"/>
      <w:bookmarkEnd w:id="108"/>
      <w:bookmarkEnd w:id="109"/>
      <w:bookmarkEnd w:id="11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1" w:name="_Toc17656"/>
      <w:bookmarkStart w:id="112" w:name="_Toc27202"/>
      <w:bookmarkStart w:id="113" w:name="_Toc16330034"/>
      <w:bookmarkStart w:id="114" w:name="_Toc31331"/>
      <w:r>
        <w:rPr>
          <w:rFonts w:hint="eastAsia" w:ascii="黑体" w:hAnsi="黑体" w:eastAsia="黑体" w:cstheme="minorEastAsia"/>
          <w:b w:val="0"/>
          <w:sz w:val="28"/>
          <w:szCs w:val="28"/>
        </w:rPr>
        <w:t>17 其他规定</w:t>
      </w:r>
      <w:bookmarkEnd w:id="111"/>
      <w:bookmarkEnd w:id="112"/>
      <w:bookmarkEnd w:id="113"/>
      <w:bookmarkEnd w:id="11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15" w:name="_Toc17952"/>
      <w:bookmarkStart w:id="116" w:name="_Toc29136"/>
      <w:bookmarkStart w:id="117" w:name="_Toc19077"/>
      <w:bookmarkStart w:id="118" w:name="_Toc16330035"/>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5"/>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15"/>
      <w:bookmarkEnd w:id="116"/>
      <w:bookmarkEnd w:id="117"/>
      <w:bookmarkEnd w:id="11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5"/>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0"/>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黑体" w:hAnsi="黑体" w:eastAsia="黑体" w:cstheme="minorEastAsia"/>
          <w:b w:val="0"/>
          <w:bCs/>
          <w:i/>
          <w:iCs w:val="0"/>
          <w:sz w:val="28"/>
          <w:szCs w:val="28"/>
        </w:rPr>
      </w:pPr>
      <w:bookmarkStart w:id="119" w:name="_Toc24623"/>
      <w:bookmarkStart w:id="120" w:name="_Toc3778"/>
      <w:bookmarkStart w:id="121" w:name="_Toc25120"/>
      <w:bookmarkStart w:id="122" w:name="_Toc16330037"/>
      <w:bookmarkStart w:id="123" w:name="_Toc5379"/>
      <w:r>
        <w:rPr>
          <w:rFonts w:hint="eastAsia" w:ascii="黑体" w:hAnsi="黑体" w:eastAsia="黑体" w:cstheme="minorEastAsia"/>
          <w:b w:val="0"/>
          <w:sz w:val="28"/>
          <w:szCs w:val="28"/>
        </w:rPr>
        <w:t xml:space="preserve">附件二 </w:t>
      </w:r>
      <w:bookmarkEnd w:id="119"/>
      <w:bookmarkEnd w:id="120"/>
      <w:bookmarkEnd w:id="121"/>
      <w:bookmarkEnd w:id="122"/>
      <w:bookmarkEnd w:id="123"/>
      <w:r>
        <w:rPr>
          <w:rFonts w:hint="eastAsia" w:ascii="黑体" w:hAnsi="黑体" w:eastAsia="黑体" w:cstheme="minorEastAsia"/>
          <w:b w:val="0"/>
          <w:sz w:val="28"/>
          <w:szCs w:val="28"/>
        </w:rPr>
        <w:t>技术协议书</w:t>
      </w:r>
    </w:p>
    <w:p>
      <w:pPr>
        <w:ind w:right="360"/>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pPr>
        <w:jc w:val="right"/>
        <w:rPr>
          <w:rFonts w:asciiTheme="minorEastAsia" w:hAnsiTheme="minorEastAsia" w:eastAsiaTheme="minorEastAsia" w:cstheme="minorEastAsia"/>
          <w:sz w:val="20"/>
          <w:szCs w:val="20"/>
        </w:rPr>
      </w:pPr>
    </w:p>
    <w:p>
      <w:pPr>
        <w:wordWrap w:val="0"/>
        <w:ind w:right="480"/>
        <w:rPr>
          <w:rFonts w:asciiTheme="minorEastAsia" w:hAnsiTheme="minorEastAsia" w:eastAsiaTheme="minorEastAsia" w:cstheme="minorEastAsia"/>
          <w:sz w:val="20"/>
          <w:szCs w:val="20"/>
        </w:rPr>
      </w:pPr>
    </w:p>
    <w:p>
      <w:pPr>
        <w:jc w:val="right"/>
        <w:rPr>
          <w:rFonts w:ascii="楷体_GB2312" w:hAnsi="宋体" w:eastAsia="楷体_GB2312"/>
          <w:sz w:val="24"/>
        </w:rPr>
      </w:pPr>
      <w:bookmarkStart w:id="124" w:name="_Toc14341849"/>
    </w:p>
    <w:p>
      <w:pPr>
        <w:ind w:right="480"/>
        <w:jc w:val="center"/>
        <w:rPr>
          <w:sz w:val="24"/>
          <w:szCs w:val="24"/>
        </w:rPr>
      </w:pPr>
      <w:r>
        <w:rPr>
          <w:rFonts w:hint="eastAsia" w:ascii="楷体_GB2312" w:hAnsi="宋体" w:eastAsia="楷体_GB2312"/>
          <w:sz w:val="24"/>
        </w:rPr>
        <w:t xml:space="preserve">                                    </w:t>
      </w:r>
    </w:p>
    <w:bookmarkEnd w:id="124"/>
    <w:p>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2"/>
        <w:spacing w:before="8"/>
        <w:ind w:left="0" w:firstLine="0"/>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2"/>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2"/>
        <w:ind w:left="0" w:firstLine="0"/>
        <w:rPr>
          <w:rFonts w:ascii="楷体" w:hAnsi="楷体" w:eastAsia="楷体" w:cs="楷体"/>
          <w:b/>
          <w:sz w:val="24"/>
          <w:szCs w:val="28"/>
        </w:rPr>
      </w:pPr>
    </w:p>
    <w:p>
      <w:pPr>
        <w:pStyle w:val="2"/>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2"/>
        <w:ind w:left="0" w:firstLine="0"/>
        <w:rPr>
          <w:rFonts w:ascii="楷体" w:hAnsi="楷体" w:eastAsia="楷体" w:cs="楷体"/>
          <w:b/>
          <w:sz w:val="24"/>
          <w:szCs w:val="28"/>
        </w:rPr>
      </w:pPr>
    </w:p>
    <w:p>
      <w:pPr>
        <w:pStyle w:val="2"/>
        <w:spacing w:before="4"/>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hint="eastAsia" w:ascii="Calibri" w:hAnsi="Calibri" w:eastAsia="宋体" w:cs="Times New Roman"/>
          <w:b/>
          <w:bCs/>
          <w:kern w:val="44"/>
          <w:sz w:val="36"/>
          <w:szCs w:val="44"/>
        </w:rPr>
        <w:sectPr>
          <w:footerReference r:id="rId17" w:type="first"/>
          <w:headerReference r:id="rId15" w:type="default"/>
          <w:footerReference r:id="rId16" w:type="default"/>
          <w:pgSz w:w="11906" w:h="16838"/>
          <w:pgMar w:top="1588" w:right="1418" w:bottom="1134" w:left="1418" w:header="851" w:footer="992" w:gutter="0"/>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4"/>
    </w:p>
    <w:p>
      <w:pPr>
        <w:keepNext/>
        <w:keepLines/>
        <w:outlineLvl w:val="9"/>
        <w:rPr>
          <w:rFonts w:hint="eastAsia" w:ascii="Times New Roman" w:hAnsi="Times New Roman" w:eastAsia="宋体" w:cs="Times New Roman"/>
          <w:b/>
          <w:bCs/>
          <w:color w:val="000000"/>
          <w:sz w:val="24"/>
          <w:szCs w:val="24"/>
        </w:rPr>
      </w:pPr>
    </w:p>
    <w:p>
      <w:pPr>
        <w:pStyle w:val="20"/>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20"/>
        <w:rPr>
          <w:rFonts w:hint="eastAsia" w:ascii="Times New Roman" w:hAnsi="Times New Roman" w:eastAsia="宋体" w:cs="Times New Roman"/>
          <w:b/>
          <w:bCs/>
          <w:color w:val="000000"/>
          <w:sz w:val="24"/>
          <w:szCs w:val="24"/>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5" w:name="_Toc639004"/>
      <w:bookmarkStart w:id="126" w:name="_Toc212369550"/>
      <w:bookmarkStart w:id="127" w:name="_Toc25811"/>
      <w:bookmarkStart w:id="128"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5"/>
      <w:bookmarkEnd w:id="126"/>
      <w:bookmarkEnd w:id="127"/>
      <w:bookmarkEnd w:id="128"/>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济南商用车公司汕德卡驾驶室车门内腔喷蜡项目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济南商用车公司汕德卡驾驶室车门内腔喷蜡项目</w:t>
      </w:r>
      <w:r>
        <w:rPr>
          <w:rFonts w:hint="eastAsia" w:ascii="宋体" w:hAnsi="宋体" w:eastAsia="宋体" w:cs="Times New Roman"/>
          <w:color w:val="000000"/>
          <w:sz w:val="24"/>
          <w:szCs w:val="24"/>
        </w:rPr>
        <w:t>（</w:t>
      </w:r>
      <w:r>
        <w:rPr>
          <w:rFonts w:hint="eastAsia" w:ascii="宋体" w:hAnsi="宋体" w:eastAsia="宋体" w:cs="Times New Roman"/>
          <w:color w:val="auto"/>
          <w:sz w:val="24"/>
          <w:szCs w:val="24"/>
          <w:lang w:eastAsia="zh-CN"/>
        </w:rPr>
        <w:t>CGZX2025010120</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1956" w:type="dxa"/>
          </w:tcPr>
          <w:p>
            <w:pPr>
              <w:pStyle w:val="135"/>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6" w:hRule="atLeast"/>
        </w:trPr>
        <w:tc>
          <w:tcPr>
            <w:tcW w:w="1956" w:type="dxa"/>
          </w:tcPr>
          <w:p>
            <w:pPr>
              <w:pStyle w:val="135"/>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1" w:hRule="atLeast"/>
        </w:trPr>
        <w:tc>
          <w:tcPr>
            <w:tcW w:w="1956" w:type="dxa"/>
          </w:tcPr>
          <w:p>
            <w:pPr>
              <w:pStyle w:val="135"/>
              <w:spacing w:before="111" w:line="360" w:lineRule="auto"/>
              <w:ind w:left="509"/>
              <w:rPr>
                <w:highlight w:val="yellow"/>
              </w:rPr>
            </w:pPr>
            <w:r>
              <w:t xml:space="preserve">企业法人代表  </w:t>
            </w:r>
          </w:p>
        </w:tc>
        <w:tc>
          <w:tcPr>
            <w:tcW w:w="4680" w:type="dxa"/>
            <w:gridSpan w:val="4"/>
          </w:tcPr>
          <w:p>
            <w:pPr>
              <w:pStyle w:val="6"/>
              <w:keepNext w:val="0"/>
              <w:keepLines w:val="0"/>
              <w:widowControl/>
              <w:shd w:val="clear" w:color="auto" w:fill="FFFFFF"/>
              <w:spacing w:before="0" w:after="0" w:line="360" w:lineRule="auto"/>
              <w:rPr>
                <w:rFonts w:ascii="宋体" w:hAnsi="宋体" w:cs="宋体"/>
                <w:color w:val="000000" w:themeColor="text1"/>
                <w14:textFill>
                  <w14:solidFill>
                    <w14:schemeClr w14:val="tx1"/>
                  </w14:solidFill>
                </w14:textFill>
              </w:rPr>
            </w:pPr>
          </w:p>
        </w:tc>
        <w:tc>
          <w:tcPr>
            <w:tcW w:w="1310" w:type="dxa"/>
          </w:tcPr>
          <w:p>
            <w:pPr>
              <w:pStyle w:val="135"/>
              <w:spacing w:before="103" w:line="360" w:lineRule="auto"/>
              <w:ind w:right="26"/>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实缴资金</w:t>
            </w:r>
          </w:p>
        </w:tc>
        <w:tc>
          <w:tcPr>
            <w:tcW w:w="1510" w:type="dxa"/>
            <w:vAlign w:val="center"/>
          </w:tcPr>
          <w:p>
            <w:pPr>
              <w:widowControl/>
              <w:spacing w:line="360" w:lineRule="auto"/>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2" w:hRule="atLeast"/>
        </w:trPr>
        <w:tc>
          <w:tcPr>
            <w:tcW w:w="1956" w:type="dxa"/>
          </w:tcPr>
          <w:p>
            <w:pPr>
              <w:pStyle w:val="135"/>
              <w:spacing w:before="114"/>
              <w:ind w:left="720"/>
            </w:pPr>
            <w:r>
              <w:t xml:space="preserve">品牌区分 </w:t>
            </w:r>
          </w:p>
        </w:tc>
        <w:tc>
          <w:tcPr>
            <w:tcW w:w="7500" w:type="dxa"/>
            <w:gridSpan w:val="6"/>
          </w:tcPr>
          <w:p>
            <w:pPr>
              <w:pStyle w:val="135"/>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2" w:hRule="atLeast"/>
        </w:trPr>
        <w:tc>
          <w:tcPr>
            <w:tcW w:w="1956" w:type="dxa"/>
          </w:tcPr>
          <w:p>
            <w:pPr>
              <w:pStyle w:val="135"/>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5"/>
              <w:spacing w:before="15"/>
              <w:ind w:left="279"/>
            </w:pPr>
            <w:r>
              <w:rPr>
                <w:spacing w:val="-2"/>
              </w:rPr>
              <w:t>质量</w:t>
            </w:r>
            <w:r>
              <w:t xml:space="preserve"> </w:t>
            </w:r>
          </w:p>
          <w:p>
            <w:pPr>
              <w:pStyle w:val="135"/>
              <w:spacing w:before="30" w:line="277" w:lineRule="exact"/>
              <w:ind w:left="279"/>
            </w:pPr>
            <w:r>
              <w:rPr>
                <w:rFonts w:hint="eastAsia"/>
              </w:rPr>
              <w:t>体系</w:t>
            </w:r>
          </w:p>
        </w:tc>
        <w:tc>
          <w:tcPr>
            <w:tcW w:w="2820" w:type="dxa"/>
            <w:gridSpan w:val="2"/>
          </w:tcPr>
          <w:p>
            <w:pPr>
              <w:pStyle w:val="135"/>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5" w:hRule="atLeast"/>
        </w:trPr>
        <w:tc>
          <w:tcPr>
            <w:tcW w:w="9456" w:type="dxa"/>
            <w:gridSpan w:val="7"/>
          </w:tcPr>
          <w:p>
            <w:pPr>
              <w:pStyle w:val="135"/>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0"/>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济南商用车公司汕德卡驾驶室车门内腔喷蜡项目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济南商用车公司汕德卡驾驶室车门内腔喷蜡项目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3185"/>
        <w:gridCol w:w="1292"/>
        <w:gridCol w:w="1335"/>
        <w:gridCol w:w="1824"/>
        <w:gridCol w:w="2362"/>
        <w:gridCol w:w="13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3185"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292"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18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292"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2"/>
                <w:lang w:bidi="ar"/>
              </w:rPr>
              <w:t>1</w:t>
            </w:r>
          </w:p>
        </w:tc>
        <w:tc>
          <w:tcPr>
            <w:tcW w:w="3185" w:type="dxa"/>
            <w:vAlign w:val="center"/>
          </w:tcPr>
          <w:p>
            <w:pPr>
              <w:overflowPunct w:val="0"/>
              <w:snapToGrid w:val="0"/>
              <w:spacing w:line="400" w:lineRule="exact"/>
              <w:jc w:val="center"/>
              <w:rPr>
                <w:rFonts w:hint="eastAsia" w:ascii="宋体" w:hAnsi="宋体" w:eastAsia="宋体" w:cs="宋体"/>
                <w:sz w:val="24"/>
                <w:szCs w:val="24"/>
                <w:highlight w:val="none"/>
                <w:lang w:val="en-US" w:eastAsia="zh-CN"/>
              </w:rPr>
            </w:pPr>
            <w:r>
              <w:rPr>
                <w:rFonts w:hint="eastAsia" w:ascii="仿宋" w:hAnsi="仿宋" w:eastAsia="仿宋" w:cs="宋体"/>
                <w:bCs/>
                <w:kern w:val="0"/>
                <w:sz w:val="24"/>
              </w:rPr>
              <w:t>喷防锈蜡输送模组</w:t>
            </w:r>
            <w:r>
              <w:rPr>
                <w:rFonts w:hint="eastAsia" w:ascii="仿宋" w:hAnsi="仿宋" w:eastAsia="仿宋" w:cs="宋体"/>
                <w:bCs/>
                <w:kern w:val="0"/>
                <w:sz w:val="24"/>
                <w:lang w:eastAsia="zh-CN"/>
              </w:rPr>
              <w:t>（200L 加热蜡罐 、气动蜡液搅拌器、供蜡主泵、高压软管</w:t>
            </w:r>
            <w:r>
              <w:rPr>
                <w:rFonts w:hint="eastAsia" w:ascii="仿宋" w:hAnsi="仿宋" w:eastAsia="仿宋" w:cs="宋体"/>
                <w:bCs/>
                <w:kern w:val="0"/>
                <w:sz w:val="24"/>
                <w:lang w:val="en-US" w:eastAsia="zh-CN"/>
              </w:rPr>
              <w:t>等</w:t>
            </w:r>
            <w:r>
              <w:rPr>
                <w:rFonts w:hint="eastAsia" w:ascii="仿宋" w:hAnsi="仿宋" w:eastAsia="仿宋" w:cs="宋体"/>
                <w:bCs/>
                <w:kern w:val="0"/>
                <w:sz w:val="24"/>
                <w:lang w:eastAsia="zh-CN"/>
              </w:rPr>
              <w:t>）</w:t>
            </w:r>
          </w:p>
        </w:tc>
        <w:tc>
          <w:tcPr>
            <w:tcW w:w="1292" w:type="dxa"/>
            <w:vAlign w:val="center"/>
          </w:tcPr>
          <w:p>
            <w:pPr>
              <w:widowControl/>
              <w:jc w:val="center"/>
              <w:textAlignment w:val="center"/>
              <w:rPr>
                <w:rFonts w:hint="eastAsia" w:ascii="宋体" w:hAnsi="宋体" w:eastAsia="宋体" w:cs="宋体"/>
                <w:sz w:val="24"/>
                <w:szCs w:val="24"/>
                <w:highlight w:val="none"/>
                <w:lang w:val="en-US" w:eastAsia="zh-CN"/>
              </w:rPr>
            </w:pPr>
          </w:p>
        </w:tc>
        <w:tc>
          <w:tcPr>
            <w:tcW w:w="1335" w:type="dxa"/>
            <w:vAlign w:val="center"/>
          </w:tcPr>
          <w:p>
            <w:pPr>
              <w:jc w:val="center"/>
              <w:rPr>
                <w:rFonts w:hint="default" w:ascii="Arial" w:eastAsiaTheme="minorEastAsia"/>
                <w:sz w:val="24"/>
                <w:szCs w:val="24"/>
                <w:highlight w:val="none"/>
                <w:lang w:val="en-US" w:eastAsia="zh-CN"/>
              </w:rPr>
            </w:pPr>
            <w:r>
              <w:rPr>
                <w:rFonts w:hint="eastAsia" w:ascii="Times New Roman" w:hAnsi="Times New Roman" w:eastAsia="宋体" w:cs="Times New Roman"/>
                <w:sz w:val="24"/>
                <w:szCs w:val="24"/>
                <w:highlight w:val="none"/>
                <w:lang w:val="en-US" w:eastAsia="zh-CN"/>
              </w:rPr>
              <w:t>组</w:t>
            </w:r>
          </w:p>
        </w:tc>
        <w:tc>
          <w:tcPr>
            <w:tcW w:w="1824" w:type="dxa"/>
            <w:vAlign w:val="center"/>
          </w:tcPr>
          <w:p>
            <w:pPr>
              <w:spacing w:line="300" w:lineRule="auto"/>
              <w:jc w:val="center"/>
              <w:rPr>
                <w:rFonts w:ascii="Arial"/>
                <w:sz w:val="24"/>
                <w:szCs w:val="24"/>
                <w:highlight w:val="none"/>
              </w:rPr>
            </w:pPr>
            <w:r>
              <w:rPr>
                <w:rFonts w:hint="eastAsia" w:ascii="宋体" w:hAnsi="宋体" w:eastAsia="宋体" w:cs="Arial"/>
                <w:sz w:val="21"/>
                <w:szCs w:val="21"/>
                <w:highlight w:val="none"/>
              </w:rPr>
              <w:t>1</w:t>
            </w:r>
          </w:p>
        </w:tc>
        <w:tc>
          <w:tcPr>
            <w:tcW w:w="2362" w:type="dxa"/>
            <w:tcBorders>
              <w:left w:val="single" w:color="000000" w:sz="4" w:space="0"/>
            </w:tcBorders>
            <w:vAlign w:val="center"/>
          </w:tcPr>
          <w:p>
            <w:pPr>
              <w:widowControl/>
              <w:jc w:val="center"/>
              <w:textAlignment w:val="center"/>
              <w:rPr>
                <w:rFonts w:hint="eastAsia" w:ascii="Arial" w:hAnsiTheme="minorHAnsi" w:eastAsiaTheme="minorEastAsia" w:cstheme="minorBidi"/>
                <w:kern w:val="2"/>
                <w:sz w:val="24"/>
                <w:szCs w:val="24"/>
                <w:highlight w:val="none"/>
                <w:lang w:val="en-US" w:eastAsia="zh-CN" w:bidi="ar-SA"/>
              </w:rPr>
            </w:pPr>
          </w:p>
        </w:tc>
        <w:tc>
          <w:tcPr>
            <w:tcW w:w="1355" w:type="dxa"/>
          </w:tcPr>
          <w:p>
            <w:pPr>
              <w:spacing w:line="240" w:lineRule="auto"/>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widowControl/>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2"/>
                <w:lang w:bidi="ar"/>
              </w:rPr>
              <w:t>2</w:t>
            </w:r>
          </w:p>
        </w:tc>
        <w:tc>
          <w:tcPr>
            <w:tcW w:w="3185" w:type="dxa"/>
            <w:vAlign w:val="center"/>
          </w:tcPr>
          <w:p>
            <w:pPr>
              <w:overflowPunct w:val="0"/>
              <w:snapToGrid w:val="0"/>
              <w:spacing w:line="400" w:lineRule="exact"/>
              <w:jc w:val="center"/>
              <w:rPr>
                <w:rFonts w:hint="eastAsia" w:ascii="宋体" w:hAnsi="宋体" w:eastAsia="宋体" w:cs="宋体"/>
                <w:sz w:val="24"/>
                <w:szCs w:val="24"/>
                <w:highlight w:val="none"/>
                <w:lang w:val="en-US" w:eastAsia="zh-CN"/>
              </w:rPr>
            </w:pPr>
            <w:r>
              <w:rPr>
                <w:rFonts w:hint="eastAsia" w:ascii="仿宋" w:hAnsi="仿宋" w:eastAsia="仿宋" w:cs="宋体"/>
                <w:bCs/>
                <w:kern w:val="0"/>
                <w:sz w:val="24"/>
              </w:rPr>
              <w:t>枪站出口</w:t>
            </w:r>
            <w:r>
              <w:rPr>
                <w:rFonts w:hint="eastAsia" w:ascii="仿宋" w:hAnsi="仿宋" w:eastAsia="仿宋" w:cs="宋体"/>
                <w:bCs/>
                <w:kern w:val="0"/>
                <w:sz w:val="24"/>
                <w:lang w:eastAsia="zh-CN"/>
              </w:rPr>
              <w:t>（手动喷枪、高压蜡液调压器、枪站蜡液过滤器</w:t>
            </w:r>
            <w:r>
              <w:rPr>
                <w:rFonts w:hint="eastAsia" w:ascii="仿宋" w:hAnsi="仿宋" w:eastAsia="仿宋" w:cs="宋体"/>
                <w:bCs/>
                <w:kern w:val="0"/>
                <w:sz w:val="24"/>
                <w:lang w:val="en-US" w:eastAsia="zh-CN"/>
              </w:rPr>
              <w:t>等</w:t>
            </w:r>
            <w:r>
              <w:rPr>
                <w:rFonts w:hint="eastAsia" w:ascii="仿宋" w:hAnsi="仿宋" w:eastAsia="仿宋" w:cs="宋体"/>
                <w:bCs/>
                <w:kern w:val="0"/>
                <w:sz w:val="24"/>
                <w:lang w:eastAsia="zh-CN"/>
              </w:rPr>
              <w:t>）</w:t>
            </w:r>
          </w:p>
        </w:tc>
        <w:tc>
          <w:tcPr>
            <w:tcW w:w="1292" w:type="dxa"/>
            <w:vAlign w:val="center"/>
          </w:tcPr>
          <w:p>
            <w:pPr>
              <w:widowControl/>
              <w:jc w:val="center"/>
              <w:textAlignment w:val="center"/>
              <w:rPr>
                <w:rFonts w:hint="eastAsia" w:ascii="宋体" w:hAnsi="宋体" w:eastAsia="宋体" w:cs="宋体"/>
                <w:sz w:val="24"/>
                <w:szCs w:val="24"/>
                <w:highlight w:val="none"/>
                <w:lang w:val="en-US" w:eastAsia="zh-CN"/>
              </w:rPr>
            </w:pPr>
          </w:p>
        </w:tc>
        <w:tc>
          <w:tcPr>
            <w:tcW w:w="1335" w:type="dxa"/>
            <w:vAlign w:val="center"/>
          </w:tcPr>
          <w:p>
            <w:pPr>
              <w:jc w:val="center"/>
              <w:rPr>
                <w:rFonts w:hint="eastAsia" w:ascii="Arial" w:eastAsiaTheme="minorEastAsia"/>
                <w:sz w:val="24"/>
                <w:szCs w:val="24"/>
                <w:highlight w:val="none"/>
                <w:lang w:eastAsia="zh-CN"/>
              </w:rPr>
            </w:pPr>
            <w:r>
              <w:rPr>
                <w:rFonts w:hint="eastAsia" w:ascii="Times New Roman" w:hAnsi="Times New Roman" w:eastAsia="宋体" w:cs="Times New Roman"/>
                <w:sz w:val="24"/>
                <w:szCs w:val="24"/>
                <w:highlight w:val="none"/>
                <w:lang w:val="en-US" w:eastAsia="zh-CN"/>
              </w:rPr>
              <w:t>个</w:t>
            </w:r>
          </w:p>
        </w:tc>
        <w:tc>
          <w:tcPr>
            <w:tcW w:w="1824" w:type="dxa"/>
            <w:vAlign w:val="center"/>
          </w:tcPr>
          <w:p>
            <w:pPr>
              <w:spacing w:line="300" w:lineRule="auto"/>
              <w:jc w:val="center"/>
              <w:rPr>
                <w:rFonts w:ascii="Arial"/>
                <w:sz w:val="24"/>
                <w:szCs w:val="24"/>
                <w:highlight w:val="none"/>
              </w:rPr>
            </w:pPr>
            <w:r>
              <w:rPr>
                <w:rFonts w:hint="eastAsia" w:ascii="仿宋" w:hAnsi="仿宋" w:eastAsia="仿宋" w:cs="仿宋"/>
                <w:bCs/>
                <w:kern w:val="0"/>
                <w:sz w:val="24"/>
                <w:szCs w:val="22"/>
                <w:highlight w:val="none"/>
                <w:lang w:val="en-US" w:eastAsia="zh-CN" w:bidi="ar-SA"/>
              </w:rPr>
              <w:t>1</w:t>
            </w:r>
          </w:p>
        </w:tc>
        <w:tc>
          <w:tcPr>
            <w:tcW w:w="2362" w:type="dxa"/>
            <w:tcBorders>
              <w:left w:val="single" w:color="000000" w:sz="4" w:space="0"/>
            </w:tcBorders>
            <w:vAlign w:val="center"/>
          </w:tcPr>
          <w:p>
            <w:pPr>
              <w:widowControl/>
              <w:jc w:val="center"/>
              <w:textAlignment w:val="center"/>
              <w:rPr>
                <w:rFonts w:hint="eastAsia" w:ascii="Arial" w:hAnsiTheme="minorHAnsi" w:eastAsiaTheme="minorEastAsia" w:cstheme="minorBidi"/>
                <w:kern w:val="2"/>
                <w:sz w:val="24"/>
                <w:szCs w:val="24"/>
                <w:highlight w:val="none"/>
                <w:lang w:val="en-US" w:eastAsia="zh-CN" w:bidi="ar-SA"/>
              </w:rPr>
            </w:pPr>
          </w:p>
        </w:tc>
        <w:tc>
          <w:tcPr>
            <w:tcW w:w="1355" w:type="dxa"/>
          </w:tcPr>
          <w:p>
            <w:pPr>
              <w:spacing w:line="240" w:lineRule="auto"/>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widowControl/>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2"/>
                <w:lang w:bidi="ar"/>
              </w:rPr>
              <w:t>3</w:t>
            </w:r>
          </w:p>
        </w:tc>
        <w:tc>
          <w:tcPr>
            <w:tcW w:w="3185" w:type="dxa"/>
            <w:vAlign w:val="center"/>
          </w:tcPr>
          <w:p>
            <w:pPr>
              <w:overflowPunct w:val="0"/>
              <w:snapToGrid w:val="0"/>
              <w:spacing w:line="400" w:lineRule="exact"/>
              <w:jc w:val="center"/>
              <w:rPr>
                <w:rFonts w:hint="eastAsia" w:ascii="宋体" w:hAnsi="宋体" w:eastAsia="宋体"/>
                <w:sz w:val="24"/>
                <w:szCs w:val="24"/>
                <w:lang w:bidi="ar"/>
              </w:rPr>
            </w:pPr>
            <w:r>
              <w:rPr>
                <w:rFonts w:hint="eastAsia" w:ascii="仿宋" w:hAnsi="仿宋" w:eastAsia="仿宋" w:cs="宋体"/>
                <w:bCs/>
                <w:kern w:val="0"/>
                <w:sz w:val="24"/>
              </w:rPr>
              <w:t>8段温度控制柜</w:t>
            </w:r>
          </w:p>
        </w:tc>
        <w:tc>
          <w:tcPr>
            <w:tcW w:w="1292" w:type="dxa"/>
            <w:vAlign w:val="center"/>
          </w:tcPr>
          <w:p>
            <w:pPr>
              <w:widowControl/>
              <w:jc w:val="center"/>
              <w:textAlignment w:val="center"/>
              <w:rPr>
                <w:rFonts w:hint="eastAsia" w:ascii="宋体" w:hAnsi="宋体" w:eastAsia="宋体" w:cs="宋体"/>
                <w:sz w:val="24"/>
                <w:szCs w:val="24"/>
                <w:highlight w:val="none"/>
                <w:lang w:val="en-US" w:eastAsia="zh-CN"/>
              </w:rPr>
            </w:pPr>
          </w:p>
        </w:tc>
        <w:tc>
          <w:tcPr>
            <w:tcW w:w="1335" w:type="dxa"/>
            <w:vAlign w:val="center"/>
          </w:tcPr>
          <w:p>
            <w:pPr>
              <w:jc w:val="center"/>
              <w:rPr>
                <w:rFonts w:hint="eastAsia" w:ascii="宋体" w:hAnsi="宋体" w:eastAsia="宋体" w:cs="宋体"/>
                <w:sz w:val="24"/>
                <w:szCs w:val="24"/>
                <w:highlight w:val="none"/>
                <w:lang w:val="en-US" w:eastAsia="zh-CN"/>
              </w:rPr>
            </w:pPr>
            <w:r>
              <w:rPr>
                <w:rFonts w:hint="eastAsia" w:ascii="Times New Roman" w:hAnsi="Times New Roman" w:eastAsia="宋体" w:cs="Times New Roman"/>
                <w:sz w:val="24"/>
                <w:szCs w:val="24"/>
                <w:highlight w:val="none"/>
                <w:lang w:val="en-US" w:eastAsia="zh-CN"/>
              </w:rPr>
              <w:t>个</w:t>
            </w:r>
          </w:p>
        </w:tc>
        <w:tc>
          <w:tcPr>
            <w:tcW w:w="1824" w:type="dxa"/>
            <w:vAlign w:val="center"/>
          </w:tcPr>
          <w:p>
            <w:pPr>
              <w:spacing w:line="300" w:lineRule="auto"/>
              <w:jc w:val="center"/>
              <w:rPr>
                <w:rFonts w:hint="eastAsia" w:ascii="宋体" w:hAnsi="宋体" w:eastAsia="宋体" w:cs="宋体"/>
                <w:sz w:val="24"/>
                <w:szCs w:val="24"/>
                <w:highlight w:val="none"/>
              </w:rPr>
            </w:pPr>
            <w:r>
              <w:rPr>
                <w:rFonts w:hint="eastAsia" w:ascii="宋体" w:hAnsi="宋体" w:eastAsia="宋体" w:cs="Arial"/>
                <w:sz w:val="21"/>
                <w:szCs w:val="21"/>
                <w:highlight w:val="none"/>
              </w:rPr>
              <w:t>1</w:t>
            </w:r>
          </w:p>
        </w:tc>
        <w:tc>
          <w:tcPr>
            <w:tcW w:w="2362" w:type="dxa"/>
            <w:tcBorders>
              <w:left w:val="single" w:color="000000" w:sz="4" w:space="0"/>
            </w:tcBorders>
            <w:vAlign w:val="center"/>
          </w:tcPr>
          <w:p>
            <w:pPr>
              <w:widowControl/>
              <w:jc w:val="center"/>
              <w:textAlignment w:val="center"/>
              <w:rPr>
                <w:rFonts w:hint="eastAsia" w:ascii="宋体" w:hAnsi="宋体" w:eastAsia="宋体" w:cs="宋体"/>
                <w:kern w:val="2"/>
                <w:sz w:val="24"/>
                <w:szCs w:val="24"/>
                <w:highlight w:val="none"/>
                <w:lang w:val="en-US" w:eastAsia="zh-CN" w:bidi="ar-SA"/>
              </w:rPr>
            </w:pPr>
          </w:p>
        </w:tc>
        <w:tc>
          <w:tcPr>
            <w:tcW w:w="1355" w:type="dxa"/>
          </w:tcPr>
          <w:p>
            <w:pPr>
              <w:spacing w:line="240" w:lineRule="auto"/>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2" w:hRule="atLeast"/>
        </w:trPr>
        <w:tc>
          <w:tcPr>
            <w:tcW w:w="672" w:type="dxa"/>
            <w:vAlign w:val="center"/>
          </w:tcPr>
          <w:p>
            <w:pPr>
              <w:widowControl/>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2"/>
                <w:lang w:bidi="ar"/>
              </w:rPr>
              <w:t>4</w:t>
            </w:r>
          </w:p>
        </w:tc>
        <w:tc>
          <w:tcPr>
            <w:tcW w:w="3185" w:type="dxa"/>
            <w:vAlign w:val="center"/>
          </w:tcPr>
          <w:p>
            <w:pPr>
              <w:overflowPunct w:val="0"/>
              <w:snapToGrid w:val="0"/>
              <w:spacing w:line="400" w:lineRule="exact"/>
              <w:jc w:val="center"/>
              <w:rPr>
                <w:rFonts w:hint="eastAsia" w:ascii="宋体" w:hAnsi="宋体" w:eastAsia="宋体"/>
                <w:sz w:val="24"/>
                <w:szCs w:val="24"/>
                <w:lang w:bidi="ar"/>
              </w:rPr>
            </w:pPr>
            <w:r>
              <w:rPr>
                <w:rFonts w:hint="eastAsia" w:ascii="仿宋" w:hAnsi="仿宋" w:eastAsia="仿宋" w:cs="宋体"/>
                <w:bCs/>
                <w:kern w:val="0"/>
                <w:sz w:val="24"/>
              </w:rPr>
              <w:t>￠22高压加热保温不锈钢管</w:t>
            </w:r>
          </w:p>
        </w:tc>
        <w:tc>
          <w:tcPr>
            <w:tcW w:w="1292" w:type="dxa"/>
            <w:vAlign w:val="center"/>
          </w:tcPr>
          <w:p>
            <w:pPr>
              <w:jc w:val="center"/>
              <w:rPr>
                <w:rFonts w:hint="eastAsia" w:ascii="宋体" w:hAnsi="宋体" w:eastAsia="宋体" w:cs="宋体"/>
                <w:sz w:val="24"/>
                <w:szCs w:val="24"/>
                <w:highlight w:val="none"/>
                <w:lang w:val="en-US" w:eastAsia="zh-CN"/>
              </w:rPr>
            </w:pPr>
          </w:p>
        </w:tc>
        <w:tc>
          <w:tcPr>
            <w:tcW w:w="1335" w:type="dxa"/>
            <w:vAlign w:val="center"/>
          </w:tcPr>
          <w:p>
            <w:pPr>
              <w:jc w:val="center"/>
              <w:rPr>
                <w:rFonts w:hint="eastAsia" w:ascii="宋体" w:hAnsi="宋体" w:eastAsia="宋体" w:cs="宋体"/>
                <w:sz w:val="24"/>
                <w:szCs w:val="24"/>
                <w:highlight w:val="none"/>
                <w:lang w:val="en-US" w:eastAsia="zh-CN"/>
              </w:rPr>
            </w:pPr>
            <w:r>
              <w:rPr>
                <w:rFonts w:hint="eastAsia" w:ascii="Times New Roman" w:hAnsi="Times New Roman" w:eastAsia="宋体" w:cs="Times New Roman"/>
                <w:sz w:val="24"/>
                <w:szCs w:val="24"/>
                <w:highlight w:val="none"/>
                <w:lang w:val="en-US" w:eastAsia="zh-CN"/>
              </w:rPr>
              <w:t>组</w:t>
            </w:r>
          </w:p>
        </w:tc>
        <w:tc>
          <w:tcPr>
            <w:tcW w:w="1824" w:type="dxa"/>
            <w:vAlign w:val="center"/>
          </w:tcPr>
          <w:p>
            <w:pPr>
              <w:spacing w:line="300" w:lineRule="auto"/>
              <w:jc w:val="center"/>
              <w:rPr>
                <w:rFonts w:hint="eastAsia" w:ascii="宋体" w:hAnsi="宋体" w:eastAsia="宋体" w:cs="宋体"/>
                <w:sz w:val="24"/>
                <w:szCs w:val="24"/>
                <w:highlight w:val="none"/>
              </w:rPr>
            </w:pPr>
            <w:r>
              <w:rPr>
                <w:rFonts w:hint="eastAsia" w:ascii="宋体" w:hAnsi="宋体" w:eastAsia="宋体" w:cs="Arial"/>
                <w:sz w:val="21"/>
                <w:szCs w:val="21"/>
                <w:highlight w:val="none"/>
                <w:lang w:val="en-US" w:eastAsia="zh-CN"/>
              </w:rPr>
              <w:t>1</w:t>
            </w:r>
          </w:p>
        </w:tc>
        <w:tc>
          <w:tcPr>
            <w:tcW w:w="2362" w:type="dxa"/>
            <w:tcBorders>
              <w:left w:val="single" w:color="000000" w:sz="4" w:space="0"/>
            </w:tcBorders>
            <w:vAlign w:val="center"/>
          </w:tcPr>
          <w:p>
            <w:pPr>
              <w:widowControl/>
              <w:jc w:val="center"/>
              <w:textAlignment w:val="center"/>
              <w:rPr>
                <w:rFonts w:hint="eastAsia" w:ascii="宋体" w:hAnsi="宋体" w:eastAsia="宋体" w:cs="宋体"/>
                <w:kern w:val="2"/>
                <w:sz w:val="24"/>
                <w:szCs w:val="24"/>
                <w:highlight w:val="none"/>
                <w:lang w:val="en-US" w:eastAsia="zh-CN" w:bidi="ar-SA"/>
              </w:rPr>
            </w:pPr>
          </w:p>
        </w:tc>
        <w:tc>
          <w:tcPr>
            <w:tcW w:w="1355" w:type="dxa"/>
          </w:tcPr>
          <w:p>
            <w:pPr>
              <w:spacing w:line="240" w:lineRule="auto"/>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2" w:hRule="atLeast"/>
        </w:trPr>
        <w:tc>
          <w:tcPr>
            <w:tcW w:w="672" w:type="dxa"/>
            <w:vAlign w:val="center"/>
          </w:tcPr>
          <w:p>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3185" w:type="dxa"/>
            <w:vAlign w:val="center"/>
          </w:tcPr>
          <w:p>
            <w:pPr>
              <w:overflowPunct w:val="0"/>
              <w:snapToGrid w:val="0"/>
              <w:spacing w:line="400" w:lineRule="exact"/>
              <w:jc w:val="center"/>
              <w:rPr>
                <w:rFonts w:hint="eastAsia" w:ascii="宋体" w:hAnsi="宋体" w:eastAsia="宋体"/>
                <w:sz w:val="24"/>
                <w:szCs w:val="24"/>
                <w:lang w:bidi="ar"/>
              </w:rPr>
            </w:pPr>
            <w:r>
              <w:rPr>
                <w:rFonts w:hint="eastAsia" w:ascii="仿宋" w:hAnsi="仿宋" w:eastAsia="仿宋" w:cs="宋体"/>
                <w:bCs/>
                <w:kern w:val="0"/>
                <w:sz w:val="24"/>
              </w:rPr>
              <w:t>安装辅料</w:t>
            </w:r>
          </w:p>
        </w:tc>
        <w:tc>
          <w:tcPr>
            <w:tcW w:w="1292" w:type="dxa"/>
            <w:vAlign w:val="center"/>
          </w:tcPr>
          <w:p>
            <w:pPr>
              <w:jc w:val="center"/>
              <w:rPr>
                <w:rFonts w:hint="eastAsia" w:ascii="宋体" w:hAnsi="宋体" w:eastAsia="宋体" w:cs="宋体"/>
                <w:sz w:val="24"/>
                <w:szCs w:val="24"/>
                <w:highlight w:val="none"/>
                <w:lang w:val="en-US" w:eastAsia="zh-CN"/>
              </w:rPr>
            </w:pPr>
          </w:p>
        </w:tc>
        <w:tc>
          <w:tcPr>
            <w:tcW w:w="1335" w:type="dxa"/>
            <w:vAlign w:val="center"/>
          </w:tcPr>
          <w:p>
            <w:pPr>
              <w:jc w:val="center"/>
              <w:rPr>
                <w:rFonts w:hint="eastAsia" w:ascii="宋体" w:hAnsi="宋体" w:eastAsia="宋体" w:cs="宋体"/>
                <w:sz w:val="24"/>
                <w:szCs w:val="24"/>
                <w:highlight w:val="none"/>
                <w:lang w:val="en-US" w:eastAsia="zh-CN"/>
              </w:rPr>
            </w:pPr>
            <w:r>
              <w:rPr>
                <w:rFonts w:hint="eastAsia" w:ascii="Times New Roman" w:hAnsi="Times New Roman" w:eastAsia="宋体" w:cs="Times New Roman"/>
                <w:sz w:val="24"/>
                <w:szCs w:val="24"/>
                <w:highlight w:val="none"/>
                <w:lang w:val="en-US" w:eastAsia="zh-CN"/>
              </w:rPr>
              <w:t>个</w:t>
            </w:r>
          </w:p>
        </w:tc>
        <w:tc>
          <w:tcPr>
            <w:tcW w:w="1824" w:type="dxa"/>
            <w:vAlign w:val="center"/>
          </w:tcPr>
          <w:p>
            <w:pPr>
              <w:spacing w:line="300" w:lineRule="auto"/>
              <w:jc w:val="center"/>
              <w:rPr>
                <w:rFonts w:hint="eastAsia" w:ascii="宋体" w:hAnsi="宋体" w:eastAsia="宋体" w:cs="宋体"/>
                <w:sz w:val="24"/>
                <w:szCs w:val="24"/>
                <w:highlight w:val="none"/>
              </w:rPr>
            </w:pPr>
            <w:r>
              <w:rPr>
                <w:rFonts w:hint="eastAsia" w:ascii="宋体" w:hAnsi="宋体" w:eastAsia="宋体" w:cs="Arial"/>
                <w:sz w:val="21"/>
                <w:szCs w:val="21"/>
                <w:highlight w:val="none"/>
              </w:rPr>
              <w:t>1</w:t>
            </w:r>
          </w:p>
        </w:tc>
        <w:tc>
          <w:tcPr>
            <w:tcW w:w="2362" w:type="dxa"/>
            <w:tcBorders>
              <w:left w:val="single" w:color="000000" w:sz="4" w:space="0"/>
            </w:tcBorders>
            <w:vAlign w:val="center"/>
          </w:tcPr>
          <w:p>
            <w:pPr>
              <w:spacing w:line="240" w:lineRule="auto"/>
              <w:jc w:val="center"/>
              <w:rPr>
                <w:rFonts w:ascii="Arial"/>
                <w:sz w:val="24"/>
                <w:szCs w:val="24"/>
              </w:rPr>
            </w:pPr>
          </w:p>
        </w:tc>
        <w:tc>
          <w:tcPr>
            <w:tcW w:w="1355" w:type="dxa"/>
          </w:tcPr>
          <w:p>
            <w:pPr>
              <w:spacing w:line="240" w:lineRule="auto"/>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2" w:hRule="atLeast"/>
        </w:trPr>
        <w:tc>
          <w:tcPr>
            <w:tcW w:w="672" w:type="dxa"/>
            <w:vAlign w:val="center"/>
          </w:tcPr>
          <w:p>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3185" w:type="dxa"/>
            <w:vAlign w:val="center"/>
          </w:tcPr>
          <w:p>
            <w:pPr>
              <w:overflowPunct w:val="0"/>
              <w:snapToGrid w:val="0"/>
              <w:spacing w:line="400" w:lineRule="exact"/>
              <w:jc w:val="center"/>
              <w:rPr>
                <w:rFonts w:hint="eastAsia" w:ascii="宋体" w:hAnsi="宋体" w:eastAsia="宋体"/>
                <w:sz w:val="24"/>
                <w:szCs w:val="24"/>
                <w:lang w:bidi="ar"/>
              </w:rPr>
            </w:pPr>
            <w:r>
              <w:rPr>
                <w:rFonts w:hint="eastAsia" w:ascii="仿宋" w:hAnsi="仿宋" w:eastAsia="仿宋" w:cs="宋体"/>
                <w:bCs/>
                <w:kern w:val="0"/>
                <w:sz w:val="24"/>
              </w:rPr>
              <w:t>设备运输/安装调试培训</w:t>
            </w:r>
          </w:p>
        </w:tc>
        <w:tc>
          <w:tcPr>
            <w:tcW w:w="1292" w:type="dxa"/>
            <w:vAlign w:val="center"/>
          </w:tcPr>
          <w:p>
            <w:pPr>
              <w:jc w:val="left"/>
              <w:rPr>
                <w:rFonts w:hint="eastAsia" w:ascii="宋体" w:hAnsi="宋体" w:eastAsia="宋体" w:cs="宋体"/>
                <w:sz w:val="24"/>
                <w:szCs w:val="24"/>
                <w:highlight w:val="none"/>
                <w:lang w:val="en-US" w:eastAsia="zh-CN"/>
              </w:rPr>
            </w:pPr>
          </w:p>
        </w:tc>
        <w:tc>
          <w:tcPr>
            <w:tcW w:w="1335" w:type="dxa"/>
            <w:vAlign w:val="center"/>
          </w:tcPr>
          <w:p>
            <w:pPr>
              <w:jc w:val="center"/>
              <w:rPr>
                <w:rFonts w:hint="eastAsia" w:ascii="宋体" w:hAnsi="宋体" w:eastAsia="宋体" w:cs="宋体"/>
                <w:sz w:val="24"/>
                <w:szCs w:val="24"/>
                <w:highlight w:val="none"/>
                <w:lang w:val="en-US" w:eastAsia="zh-CN"/>
              </w:rPr>
            </w:pPr>
            <w:r>
              <w:rPr>
                <w:rFonts w:hint="eastAsia" w:ascii="Times New Roman" w:hAnsi="Times New Roman" w:eastAsia="宋体" w:cs="Times New Roman"/>
                <w:sz w:val="24"/>
                <w:szCs w:val="24"/>
                <w:highlight w:val="none"/>
                <w:lang w:val="en-US" w:eastAsia="zh-CN"/>
              </w:rPr>
              <w:t>个</w:t>
            </w:r>
          </w:p>
        </w:tc>
        <w:tc>
          <w:tcPr>
            <w:tcW w:w="1824" w:type="dxa"/>
            <w:vAlign w:val="center"/>
          </w:tcPr>
          <w:p>
            <w:pPr>
              <w:spacing w:line="300" w:lineRule="auto"/>
              <w:jc w:val="center"/>
              <w:rPr>
                <w:rFonts w:hint="eastAsia" w:ascii="宋体" w:hAnsi="宋体" w:eastAsia="宋体" w:cs="宋体"/>
                <w:sz w:val="24"/>
                <w:szCs w:val="24"/>
                <w:highlight w:val="none"/>
              </w:rPr>
            </w:pPr>
            <w:r>
              <w:rPr>
                <w:rFonts w:hint="eastAsia" w:ascii="仿宋" w:hAnsi="仿宋" w:eastAsia="仿宋" w:cs="仿宋"/>
                <w:bCs/>
                <w:kern w:val="0"/>
                <w:sz w:val="24"/>
                <w:szCs w:val="22"/>
                <w:highlight w:val="none"/>
                <w:lang w:val="en-US" w:eastAsia="zh-CN" w:bidi="ar-SA"/>
              </w:rPr>
              <w:t>1</w:t>
            </w:r>
          </w:p>
        </w:tc>
        <w:tc>
          <w:tcPr>
            <w:tcW w:w="2362" w:type="dxa"/>
            <w:tcBorders>
              <w:left w:val="single" w:color="000000" w:sz="4" w:space="0"/>
            </w:tcBorders>
            <w:vAlign w:val="center"/>
          </w:tcPr>
          <w:p>
            <w:pPr>
              <w:spacing w:line="240" w:lineRule="auto"/>
              <w:jc w:val="center"/>
              <w:rPr>
                <w:rFonts w:ascii="Arial"/>
                <w:sz w:val="24"/>
                <w:szCs w:val="24"/>
              </w:rPr>
            </w:pPr>
          </w:p>
        </w:tc>
        <w:tc>
          <w:tcPr>
            <w:tcW w:w="1355" w:type="dxa"/>
          </w:tcPr>
          <w:p>
            <w:pPr>
              <w:spacing w:line="240" w:lineRule="auto"/>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c>
          <w:tcPr>
            <w:tcW w:w="3185" w:type="dxa"/>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以上投标设备不足之处请往下添加序号自行补充</w:t>
            </w:r>
          </w:p>
        </w:tc>
        <w:tc>
          <w:tcPr>
            <w:tcW w:w="1292" w:type="dxa"/>
          </w:tcPr>
          <w:p>
            <w:pPr>
              <w:spacing w:line="240" w:lineRule="auto"/>
              <w:jc w:val="center"/>
              <w:rPr>
                <w:rFonts w:hint="eastAsia" w:ascii="宋体" w:hAnsi="宋体" w:eastAsia="宋体" w:cs="宋体"/>
                <w:sz w:val="24"/>
                <w:szCs w:val="24"/>
                <w:highlight w:val="none"/>
                <w:lang w:val="en-US" w:eastAsia="zh-CN"/>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bl>
    <w:p>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pPr>
        <w:spacing w:before="78" w:line="219" w:lineRule="auto"/>
        <w:ind w:left="431"/>
        <w:rPr>
          <w:rFonts w:hint="eastAsia" w:ascii="宋体" w:hAnsi="宋体" w:eastAsia="宋体" w:cs="宋体"/>
          <w:b w:val="0"/>
          <w:bCs w:val="0"/>
          <w:spacing w:val="-6"/>
          <w:szCs w:val="21"/>
          <w:lang w:val="en-US" w:eastAsia="zh-CN"/>
        </w:rPr>
      </w:pPr>
    </w:p>
    <w:p>
      <w:pPr>
        <w:spacing w:line="105" w:lineRule="exact"/>
      </w:pPr>
    </w:p>
    <w:p>
      <w:pPr>
        <w:sectPr>
          <w:footerReference r:id="rId27"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济南商用车公司汕德卡驾驶室车门内腔喷蜡项目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济南商用车公司汕德卡驾驶室车门内腔喷蜡项目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济南商用车公司汕德卡驾驶室车门内腔喷蜡项目</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济南商用车公司汕德卡驾驶室车门内腔喷蜡项目</w:t>
            </w:r>
          </w:p>
        </w:tc>
        <w:tc>
          <w:tcPr>
            <w:tcW w:w="848" w:type="dxa"/>
            <w:vAlign w:val="center"/>
          </w:tcPr>
          <w:p>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pPr>
              <w:ind w:left="0" w:leftChars="0" w:firstLine="90" w:firstLineChars="43"/>
              <w:jc w:val="both"/>
              <w:rPr>
                <w:rFonts w:hint="default" w:ascii="等线" w:hAnsi="等线" w:eastAsia="等线" w:cs="Times New Roman"/>
                <w:b/>
                <w:szCs w:val="20"/>
                <w:u w:val="single"/>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r>
              <w:rPr>
                <w:rFonts w:hint="eastAsia" w:ascii="等线" w:hAnsi="等线" w:eastAsia="等线" w:cs="Times New Roman"/>
                <w:b/>
                <w:szCs w:val="20"/>
                <w:u w:val="single"/>
                <w:lang w:val="en-US" w:eastAsia="zh-CN"/>
              </w:rPr>
              <w:t xml:space="preserve">          </w:t>
            </w:r>
          </w:p>
          <w:p>
            <w:pPr>
              <w:jc w:val="both"/>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ind w:left="0" w:leftChars="0" w:firstLine="511" w:firstLineChars="243"/>
              <w:jc w:val="both"/>
              <w:rPr>
                <w:rFonts w:hint="default" w:ascii="Times New Roman" w:hAnsi="Times New Roman" w:eastAsia="等线" w:cs="Times New Roman"/>
                <w:b/>
                <w:szCs w:val="20"/>
                <w:u w:val="single"/>
                <w:lang w:val="en-US" w:eastAsia="zh-CN"/>
              </w:rPr>
            </w:pPr>
            <w:r>
              <w:rPr>
                <w:rFonts w:hint="eastAsia" w:ascii="等线" w:hAnsi="等线" w:eastAsia="等线" w:cs="Times New Roman"/>
                <w:b/>
                <w:szCs w:val="20"/>
              </w:rPr>
              <w:t>税率：</w:t>
            </w:r>
            <w:r>
              <w:rPr>
                <w:rFonts w:hint="eastAsia" w:ascii="等线" w:hAnsi="等线" w:eastAsia="等线" w:cs="Times New Roman"/>
                <w:b/>
                <w:szCs w:val="20"/>
                <w:u w:val="single"/>
                <w:lang w:val="en-US" w:eastAsia="zh-CN"/>
              </w:rPr>
              <w:t xml:space="preserve">        </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20"/>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0"/>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6"/>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jc w:val="center"/>
        <w:rPr>
          <w:rFonts w:ascii="宋体" w:hAnsi="宋体" w:eastAsia="宋体" w:cs="Times New Roman"/>
          <w:b/>
          <w:bCs/>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3937" w:type="dxa"/>
        <w:tblInd w:w="1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5"/>
        <w:gridCol w:w="3155"/>
        <w:gridCol w:w="1349"/>
        <w:gridCol w:w="973"/>
        <w:gridCol w:w="938"/>
        <w:gridCol w:w="1881"/>
        <w:gridCol w:w="1595"/>
        <w:gridCol w:w="1856"/>
        <w:gridCol w:w="16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76"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1</w:t>
            </w:r>
          </w:p>
        </w:tc>
        <w:tc>
          <w:tcPr>
            <w:tcW w:w="3155"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2</w:t>
            </w:r>
          </w:p>
        </w:tc>
        <w:tc>
          <w:tcPr>
            <w:tcW w:w="1349"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3</w:t>
            </w:r>
          </w:p>
        </w:tc>
        <w:tc>
          <w:tcPr>
            <w:tcW w:w="973"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4</w:t>
            </w:r>
          </w:p>
        </w:tc>
        <w:tc>
          <w:tcPr>
            <w:tcW w:w="938"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5</w:t>
            </w:r>
          </w:p>
        </w:tc>
        <w:tc>
          <w:tcPr>
            <w:tcW w:w="1881"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6</w:t>
            </w:r>
          </w:p>
        </w:tc>
        <w:tc>
          <w:tcPr>
            <w:tcW w:w="1595" w:type="dxa"/>
            <w:tcBorders>
              <w:top w:val="single" w:color="000000" w:sz="2" w:space="0"/>
              <w:left w:val="single" w:color="000000" w:sz="2" w:space="0"/>
              <w:bottom w:val="single" w:color="000000" w:sz="2" w:space="0"/>
              <w:right w:val="single" w:color="000000" w:sz="4"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7</w:t>
            </w:r>
          </w:p>
        </w:tc>
        <w:tc>
          <w:tcPr>
            <w:tcW w:w="1856" w:type="dxa"/>
            <w:tcBorders>
              <w:top w:val="single" w:color="000000" w:sz="2" w:space="0"/>
              <w:left w:val="nil"/>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8</w:t>
            </w:r>
          </w:p>
        </w:tc>
        <w:tc>
          <w:tcPr>
            <w:tcW w:w="1635"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序</w:t>
            </w:r>
            <w:r>
              <w:rPr>
                <w:rFonts w:hint="eastAsia" w:ascii="宋体" w:hAnsi="宋体" w:eastAsia="Times New Roman" w:cs="Times New Roman"/>
                <w:b/>
                <w:spacing w:val="-1"/>
                <w:kern w:val="0"/>
                <w:sz w:val="20"/>
                <w:szCs w:val="20"/>
              </w:rPr>
              <w:t>号</w:t>
            </w:r>
          </w:p>
        </w:tc>
        <w:tc>
          <w:tcPr>
            <w:tcW w:w="3155"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货物名</w:t>
            </w:r>
            <w:r>
              <w:rPr>
                <w:rFonts w:hint="eastAsia" w:ascii="宋体" w:hAnsi="宋体" w:eastAsia="Times New Roman" w:cs="Times New Roman"/>
                <w:b/>
                <w:spacing w:val="-1"/>
                <w:kern w:val="0"/>
                <w:sz w:val="20"/>
                <w:szCs w:val="20"/>
              </w:rPr>
              <w:t>称</w:t>
            </w:r>
          </w:p>
        </w:tc>
        <w:tc>
          <w:tcPr>
            <w:tcW w:w="1349"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型号和</w:t>
            </w:r>
            <w:r>
              <w:rPr>
                <w:rFonts w:hint="eastAsia" w:ascii="宋体" w:hAnsi="宋体" w:eastAsia="Times New Roman" w:cs="Times New Roman"/>
                <w:b/>
                <w:spacing w:val="-1"/>
                <w:kern w:val="0"/>
                <w:sz w:val="20"/>
                <w:szCs w:val="20"/>
              </w:rPr>
              <w:t>规格</w:t>
            </w:r>
          </w:p>
        </w:tc>
        <w:tc>
          <w:tcPr>
            <w:tcW w:w="973"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spacing w:val="-2"/>
                <w:kern w:val="0"/>
                <w:sz w:val="20"/>
                <w:szCs w:val="20"/>
              </w:rPr>
            </w:pPr>
            <w:r>
              <w:rPr>
                <w:rFonts w:hint="eastAsia" w:ascii="宋体" w:hAnsi="宋体" w:eastAsia="Times New Roman" w:cs="Times New Roman"/>
                <w:b/>
                <w:spacing w:val="-2"/>
                <w:kern w:val="0"/>
                <w:sz w:val="20"/>
                <w:szCs w:val="20"/>
              </w:rPr>
              <w:t>单位</w:t>
            </w:r>
          </w:p>
        </w:tc>
        <w:tc>
          <w:tcPr>
            <w:tcW w:w="938"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数量</w:t>
            </w:r>
          </w:p>
        </w:tc>
        <w:tc>
          <w:tcPr>
            <w:tcW w:w="1881"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3"/>
                <w:kern w:val="0"/>
                <w:sz w:val="20"/>
                <w:szCs w:val="20"/>
              </w:rPr>
              <w:t>原</w:t>
            </w:r>
            <w:r>
              <w:rPr>
                <w:rFonts w:hint="eastAsia" w:ascii="宋体" w:hAnsi="宋体" w:eastAsia="Times New Roman" w:cs="Times New Roman"/>
                <w:b/>
                <w:spacing w:val="-2"/>
                <w:kern w:val="0"/>
                <w:sz w:val="20"/>
                <w:szCs w:val="20"/>
              </w:rPr>
              <w:t>产地和</w:t>
            </w:r>
            <w:r>
              <w:rPr>
                <w:rFonts w:hint="eastAsia" w:ascii="宋体" w:hAnsi="宋体" w:eastAsia="Times New Roman" w:cs="Times New Roman"/>
                <w:b/>
                <w:spacing w:val="-1"/>
                <w:kern w:val="0"/>
                <w:sz w:val="20"/>
                <w:szCs w:val="20"/>
              </w:rPr>
              <w:t>制造商名</w:t>
            </w:r>
            <w:r>
              <w:rPr>
                <w:rFonts w:hint="eastAsia" w:ascii="宋体" w:hAnsi="宋体" w:eastAsia="Times New Roman" w:cs="Times New Roman"/>
                <w:b/>
                <w:kern w:val="0"/>
                <w:sz w:val="20"/>
                <w:szCs w:val="20"/>
              </w:rPr>
              <w:t>称</w:t>
            </w:r>
          </w:p>
        </w:tc>
        <w:tc>
          <w:tcPr>
            <w:tcW w:w="1595" w:type="dxa"/>
            <w:tcBorders>
              <w:top w:val="single" w:color="000000" w:sz="2" w:space="0"/>
              <w:left w:val="single" w:color="000000" w:sz="2" w:space="0"/>
              <w:bottom w:val="single" w:color="000000" w:sz="2" w:space="0"/>
              <w:right w:val="single" w:color="000000" w:sz="4" w:space="0"/>
            </w:tcBorders>
            <w:vAlign w:val="center"/>
          </w:tcPr>
          <w:p>
            <w:pPr>
              <w:jc w:val="center"/>
              <w:rPr>
                <w:rFonts w:ascii="宋体" w:hAnsi="宋体" w:eastAsia="Times New Roman" w:cs="Times New Roman"/>
                <w:b/>
                <w:kern w:val="0"/>
                <w:sz w:val="20"/>
                <w:szCs w:val="20"/>
              </w:rPr>
            </w:pPr>
            <w:r>
              <w:rPr>
                <w:rFonts w:hint="eastAsia" w:ascii="宋体" w:hAnsi="宋体" w:eastAsia="Times New Roman" w:cs="Times New Roman"/>
                <w:b/>
                <w:spacing w:val="1"/>
                <w:kern w:val="0"/>
                <w:sz w:val="20"/>
                <w:szCs w:val="20"/>
              </w:rPr>
              <w:t>单</w:t>
            </w:r>
            <w:r>
              <w:rPr>
                <w:rFonts w:hint="eastAsia" w:ascii="宋体" w:hAnsi="宋体" w:eastAsia="Times New Roman" w:cs="Times New Roman"/>
                <w:b/>
                <w:kern w:val="0"/>
                <w:sz w:val="20"/>
                <w:szCs w:val="20"/>
              </w:rPr>
              <w:t>价</w:t>
            </w:r>
            <w:r>
              <w:rPr>
                <w:rFonts w:hint="eastAsia" w:ascii="宋体" w:hAnsi="宋体" w:eastAsia="Times New Roman" w:cs="Times New Roman"/>
                <w:b/>
                <w:spacing w:val="-3"/>
                <w:kern w:val="0"/>
                <w:sz w:val="20"/>
                <w:szCs w:val="20"/>
              </w:rPr>
              <w:t>（不含税）</w:t>
            </w:r>
          </w:p>
          <w:p>
            <w:pPr>
              <w:jc w:val="center"/>
              <w:rPr>
                <w:rFonts w:ascii="宋体" w:hAnsi="宋体" w:eastAsia="宋体" w:cs="Times New Roman"/>
                <w:b/>
                <w:kern w:val="0"/>
                <w:sz w:val="20"/>
                <w:szCs w:val="20"/>
              </w:rPr>
            </w:pPr>
            <w:r>
              <w:rPr>
                <w:rFonts w:hint="eastAsia" w:ascii="宋体" w:hAnsi="宋体" w:eastAsia="Times New Roman" w:cs="Times New Roman"/>
                <w:b/>
                <w:spacing w:val="-16"/>
                <w:kern w:val="0"/>
                <w:sz w:val="20"/>
                <w:szCs w:val="20"/>
              </w:rPr>
              <w:t>(</w:t>
            </w:r>
            <w:r>
              <w:rPr>
                <w:rFonts w:hint="eastAsia" w:ascii="宋体" w:hAnsi="宋体" w:eastAsia="Times New Roman" w:cs="Times New Roman"/>
                <w:b/>
                <w:spacing w:val="-14"/>
                <w:kern w:val="0"/>
                <w:sz w:val="20"/>
                <w:szCs w:val="20"/>
              </w:rPr>
              <w:t>元)</w:t>
            </w:r>
          </w:p>
        </w:tc>
        <w:tc>
          <w:tcPr>
            <w:tcW w:w="1856" w:type="dxa"/>
            <w:tcBorders>
              <w:top w:val="single" w:color="000000" w:sz="2" w:space="0"/>
              <w:left w:val="nil"/>
              <w:bottom w:val="single" w:color="000000" w:sz="2" w:space="0"/>
              <w:right w:val="single" w:color="000000" w:sz="2" w:space="0"/>
            </w:tcBorders>
            <w:vAlign w:val="center"/>
          </w:tcPr>
          <w:p>
            <w:pPr>
              <w:jc w:val="center"/>
              <w:rPr>
                <w:rFonts w:ascii="宋体" w:hAnsi="宋体" w:eastAsia="Times New Roman" w:cs="Times New Roman"/>
                <w:b/>
                <w:spacing w:val="-3"/>
                <w:kern w:val="0"/>
                <w:sz w:val="20"/>
                <w:szCs w:val="20"/>
              </w:rPr>
            </w:pPr>
            <w:r>
              <w:rPr>
                <w:rFonts w:hint="eastAsia" w:ascii="宋体" w:hAnsi="宋体" w:eastAsia="Times New Roman" w:cs="Times New Roman"/>
                <w:b/>
                <w:spacing w:val="-1"/>
                <w:kern w:val="0"/>
                <w:sz w:val="20"/>
                <w:szCs w:val="20"/>
              </w:rPr>
              <w:t>总价[6</w:t>
            </w:r>
            <w:r>
              <w:rPr>
                <w:rFonts w:hint="eastAsia" w:ascii="宋体" w:hAnsi="宋体" w:eastAsia="Times New Roman" w:cs="Times New Roman"/>
                <w:b/>
                <w:kern w:val="0"/>
                <w:sz w:val="20"/>
                <w:szCs w:val="20"/>
              </w:rPr>
              <w:t>×8]</w:t>
            </w:r>
            <w:r>
              <w:rPr>
                <w:rFonts w:hint="eastAsia" w:ascii="宋体" w:hAnsi="宋体" w:eastAsia="Times New Roman" w:cs="Times New Roman"/>
                <w:b/>
                <w:spacing w:val="-3"/>
                <w:kern w:val="0"/>
                <w:sz w:val="20"/>
                <w:szCs w:val="20"/>
              </w:rPr>
              <w:t>（不含税）</w:t>
            </w:r>
          </w:p>
          <w:p>
            <w:pPr>
              <w:jc w:val="center"/>
              <w:rPr>
                <w:rFonts w:ascii="宋体" w:hAnsi="宋体" w:eastAsia="宋体" w:cs="Times New Roman"/>
                <w:b/>
                <w:kern w:val="0"/>
                <w:sz w:val="20"/>
                <w:szCs w:val="20"/>
              </w:rPr>
            </w:pPr>
            <w:r>
              <w:rPr>
                <w:rFonts w:hint="eastAsia" w:ascii="宋体" w:hAnsi="宋体" w:eastAsia="Times New Roman" w:cs="Times New Roman"/>
                <w:b/>
                <w:spacing w:val="27"/>
                <w:kern w:val="0"/>
                <w:sz w:val="20"/>
                <w:szCs w:val="20"/>
              </w:rPr>
              <w:t>(</w:t>
            </w:r>
            <w:r>
              <w:rPr>
                <w:rFonts w:hint="eastAsia" w:ascii="宋体" w:hAnsi="宋体" w:eastAsia="Times New Roman" w:cs="Times New Roman"/>
                <w:b/>
                <w:spacing w:val="26"/>
                <w:kern w:val="0"/>
                <w:sz w:val="20"/>
                <w:szCs w:val="20"/>
              </w:rPr>
              <w:t>元)</w:t>
            </w:r>
          </w:p>
        </w:tc>
        <w:tc>
          <w:tcPr>
            <w:tcW w:w="1635"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宋体" w:cs="Times New Roman"/>
                <w:color w:val="000000"/>
                <w:szCs w:val="21"/>
              </w:rPr>
            </w:pPr>
            <w:r>
              <w:rPr>
                <w:rFonts w:hint="eastAsia" w:ascii="宋体" w:hAnsi="宋体" w:eastAsia="宋体" w:cs="宋体"/>
                <w:color w:val="000000"/>
                <w:kern w:val="0"/>
                <w:sz w:val="22"/>
                <w:lang w:bidi="ar"/>
              </w:rPr>
              <w:t>1</w:t>
            </w:r>
          </w:p>
        </w:tc>
        <w:tc>
          <w:tcPr>
            <w:tcW w:w="3155" w:type="dxa"/>
            <w:tcBorders>
              <w:top w:val="single" w:color="000000" w:sz="2" w:space="0"/>
              <w:left w:val="single" w:color="000000" w:sz="2" w:space="0"/>
              <w:bottom w:val="single" w:color="000000" w:sz="2" w:space="0"/>
              <w:right w:val="single" w:color="000000" w:sz="2" w:space="0"/>
            </w:tcBorders>
            <w:shd w:val="clear" w:color="auto" w:fill="auto"/>
            <w:vAlign w:val="center"/>
          </w:tcPr>
          <w:p>
            <w:pPr>
              <w:overflowPunct w:val="0"/>
              <w:snapToGrid w:val="0"/>
              <w:spacing w:line="400" w:lineRule="exact"/>
              <w:jc w:val="center"/>
              <w:rPr>
                <w:rFonts w:hint="eastAsia" w:eastAsia="仿宋" w:asciiTheme="minorHAnsi" w:hAnsiTheme="minorHAnsi" w:cstheme="minorBidi"/>
                <w:kern w:val="2"/>
                <w:sz w:val="22"/>
                <w:szCs w:val="22"/>
                <w:highlight w:val="none"/>
                <w:lang w:val="en-US" w:eastAsia="zh-CN" w:bidi="ar-SA"/>
              </w:rPr>
            </w:pPr>
            <w:r>
              <w:rPr>
                <w:rFonts w:hint="eastAsia" w:ascii="仿宋" w:hAnsi="仿宋" w:eastAsia="仿宋" w:cs="宋体"/>
                <w:bCs/>
                <w:kern w:val="0"/>
                <w:sz w:val="24"/>
              </w:rPr>
              <w:t>喷防锈蜡输送模组</w:t>
            </w:r>
            <w:r>
              <w:rPr>
                <w:rFonts w:hint="eastAsia" w:ascii="仿宋" w:hAnsi="仿宋" w:eastAsia="仿宋" w:cs="宋体"/>
                <w:bCs/>
                <w:kern w:val="0"/>
                <w:sz w:val="24"/>
                <w:lang w:eastAsia="zh-CN"/>
              </w:rPr>
              <w:t>（200L 加热蜡罐 、气动蜡液搅拌器、供蜡主泵、高压软管</w:t>
            </w:r>
            <w:r>
              <w:rPr>
                <w:rFonts w:hint="eastAsia" w:ascii="仿宋" w:hAnsi="仿宋" w:eastAsia="仿宋" w:cs="宋体"/>
                <w:bCs/>
                <w:kern w:val="0"/>
                <w:sz w:val="24"/>
                <w:lang w:val="en-US" w:eastAsia="zh-CN"/>
              </w:rPr>
              <w:t>等</w:t>
            </w:r>
            <w:r>
              <w:rPr>
                <w:rFonts w:hint="eastAsia" w:ascii="仿宋" w:hAnsi="仿宋" w:eastAsia="仿宋" w:cs="宋体"/>
                <w:bCs/>
                <w:kern w:val="0"/>
                <w:sz w:val="24"/>
                <w:lang w:eastAsia="zh-CN"/>
              </w:rPr>
              <w:t>）</w:t>
            </w:r>
          </w:p>
        </w:tc>
        <w:tc>
          <w:tcPr>
            <w:tcW w:w="1349"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hint="eastAsia" w:ascii="Times New Roman" w:hAnsi="Times New Roman" w:eastAsia="宋体" w:cs="Times New Roman"/>
                <w:sz w:val="24"/>
                <w:szCs w:val="24"/>
                <w:highlight w:val="none"/>
                <w:lang w:val="en-US" w:eastAsia="zh-CN"/>
              </w:rPr>
              <w:t>组</w:t>
            </w: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300" w:lineRule="auto"/>
              <w:jc w:val="center"/>
              <w:rPr>
                <w:rFonts w:ascii="宋体" w:hAnsi="宋体" w:eastAsia="宋体" w:cs="宋体"/>
                <w:sz w:val="24"/>
                <w:szCs w:val="24"/>
              </w:rPr>
            </w:pPr>
            <w:r>
              <w:rPr>
                <w:rFonts w:hint="eastAsia" w:ascii="宋体" w:hAnsi="宋体" w:eastAsia="宋体" w:cs="Arial"/>
                <w:sz w:val="21"/>
                <w:szCs w:val="21"/>
                <w:highlight w:val="none"/>
              </w:rPr>
              <w:t>1</w:t>
            </w:r>
          </w:p>
        </w:tc>
        <w:tc>
          <w:tcPr>
            <w:tcW w:w="188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 w:hAnsi="仿宋" w:eastAsia="仿宋" w:cs="Times New Roman"/>
                <w:color w:val="000000"/>
                <w:sz w:val="24"/>
                <w:szCs w:val="24"/>
              </w:rPr>
            </w:pPr>
          </w:p>
        </w:tc>
        <w:tc>
          <w:tcPr>
            <w:tcW w:w="1595"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856"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635"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宋体" w:cs="Times New Roman"/>
                <w:color w:val="000000"/>
                <w:szCs w:val="21"/>
              </w:rPr>
            </w:pPr>
            <w:r>
              <w:rPr>
                <w:rFonts w:hint="eastAsia" w:ascii="宋体" w:hAnsi="宋体" w:eastAsia="宋体" w:cs="宋体"/>
                <w:color w:val="000000"/>
                <w:kern w:val="0"/>
                <w:sz w:val="22"/>
                <w:lang w:bidi="ar"/>
              </w:rPr>
              <w:t>2</w:t>
            </w:r>
          </w:p>
        </w:tc>
        <w:tc>
          <w:tcPr>
            <w:tcW w:w="3155" w:type="dxa"/>
            <w:tcBorders>
              <w:top w:val="single" w:color="000000" w:sz="2" w:space="0"/>
              <w:left w:val="single" w:color="000000" w:sz="2" w:space="0"/>
              <w:bottom w:val="single" w:color="000000" w:sz="2" w:space="0"/>
              <w:right w:val="single" w:color="000000" w:sz="2" w:space="0"/>
            </w:tcBorders>
            <w:shd w:val="clear" w:color="auto" w:fill="auto"/>
            <w:vAlign w:val="center"/>
          </w:tcPr>
          <w:p>
            <w:pPr>
              <w:overflowPunct w:val="0"/>
              <w:snapToGrid w:val="0"/>
              <w:spacing w:line="400" w:lineRule="exact"/>
              <w:jc w:val="center"/>
              <w:rPr>
                <w:rFonts w:hint="eastAsia" w:eastAsia="仿宋" w:asciiTheme="minorHAnsi" w:hAnsiTheme="minorHAnsi" w:cstheme="minorBidi"/>
                <w:kern w:val="2"/>
                <w:sz w:val="22"/>
                <w:szCs w:val="22"/>
                <w:highlight w:val="none"/>
                <w:lang w:val="en-US" w:eastAsia="zh-CN" w:bidi="ar-SA"/>
              </w:rPr>
            </w:pPr>
            <w:r>
              <w:rPr>
                <w:rFonts w:hint="eastAsia" w:ascii="仿宋" w:hAnsi="仿宋" w:eastAsia="仿宋" w:cs="宋体"/>
                <w:bCs/>
                <w:kern w:val="0"/>
                <w:sz w:val="24"/>
              </w:rPr>
              <w:t>枪站出口</w:t>
            </w:r>
            <w:r>
              <w:rPr>
                <w:rFonts w:hint="eastAsia" w:ascii="仿宋" w:hAnsi="仿宋" w:eastAsia="仿宋" w:cs="宋体"/>
                <w:bCs/>
                <w:kern w:val="0"/>
                <w:sz w:val="24"/>
                <w:lang w:eastAsia="zh-CN"/>
              </w:rPr>
              <w:t>（手动喷枪、高压蜡液调压器、枪站蜡液过滤器</w:t>
            </w:r>
            <w:r>
              <w:rPr>
                <w:rFonts w:hint="eastAsia" w:ascii="仿宋" w:hAnsi="仿宋" w:eastAsia="仿宋" w:cs="宋体"/>
                <w:bCs/>
                <w:kern w:val="0"/>
                <w:sz w:val="24"/>
                <w:lang w:val="en-US" w:eastAsia="zh-CN"/>
              </w:rPr>
              <w:t>等</w:t>
            </w:r>
            <w:r>
              <w:rPr>
                <w:rFonts w:hint="eastAsia" w:ascii="仿宋" w:hAnsi="仿宋" w:eastAsia="仿宋" w:cs="宋体"/>
                <w:bCs/>
                <w:kern w:val="0"/>
                <w:sz w:val="24"/>
                <w:lang w:eastAsia="zh-CN"/>
              </w:rPr>
              <w:t>）</w:t>
            </w:r>
          </w:p>
        </w:tc>
        <w:tc>
          <w:tcPr>
            <w:tcW w:w="1349"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hint="eastAsia" w:ascii="Times New Roman" w:hAnsi="Times New Roman" w:eastAsia="宋体" w:cs="Times New Roman"/>
                <w:sz w:val="24"/>
                <w:szCs w:val="24"/>
                <w:highlight w:val="none"/>
                <w:lang w:val="en-US" w:eastAsia="zh-CN"/>
              </w:rPr>
              <w:t>个</w:t>
            </w: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300" w:lineRule="auto"/>
              <w:jc w:val="center"/>
              <w:rPr>
                <w:rFonts w:ascii="宋体" w:hAnsi="宋体" w:eastAsia="宋体" w:cs="宋体"/>
                <w:sz w:val="24"/>
                <w:szCs w:val="24"/>
              </w:rPr>
            </w:pPr>
            <w:r>
              <w:rPr>
                <w:rFonts w:hint="eastAsia" w:ascii="仿宋" w:hAnsi="仿宋" w:eastAsia="仿宋" w:cs="仿宋"/>
                <w:bCs/>
                <w:kern w:val="0"/>
                <w:sz w:val="24"/>
                <w:szCs w:val="22"/>
                <w:highlight w:val="none"/>
                <w:lang w:val="en-US" w:eastAsia="zh-CN" w:bidi="ar-SA"/>
              </w:rPr>
              <w:t>1</w:t>
            </w:r>
          </w:p>
        </w:tc>
        <w:tc>
          <w:tcPr>
            <w:tcW w:w="188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2"/>
              </w:rPr>
            </w:pPr>
          </w:p>
        </w:tc>
        <w:tc>
          <w:tcPr>
            <w:tcW w:w="1595"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856"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635"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宋体" w:cs="Times New Roman"/>
                <w:color w:val="000000"/>
                <w:szCs w:val="21"/>
              </w:rPr>
            </w:pPr>
            <w:r>
              <w:rPr>
                <w:rFonts w:hint="eastAsia" w:ascii="宋体" w:hAnsi="宋体" w:eastAsia="宋体" w:cs="宋体"/>
                <w:color w:val="000000"/>
                <w:kern w:val="0"/>
                <w:sz w:val="22"/>
                <w:lang w:bidi="ar"/>
              </w:rPr>
              <w:t>3</w:t>
            </w:r>
          </w:p>
        </w:tc>
        <w:tc>
          <w:tcPr>
            <w:tcW w:w="3155" w:type="dxa"/>
            <w:tcBorders>
              <w:top w:val="single" w:color="000000" w:sz="2" w:space="0"/>
              <w:left w:val="single" w:color="000000" w:sz="2" w:space="0"/>
              <w:bottom w:val="single" w:color="000000" w:sz="2" w:space="0"/>
              <w:right w:val="single" w:color="000000" w:sz="2" w:space="0"/>
            </w:tcBorders>
            <w:shd w:val="clear" w:color="auto" w:fill="auto"/>
            <w:vAlign w:val="center"/>
          </w:tcPr>
          <w:p>
            <w:pPr>
              <w:overflowPunct w:val="0"/>
              <w:snapToGrid w:val="0"/>
              <w:spacing w:line="400" w:lineRule="exact"/>
              <w:jc w:val="center"/>
              <w:rPr>
                <w:rFonts w:hint="default" w:ascii="宋体" w:hAnsi="宋体" w:eastAsia="宋体" w:cs="Arial"/>
                <w:kern w:val="2"/>
                <w:sz w:val="21"/>
                <w:szCs w:val="21"/>
                <w:highlight w:val="none"/>
                <w:lang w:val="en-US" w:eastAsia="zh-CN" w:bidi="ar-SA"/>
              </w:rPr>
            </w:pPr>
            <w:r>
              <w:rPr>
                <w:rFonts w:hint="eastAsia" w:ascii="仿宋" w:hAnsi="仿宋" w:eastAsia="仿宋" w:cs="宋体"/>
                <w:bCs/>
                <w:kern w:val="0"/>
                <w:sz w:val="24"/>
              </w:rPr>
              <w:t>8段温度控制柜</w:t>
            </w:r>
          </w:p>
        </w:tc>
        <w:tc>
          <w:tcPr>
            <w:tcW w:w="1349"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hint="eastAsia" w:ascii="Times New Roman" w:hAnsi="Times New Roman" w:eastAsia="宋体" w:cs="Times New Roman"/>
                <w:sz w:val="24"/>
                <w:szCs w:val="24"/>
                <w:highlight w:val="none"/>
                <w:lang w:val="en-US" w:eastAsia="zh-CN"/>
              </w:rPr>
              <w:t>个</w:t>
            </w: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300" w:lineRule="auto"/>
              <w:jc w:val="center"/>
              <w:rPr>
                <w:rFonts w:ascii="宋体" w:hAnsi="宋体" w:eastAsia="宋体" w:cs="宋体"/>
                <w:sz w:val="24"/>
                <w:szCs w:val="24"/>
              </w:rPr>
            </w:pPr>
            <w:r>
              <w:rPr>
                <w:rFonts w:hint="eastAsia" w:ascii="宋体" w:hAnsi="宋体" w:eastAsia="宋体" w:cs="Arial"/>
                <w:sz w:val="21"/>
                <w:szCs w:val="21"/>
                <w:highlight w:val="none"/>
              </w:rPr>
              <w:t>1</w:t>
            </w:r>
          </w:p>
        </w:tc>
        <w:tc>
          <w:tcPr>
            <w:tcW w:w="188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2"/>
              </w:rPr>
            </w:pPr>
          </w:p>
        </w:tc>
        <w:tc>
          <w:tcPr>
            <w:tcW w:w="1595"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856"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635"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宋体" w:cs="Times New Roman"/>
                <w:color w:val="000000"/>
                <w:kern w:val="0"/>
                <w:szCs w:val="21"/>
              </w:rPr>
            </w:pPr>
            <w:r>
              <w:rPr>
                <w:rFonts w:hint="eastAsia" w:ascii="宋体" w:hAnsi="宋体" w:eastAsia="宋体" w:cs="宋体"/>
                <w:color w:val="000000"/>
                <w:kern w:val="0"/>
                <w:sz w:val="22"/>
                <w:lang w:bidi="ar"/>
              </w:rPr>
              <w:t>4</w:t>
            </w:r>
          </w:p>
        </w:tc>
        <w:tc>
          <w:tcPr>
            <w:tcW w:w="3155" w:type="dxa"/>
            <w:tcBorders>
              <w:top w:val="single" w:color="000000" w:sz="2" w:space="0"/>
              <w:left w:val="single" w:color="000000" w:sz="2" w:space="0"/>
              <w:bottom w:val="single" w:color="000000" w:sz="2" w:space="0"/>
              <w:right w:val="single" w:color="000000" w:sz="2" w:space="0"/>
            </w:tcBorders>
            <w:shd w:val="clear" w:color="auto" w:fill="auto"/>
            <w:vAlign w:val="center"/>
          </w:tcPr>
          <w:p>
            <w:pPr>
              <w:overflowPunct w:val="0"/>
              <w:snapToGrid w:val="0"/>
              <w:spacing w:line="400" w:lineRule="exact"/>
              <w:jc w:val="center"/>
              <w:rPr>
                <w:rFonts w:hint="default" w:ascii="宋体" w:hAnsi="宋体" w:eastAsia="宋体" w:cs="Arial"/>
                <w:kern w:val="2"/>
                <w:sz w:val="21"/>
                <w:szCs w:val="21"/>
                <w:highlight w:val="none"/>
                <w:lang w:val="en-US" w:eastAsia="zh-CN" w:bidi="ar-SA"/>
              </w:rPr>
            </w:pPr>
            <w:r>
              <w:rPr>
                <w:rFonts w:hint="eastAsia" w:ascii="仿宋" w:hAnsi="仿宋" w:eastAsia="仿宋" w:cs="宋体"/>
                <w:bCs/>
                <w:kern w:val="0"/>
                <w:sz w:val="24"/>
              </w:rPr>
              <w:t>￠22高压加热保温不锈钢管</w:t>
            </w:r>
          </w:p>
        </w:tc>
        <w:tc>
          <w:tcPr>
            <w:tcW w:w="1349"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hint="eastAsia" w:ascii="Times New Roman" w:hAnsi="Times New Roman" w:eastAsia="宋体" w:cs="Times New Roman"/>
                <w:sz w:val="24"/>
                <w:szCs w:val="24"/>
                <w:highlight w:val="none"/>
                <w:lang w:val="en-US" w:eastAsia="zh-CN"/>
              </w:rPr>
              <w:t>组</w:t>
            </w: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300" w:lineRule="auto"/>
              <w:jc w:val="center"/>
              <w:rPr>
                <w:rFonts w:ascii="宋体" w:hAnsi="宋体" w:eastAsia="宋体" w:cs="宋体"/>
                <w:sz w:val="24"/>
                <w:szCs w:val="24"/>
              </w:rPr>
            </w:pPr>
            <w:r>
              <w:rPr>
                <w:rFonts w:hint="eastAsia" w:ascii="宋体" w:hAnsi="宋体" w:eastAsia="宋体" w:cs="Arial"/>
                <w:sz w:val="21"/>
                <w:szCs w:val="21"/>
                <w:highlight w:val="none"/>
                <w:lang w:val="en-US" w:eastAsia="zh-CN"/>
              </w:rPr>
              <w:t>1</w:t>
            </w:r>
          </w:p>
        </w:tc>
        <w:tc>
          <w:tcPr>
            <w:tcW w:w="188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595"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856"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635"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仿宋_GB2312" w:hAnsi="仿宋_GB2312" w:eastAsia="宋体" w:cs="Times New Roman"/>
                <w:color w:val="000000"/>
                <w:kern w:val="0"/>
                <w:szCs w:val="21"/>
                <w:lang w:val="en-US" w:eastAsia="zh-CN"/>
              </w:rPr>
            </w:pPr>
            <w:r>
              <w:rPr>
                <w:rFonts w:hint="eastAsia" w:ascii="仿宋_GB2312" w:hAnsi="仿宋_GB2312" w:eastAsia="宋体" w:cs="Times New Roman"/>
                <w:color w:val="000000"/>
                <w:kern w:val="0"/>
                <w:szCs w:val="21"/>
                <w:lang w:val="en-US" w:eastAsia="zh-CN"/>
              </w:rPr>
              <w:t>5</w:t>
            </w:r>
          </w:p>
        </w:tc>
        <w:tc>
          <w:tcPr>
            <w:tcW w:w="3155" w:type="dxa"/>
            <w:tcBorders>
              <w:top w:val="single" w:color="000000" w:sz="2" w:space="0"/>
              <w:left w:val="single" w:color="000000" w:sz="2" w:space="0"/>
              <w:bottom w:val="single" w:color="000000" w:sz="2" w:space="0"/>
              <w:right w:val="single" w:color="000000" w:sz="2" w:space="0"/>
            </w:tcBorders>
            <w:shd w:val="clear" w:color="auto" w:fill="auto"/>
            <w:vAlign w:val="center"/>
          </w:tcPr>
          <w:p>
            <w:pPr>
              <w:overflowPunct w:val="0"/>
              <w:snapToGrid w:val="0"/>
              <w:spacing w:line="400" w:lineRule="exact"/>
              <w:jc w:val="center"/>
              <w:rPr>
                <w:rFonts w:hint="default" w:ascii="宋体" w:hAnsi="宋体" w:eastAsia="宋体" w:cs="Arial"/>
                <w:kern w:val="2"/>
                <w:sz w:val="21"/>
                <w:szCs w:val="21"/>
                <w:highlight w:val="none"/>
                <w:lang w:val="en-US" w:eastAsia="zh-CN" w:bidi="ar-SA"/>
              </w:rPr>
            </w:pPr>
            <w:r>
              <w:rPr>
                <w:rFonts w:hint="eastAsia" w:ascii="仿宋" w:hAnsi="仿宋" w:eastAsia="仿宋" w:cs="宋体"/>
                <w:bCs/>
                <w:kern w:val="0"/>
                <w:sz w:val="24"/>
              </w:rPr>
              <w:t>安装辅料</w:t>
            </w:r>
          </w:p>
        </w:tc>
        <w:tc>
          <w:tcPr>
            <w:tcW w:w="1349"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hint="eastAsia" w:ascii="Times New Roman" w:hAnsi="Times New Roman" w:eastAsia="宋体" w:cs="Times New Roman"/>
                <w:sz w:val="24"/>
                <w:szCs w:val="24"/>
                <w:highlight w:val="none"/>
                <w:lang w:val="en-US" w:eastAsia="zh-CN"/>
              </w:rPr>
              <w:t>个</w:t>
            </w: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300" w:lineRule="auto"/>
              <w:jc w:val="center"/>
              <w:rPr>
                <w:rFonts w:ascii="宋体" w:hAnsi="宋体" w:eastAsia="宋体" w:cs="宋体"/>
                <w:sz w:val="24"/>
                <w:szCs w:val="24"/>
              </w:rPr>
            </w:pPr>
            <w:r>
              <w:rPr>
                <w:rFonts w:hint="eastAsia" w:ascii="宋体" w:hAnsi="宋体" w:eastAsia="宋体" w:cs="Arial"/>
                <w:sz w:val="21"/>
                <w:szCs w:val="21"/>
                <w:highlight w:val="none"/>
              </w:rPr>
              <w:t>1</w:t>
            </w:r>
          </w:p>
        </w:tc>
        <w:tc>
          <w:tcPr>
            <w:tcW w:w="188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595"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856"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635"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hint="eastAsia" w:ascii="仿宋_GB2312" w:hAnsi="仿宋_GB2312" w:eastAsia="宋体" w:cs="Times New Roman"/>
                <w:color w:val="000000"/>
                <w:kern w:val="0"/>
                <w:szCs w:val="21"/>
                <w:lang w:val="en-US" w:eastAsia="zh-CN"/>
              </w:rPr>
            </w:pPr>
            <w:r>
              <w:rPr>
                <w:rFonts w:hint="eastAsia" w:ascii="仿宋_GB2312" w:hAnsi="仿宋_GB2312" w:eastAsia="宋体" w:cs="Times New Roman"/>
                <w:color w:val="000000"/>
                <w:kern w:val="0"/>
                <w:szCs w:val="21"/>
                <w:lang w:val="en-US" w:eastAsia="zh-CN"/>
              </w:rPr>
              <w:t>6</w:t>
            </w:r>
          </w:p>
        </w:tc>
        <w:tc>
          <w:tcPr>
            <w:tcW w:w="3155" w:type="dxa"/>
            <w:tcBorders>
              <w:top w:val="single" w:color="000000" w:sz="2" w:space="0"/>
              <w:left w:val="single" w:color="000000" w:sz="2" w:space="0"/>
              <w:bottom w:val="single" w:color="000000" w:sz="2" w:space="0"/>
              <w:right w:val="single" w:color="000000" w:sz="2" w:space="0"/>
            </w:tcBorders>
            <w:shd w:val="clear" w:color="auto" w:fill="auto"/>
            <w:vAlign w:val="center"/>
          </w:tcPr>
          <w:p>
            <w:pPr>
              <w:overflowPunct w:val="0"/>
              <w:snapToGrid w:val="0"/>
              <w:spacing w:line="400" w:lineRule="exact"/>
              <w:jc w:val="center"/>
              <w:rPr>
                <w:rFonts w:hint="default" w:ascii="宋体" w:hAnsi="宋体" w:eastAsia="宋体" w:cs="Arial"/>
                <w:kern w:val="2"/>
                <w:sz w:val="21"/>
                <w:szCs w:val="21"/>
                <w:highlight w:val="none"/>
                <w:lang w:val="en-US" w:eastAsia="zh-CN" w:bidi="ar-SA"/>
              </w:rPr>
            </w:pPr>
            <w:r>
              <w:rPr>
                <w:rFonts w:hint="eastAsia" w:ascii="仿宋" w:hAnsi="仿宋" w:eastAsia="仿宋" w:cs="宋体"/>
                <w:bCs/>
                <w:kern w:val="0"/>
                <w:sz w:val="24"/>
              </w:rPr>
              <w:t>设备运输/安装调试培训</w:t>
            </w:r>
          </w:p>
        </w:tc>
        <w:tc>
          <w:tcPr>
            <w:tcW w:w="1349"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left"/>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r>
              <w:rPr>
                <w:rFonts w:hint="eastAsia" w:ascii="Times New Roman" w:hAnsi="Times New Roman" w:eastAsia="宋体" w:cs="Times New Roman"/>
                <w:sz w:val="24"/>
                <w:szCs w:val="24"/>
                <w:highlight w:val="none"/>
                <w:lang w:val="en-US" w:eastAsia="zh-CN"/>
              </w:rPr>
              <w:t>个</w:t>
            </w: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pPr>
              <w:spacing w:line="300" w:lineRule="auto"/>
              <w:jc w:val="center"/>
              <w:rPr>
                <w:rFonts w:ascii="宋体" w:hAnsi="宋体" w:eastAsia="宋体" w:cs="宋体"/>
                <w:sz w:val="24"/>
                <w:szCs w:val="24"/>
              </w:rPr>
            </w:pPr>
            <w:r>
              <w:rPr>
                <w:rFonts w:hint="eastAsia" w:ascii="仿宋" w:hAnsi="仿宋" w:eastAsia="仿宋" w:cs="仿宋"/>
                <w:bCs/>
                <w:kern w:val="0"/>
                <w:sz w:val="24"/>
                <w:szCs w:val="22"/>
                <w:highlight w:val="none"/>
                <w:lang w:val="en-US" w:eastAsia="zh-CN" w:bidi="ar-SA"/>
              </w:rPr>
              <w:t>1</w:t>
            </w:r>
          </w:p>
        </w:tc>
        <w:tc>
          <w:tcPr>
            <w:tcW w:w="188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595"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856"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635"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0" w:hRule="atLeast"/>
        </w:trPr>
        <w:tc>
          <w:tcPr>
            <w:tcW w:w="555" w:type="dxa"/>
            <w:tcBorders>
              <w:top w:val="single" w:color="000000" w:sz="2" w:space="0"/>
              <w:left w:val="single" w:color="000000" w:sz="2" w:space="0"/>
              <w:bottom w:val="single" w:color="000000" w:sz="2" w:space="0"/>
              <w:right w:val="single" w:color="000000" w:sz="4" w:space="0"/>
            </w:tcBorders>
            <w:vAlign w:val="center"/>
          </w:tcPr>
          <w:p>
            <w:pPr>
              <w:jc w:val="left"/>
              <w:rPr>
                <w:rFonts w:ascii="宋体" w:hAnsi="宋体" w:eastAsia="宋体" w:cs="Times New Roman"/>
                <w:spacing w:val="-6"/>
                <w:kern w:val="0"/>
                <w:sz w:val="20"/>
                <w:szCs w:val="20"/>
              </w:rPr>
            </w:pPr>
          </w:p>
        </w:tc>
        <w:tc>
          <w:tcPr>
            <w:tcW w:w="9891" w:type="dxa"/>
            <w:gridSpan w:val="6"/>
            <w:tcBorders>
              <w:top w:val="single" w:color="000000" w:sz="2" w:space="0"/>
              <w:left w:val="single" w:color="000000" w:sz="2" w:space="0"/>
              <w:bottom w:val="single" w:color="000000" w:sz="2" w:space="0"/>
              <w:right w:val="single" w:color="000000" w:sz="4" w:space="0"/>
            </w:tcBorders>
            <w:vAlign w:val="center"/>
          </w:tcPr>
          <w:p>
            <w:pPr>
              <w:jc w:val="center"/>
              <w:rPr>
                <w:rFonts w:ascii="Arial" w:hAnsi="Times New Roman" w:eastAsia="宋体" w:cs="Times New Roman"/>
                <w:kern w:val="0"/>
                <w:sz w:val="20"/>
                <w:szCs w:val="20"/>
              </w:rPr>
            </w:pPr>
            <w:r>
              <w:rPr>
                <w:rFonts w:hint="eastAsia" w:ascii="宋体" w:hAnsi="宋体" w:eastAsia="Times New Roman" w:cs="Times New Roman"/>
                <w:spacing w:val="-6"/>
                <w:kern w:val="0"/>
                <w:sz w:val="20"/>
                <w:szCs w:val="20"/>
              </w:rPr>
              <w:t>总</w:t>
            </w:r>
            <w:r>
              <w:rPr>
                <w:rFonts w:hint="eastAsia" w:ascii="宋体" w:hAnsi="宋体" w:eastAsia="Times New Roman" w:cs="Times New Roman"/>
                <w:spacing w:val="-4"/>
                <w:kern w:val="0"/>
                <w:sz w:val="20"/>
                <w:szCs w:val="20"/>
              </w:rPr>
              <w:t>价合计列入价格汇总表 9-5</w:t>
            </w:r>
          </w:p>
        </w:tc>
        <w:tc>
          <w:tcPr>
            <w:tcW w:w="1856"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635"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bl>
    <w:p>
      <w:pPr>
        <w:spacing w:before="58" w:line="219" w:lineRule="auto"/>
        <w:ind w:left="8"/>
        <w:rPr>
          <w:rFonts w:ascii="宋体" w:hAnsi="宋体" w:eastAsia="宋体" w:cs="宋体"/>
          <w:spacing w:val="-8"/>
          <w:szCs w:val="21"/>
        </w:rPr>
      </w:pPr>
    </w:p>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30"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7"/>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1" w:hRule="atLeast"/>
        </w:trPr>
        <w:tc>
          <w:tcPr>
            <w:tcW w:w="799" w:type="dxa"/>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31" w:type="default"/>
          <w:pgSz w:w="16841" w:h="11907"/>
          <w:pgMar w:top="400" w:right="1699" w:bottom="1184" w:left="1481" w:header="0" w:footer="1022" w:gutter="0"/>
          <w:cols w:space="720" w:num="1"/>
        </w:sectPr>
      </w:pPr>
    </w:p>
    <w:p>
      <w:pPr>
        <w:pStyle w:val="7"/>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top"/>
          </w:tcPr>
          <w:p>
            <w:pPr>
              <w:spacing w:before="266" w:line="221" w:lineRule="auto"/>
              <w:jc w:val="center"/>
              <w:rPr>
                <w:rFonts w:ascii="宋体" w:hAnsi="宋体" w:eastAsia="宋体" w:cs="宋体"/>
                <w:szCs w:val="21"/>
              </w:rPr>
            </w:pPr>
            <w:r>
              <w:rPr>
                <w:rFonts w:hint="eastAsia" w:ascii="宋体" w:hAnsi="宋体" w:eastAsia="宋体" w:cs="宋体"/>
                <w:spacing w:val="-1"/>
                <w:szCs w:val="21"/>
                <w:highlight w:val="yellow"/>
                <w:lang w:val="en-US" w:eastAsia="zh-CN"/>
              </w:rPr>
              <w:t>现场安装调试费</w:t>
            </w:r>
          </w:p>
        </w:tc>
        <w:tc>
          <w:tcPr>
            <w:tcW w:w="1126" w:type="dxa"/>
            <w:vAlign w:val="top"/>
          </w:tcPr>
          <w:p>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top"/>
          </w:tcPr>
          <w:p>
            <w:pPr>
              <w:spacing w:before="266" w:line="221" w:lineRule="auto"/>
              <w:jc w:val="center"/>
              <w:rPr>
                <w:rFonts w:ascii="宋体" w:hAnsi="宋体" w:eastAsia="宋体" w:cs="宋体"/>
                <w:szCs w:val="21"/>
              </w:rPr>
            </w:pPr>
            <w:r>
              <w:rPr>
                <w:rFonts w:hint="eastAsia" w:ascii="宋体" w:hAnsi="宋体" w:eastAsia="宋体" w:cs="宋体"/>
                <w:szCs w:val="21"/>
                <w:highlight w:val="yellow"/>
                <w:lang w:val="en-US" w:eastAsia="zh-CN"/>
              </w:rPr>
              <w:t>技术培训费</w:t>
            </w:r>
          </w:p>
        </w:tc>
        <w:tc>
          <w:tcPr>
            <w:tcW w:w="1126" w:type="dxa"/>
            <w:vAlign w:val="top"/>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20"/>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2" w:type="default"/>
          <w:pgSz w:w="16841" w:h="11907"/>
          <w:pgMar w:top="400" w:right="1699" w:bottom="1184" w:left="1481" w:header="0" w:footer="1022" w:gutter="0"/>
          <w:cols w:space="720" w:num="1"/>
        </w:sectPr>
      </w:pPr>
    </w:p>
    <w:p>
      <w:pPr>
        <w:pStyle w:val="7"/>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3" w:type="default"/>
          <w:pgSz w:w="16841" w:h="11907"/>
          <w:pgMar w:top="400" w:right="1500" w:bottom="1184" w:left="1480" w:header="0" w:footer="1022" w:gutter="0"/>
          <w:cols w:space="720" w:num="1"/>
        </w:sectPr>
      </w:pPr>
    </w:p>
    <w:p>
      <w:pPr>
        <w:pStyle w:val="7"/>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0"/>
      </w:pPr>
    </w:p>
    <w:p>
      <w:pPr>
        <w:pStyle w:val="20"/>
      </w:pPr>
    </w:p>
    <w:p>
      <w:pPr>
        <w:spacing w:before="140" w:line="220" w:lineRule="auto"/>
        <w:ind w:left="2" w:firstLine="464" w:firstLineChars="200"/>
        <w:rPr>
          <w:rFonts w:ascii="宋体" w:hAnsi="宋体" w:eastAsia="宋体" w:cs="宋体"/>
          <w:spacing w:val="-2"/>
          <w:szCs w:val="21"/>
        </w:rPr>
        <w:sectPr>
          <w:footerReference r:id="rId34"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济南商用车公司汕德卡驾驶室车门内腔喷蜡项目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济南商用车公司汕德卡驾驶室车门内腔喷蜡项目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5"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济南商用车公司汕德卡驾驶室车门内腔喷蜡项目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0"/>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济南商用车公司汕德卡驾驶室车门内腔喷蜡项目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0"/>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7" w:type="first"/>
          <w:footerReference r:id="rId39" w:type="first"/>
          <w:headerReference r:id="rId36" w:type="default"/>
          <w:footerReference r:id="rId38" w:type="default"/>
          <w:pgSz w:w="11906" w:h="16838"/>
          <w:pgMar w:top="1588" w:right="1418" w:bottom="1134" w:left="1418" w:header="851" w:footer="992" w:gutter="0"/>
          <w:cols w:space="720" w:num="1"/>
          <w:titlePg/>
          <w:docGrid w:type="lines" w:linePitch="312" w:charSpace="0"/>
        </w:sectPr>
      </w:pPr>
    </w:p>
    <w:p>
      <w:pPr>
        <w:pStyle w:val="20"/>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20"/>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52"/>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3"/>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4"/>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5"/>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pStyle w:val="20"/>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6"/>
                    <a:stretch>
                      <a:fillRect/>
                    </a:stretch>
                  </pic:blipFill>
                  <pic:spPr>
                    <a:xfrm>
                      <a:off x="0" y="0"/>
                      <a:ext cx="5760085" cy="2810122"/>
                    </a:xfrm>
                    <a:prstGeom prst="rect">
                      <a:avLst/>
                    </a:prstGeom>
                  </pic:spPr>
                </pic:pic>
              </a:graphicData>
            </a:graphic>
          </wp:inline>
        </w:drawing>
      </w:r>
    </w:p>
    <w:p>
      <w:pPr>
        <w:pStyle w:val="20"/>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7"/>
                    <a:stretch>
                      <a:fillRect/>
                    </a:stretch>
                  </pic:blipFill>
                  <pic:spPr>
                    <a:xfrm>
                      <a:off x="0" y="0"/>
                      <a:ext cx="5760085" cy="2820042"/>
                    </a:xfrm>
                    <a:prstGeom prst="rect">
                      <a:avLst/>
                    </a:prstGeom>
                  </pic:spPr>
                </pic:pic>
              </a:graphicData>
            </a:graphic>
          </wp:inline>
        </w:drawing>
      </w:r>
    </w:p>
    <w:p>
      <w:pPr>
        <w:pStyle w:val="20"/>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pPr>
        <w:pStyle w:val="20"/>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配套能力“供货类别”填“工艺设备”，</w:t>
      </w:r>
      <w:r>
        <w:rPr>
          <w:rFonts w:hint="eastAsia" w:ascii="宋体" w:hAnsi="宋体" w:eastAsia="宋体" w:cs="宋体"/>
          <w:b/>
          <w:bCs/>
          <w:i w:val="0"/>
          <w:strike w:val="0"/>
          <w:color w:val="000000"/>
          <w:sz w:val="24"/>
          <w:szCs w:val="28"/>
          <w:highlight w:val="yellow"/>
          <w:u w:val="none"/>
          <w:lang w:val="en-US" w:eastAsia="zh-CN"/>
        </w:rPr>
        <w:t>业务主管部门选择“</w:t>
      </w:r>
      <w:r>
        <w:rPr>
          <w:rFonts w:hint="eastAsia" w:hAnsi="宋体" w:eastAsia="宋体" w:cs="宋体"/>
          <w:b/>
          <w:bCs/>
          <w:i w:val="0"/>
          <w:strike w:val="0"/>
          <w:color w:val="000000"/>
          <w:sz w:val="24"/>
          <w:szCs w:val="28"/>
          <w:highlight w:val="yellow"/>
          <w:u w:val="none"/>
          <w:lang w:val="en-US" w:eastAsia="zh-CN"/>
        </w:rPr>
        <w:t>工艺工匠研究院</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pPr>
        <w:pStyle w:val="20"/>
        <w:sectPr>
          <w:headerReference r:id="rId41" w:type="first"/>
          <w:footerReference r:id="rId43" w:type="first"/>
          <w:headerReference r:id="rId40" w:type="default"/>
          <w:footerReference r:id="rId42" w:type="default"/>
          <w:pgSz w:w="11906" w:h="16838"/>
          <w:pgMar w:top="1588" w:right="1418" w:bottom="1134" w:left="1418" w:header="851" w:footer="992" w:gutter="0"/>
          <w:cols w:space="720" w:num="1"/>
          <w:titlePg/>
          <w:docGrid w:type="lines" w:linePitch="312" w:charSpace="0"/>
        </w:sectPr>
      </w:pPr>
    </w:p>
    <w:p>
      <w:pPr>
        <w:pStyle w:val="20"/>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9"/>
          <w:rFonts w:hint="eastAsia" w:ascii="宋体" w:hAnsi="宋体" w:eastAsia="宋体" w:cs="宋体"/>
          <w:sz w:val="24"/>
          <w:szCs w:val="24"/>
        </w:rPr>
        <w:fldChar w:fldCharType="begin"/>
      </w:r>
      <w:r>
        <w:rPr>
          <w:rStyle w:val="49"/>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9"/>
          <w:rFonts w:hint="eastAsia" w:ascii="宋体" w:hAnsi="宋体" w:eastAsia="宋体" w:cs="宋体"/>
          <w:sz w:val="24"/>
          <w:szCs w:val="24"/>
        </w:rPr>
        <w:fldChar w:fldCharType="separate"/>
      </w:r>
      <w:r>
        <w:rPr>
          <w:rStyle w:val="49"/>
          <w:rFonts w:hint="eastAsia" w:ascii="宋体" w:hAnsi="宋体" w:eastAsia="宋体" w:cs="宋体"/>
          <w:sz w:val="24"/>
          <w:szCs w:val="24"/>
        </w:rPr>
        <w:t>http</w:t>
      </w:r>
      <w:r>
        <w:rPr>
          <w:rStyle w:val="49"/>
          <w:rFonts w:hint="eastAsia" w:ascii="宋体" w:hAnsi="宋体" w:eastAsia="宋体" w:cs="宋体"/>
          <w:sz w:val="24"/>
          <w:szCs w:val="24"/>
          <w:lang w:val="en-US" w:eastAsia="zh-CN"/>
        </w:rPr>
        <w:t>s</w:t>
      </w:r>
      <w:r>
        <w:rPr>
          <w:rStyle w:val="49"/>
          <w:rFonts w:hint="eastAsia" w:ascii="宋体" w:hAnsi="宋体" w:eastAsia="宋体" w:cs="宋体"/>
          <w:sz w:val="24"/>
          <w:szCs w:val="24"/>
        </w:rPr>
        <w:t>://ecaitong.sinotruk.com:8012/</w:t>
      </w:r>
      <w:r>
        <w:rPr>
          <w:rStyle w:val="49"/>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8"/>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9"/>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20"/>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pPr>
        <w:pStyle w:val="7"/>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60"/>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61"/>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7"/>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2"/>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3"/>
                    <a:stretch>
                      <a:fillRect/>
                    </a:stretch>
                  </pic:blipFill>
                  <pic:spPr>
                    <a:xfrm>
                      <a:off x="0" y="0"/>
                      <a:ext cx="5760085" cy="1956600"/>
                    </a:xfrm>
                    <a:prstGeom prst="rect">
                      <a:avLst/>
                    </a:prstGeom>
                  </pic:spPr>
                </pic:pic>
              </a:graphicData>
            </a:graphic>
          </wp:inline>
        </w:drawing>
      </w:r>
    </w:p>
    <w:p>
      <w:pPr>
        <w:pStyle w:val="20"/>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8CF3C52"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1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12BCEB"/>
    <w:multiLevelType w:val="singleLevel"/>
    <w:tmpl w:val="8612BCEB"/>
    <w:lvl w:ilvl="0" w:tentative="0">
      <w:start w:val="2"/>
      <w:numFmt w:val="decimal"/>
      <w:lvlText w:val="%1."/>
      <w:lvlJc w:val="left"/>
      <w:pPr>
        <w:tabs>
          <w:tab w:val="left" w:pos="312"/>
        </w:tabs>
      </w:p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37"/>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10000F7A"/>
    <w:multiLevelType w:val="multilevel"/>
    <w:tmpl w:val="10000F7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2F477434"/>
    <w:multiLevelType w:val="multilevel"/>
    <w:tmpl w:val="2F477434"/>
    <w:lvl w:ilvl="0" w:tentative="0">
      <w:start w:val="1"/>
      <w:numFmt w:val="japaneseCounting"/>
      <w:lvlText w:val="%1、"/>
      <w:lvlJc w:val="left"/>
      <w:pPr>
        <w:ind w:left="953" w:hanging="471"/>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0">
    <w:nsid w:val="317D4CB0"/>
    <w:multiLevelType w:val="singleLevel"/>
    <w:tmpl w:val="317D4CB0"/>
    <w:lvl w:ilvl="0" w:tentative="0">
      <w:start w:val="5"/>
      <w:numFmt w:val="chineseCounting"/>
      <w:suff w:val="nothing"/>
      <w:lvlText w:val="%1、"/>
      <w:lvlJc w:val="left"/>
      <w:rPr>
        <w:rFonts w:hint="eastAsia"/>
      </w:rPr>
    </w:lvl>
  </w:abstractNum>
  <w:abstractNum w:abstractNumId="11">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2">
    <w:nsid w:val="6E8C6948"/>
    <w:multiLevelType w:val="singleLevel"/>
    <w:tmpl w:val="6E8C6948"/>
    <w:lvl w:ilvl="0" w:tentative="0">
      <w:start w:val="1"/>
      <w:numFmt w:val="chineseCounting"/>
      <w:suff w:val="space"/>
      <w:lvlText w:val="第%1部分"/>
      <w:lvlJc w:val="left"/>
      <w:rPr>
        <w:rFonts w:hint="eastAsia"/>
      </w:rPr>
    </w:lvl>
  </w:abstractNum>
  <w:abstractNum w:abstractNumId="13">
    <w:nsid w:val="7A612DE2"/>
    <w:multiLevelType w:val="singleLevel"/>
    <w:tmpl w:val="7A612DE2"/>
    <w:lvl w:ilvl="0" w:tentative="0">
      <w:start w:val="2"/>
      <w:numFmt w:val="decimal"/>
      <w:lvlText w:val="%1."/>
      <w:lvlJc w:val="left"/>
      <w:pPr>
        <w:tabs>
          <w:tab w:val="left" w:pos="312"/>
        </w:tabs>
      </w:pPr>
    </w:lvl>
  </w:abstractNum>
  <w:num w:numId="1">
    <w:abstractNumId w:val="3"/>
  </w:num>
  <w:num w:numId="2">
    <w:abstractNumId w:val="12"/>
  </w:num>
  <w:num w:numId="3">
    <w:abstractNumId w:val="1"/>
  </w:num>
  <w:num w:numId="4">
    <w:abstractNumId w:val="13"/>
  </w:num>
  <w:num w:numId="5">
    <w:abstractNumId w:val="7"/>
  </w:num>
  <w:num w:numId="6">
    <w:abstractNumId w:val="4"/>
  </w:num>
  <w:num w:numId="7">
    <w:abstractNumId w:val="11"/>
  </w:num>
  <w:num w:numId="8">
    <w:abstractNumId w:val="2"/>
  </w:num>
  <w:num w:numId="9">
    <w:abstractNumId w:val="8"/>
  </w:num>
  <w:num w:numId="10">
    <w:abstractNumId w:val="6"/>
  </w:num>
  <w:num w:numId="11">
    <w:abstractNumId w:val="0"/>
  </w:num>
  <w:num w:numId="12">
    <w:abstractNumId w:val="10"/>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160A"/>
    <w:rsid w:val="00E878B4"/>
    <w:rsid w:val="00EB3D00"/>
    <w:rsid w:val="00F71720"/>
    <w:rsid w:val="00FE040F"/>
    <w:rsid w:val="00FE42B3"/>
    <w:rsid w:val="011A1F11"/>
    <w:rsid w:val="014832F2"/>
    <w:rsid w:val="014D51C1"/>
    <w:rsid w:val="01714809"/>
    <w:rsid w:val="01C52478"/>
    <w:rsid w:val="025C7FF6"/>
    <w:rsid w:val="027408EE"/>
    <w:rsid w:val="02963F39"/>
    <w:rsid w:val="02A62A31"/>
    <w:rsid w:val="02B3095A"/>
    <w:rsid w:val="02BA7274"/>
    <w:rsid w:val="02C32E43"/>
    <w:rsid w:val="02E61E15"/>
    <w:rsid w:val="03251978"/>
    <w:rsid w:val="0325718A"/>
    <w:rsid w:val="042921B6"/>
    <w:rsid w:val="043B2EAD"/>
    <w:rsid w:val="043B72BB"/>
    <w:rsid w:val="04461EC1"/>
    <w:rsid w:val="04504B3F"/>
    <w:rsid w:val="04915503"/>
    <w:rsid w:val="0492376F"/>
    <w:rsid w:val="04AD02B8"/>
    <w:rsid w:val="04DE51C8"/>
    <w:rsid w:val="04DF17D4"/>
    <w:rsid w:val="052C6D8B"/>
    <w:rsid w:val="05412745"/>
    <w:rsid w:val="05491761"/>
    <w:rsid w:val="055C1AD8"/>
    <w:rsid w:val="05A351AD"/>
    <w:rsid w:val="05B85D44"/>
    <w:rsid w:val="05F9748A"/>
    <w:rsid w:val="06266F78"/>
    <w:rsid w:val="063E7B7A"/>
    <w:rsid w:val="06582413"/>
    <w:rsid w:val="067E33B8"/>
    <w:rsid w:val="06E82FCB"/>
    <w:rsid w:val="06F34B95"/>
    <w:rsid w:val="07571DAC"/>
    <w:rsid w:val="084859A3"/>
    <w:rsid w:val="08DD171B"/>
    <w:rsid w:val="08E23758"/>
    <w:rsid w:val="08E64121"/>
    <w:rsid w:val="090D588C"/>
    <w:rsid w:val="0942017F"/>
    <w:rsid w:val="09BA1FBB"/>
    <w:rsid w:val="09CB139F"/>
    <w:rsid w:val="0A0106F5"/>
    <w:rsid w:val="0A112AB7"/>
    <w:rsid w:val="0A4E5482"/>
    <w:rsid w:val="0AAA504A"/>
    <w:rsid w:val="0AD71BC7"/>
    <w:rsid w:val="0AF420EB"/>
    <w:rsid w:val="0B2B2BF5"/>
    <w:rsid w:val="0B2F3908"/>
    <w:rsid w:val="0B3F6206"/>
    <w:rsid w:val="0B6E15DE"/>
    <w:rsid w:val="0BE12DB6"/>
    <w:rsid w:val="0BFC6504"/>
    <w:rsid w:val="0C345AD1"/>
    <w:rsid w:val="0C626CE4"/>
    <w:rsid w:val="0C78293D"/>
    <w:rsid w:val="0D0C2B7B"/>
    <w:rsid w:val="0D5F6D00"/>
    <w:rsid w:val="0D9308F8"/>
    <w:rsid w:val="0DE76C3D"/>
    <w:rsid w:val="0E1A1D85"/>
    <w:rsid w:val="0E750568"/>
    <w:rsid w:val="0E9C3C97"/>
    <w:rsid w:val="0EE46134"/>
    <w:rsid w:val="0F2D7A80"/>
    <w:rsid w:val="0F4277E5"/>
    <w:rsid w:val="0F4C5227"/>
    <w:rsid w:val="0F684B57"/>
    <w:rsid w:val="0FA75561"/>
    <w:rsid w:val="0FB83603"/>
    <w:rsid w:val="0FCA77F1"/>
    <w:rsid w:val="0FCD5DCC"/>
    <w:rsid w:val="0FDB0E3A"/>
    <w:rsid w:val="10043197"/>
    <w:rsid w:val="10270545"/>
    <w:rsid w:val="103409DF"/>
    <w:rsid w:val="106D52D4"/>
    <w:rsid w:val="1087069D"/>
    <w:rsid w:val="108A1D4B"/>
    <w:rsid w:val="10921F4C"/>
    <w:rsid w:val="10A10111"/>
    <w:rsid w:val="10A17FC7"/>
    <w:rsid w:val="10BE093E"/>
    <w:rsid w:val="10E20BD8"/>
    <w:rsid w:val="111B0FE9"/>
    <w:rsid w:val="112C77F4"/>
    <w:rsid w:val="114755AB"/>
    <w:rsid w:val="115F67A8"/>
    <w:rsid w:val="119604A6"/>
    <w:rsid w:val="119A7465"/>
    <w:rsid w:val="11C07DA5"/>
    <w:rsid w:val="11C2491E"/>
    <w:rsid w:val="11F36B75"/>
    <w:rsid w:val="12491386"/>
    <w:rsid w:val="12751983"/>
    <w:rsid w:val="12887F77"/>
    <w:rsid w:val="12E60579"/>
    <w:rsid w:val="12E66E96"/>
    <w:rsid w:val="12EB0F02"/>
    <w:rsid w:val="12FE6E3A"/>
    <w:rsid w:val="13016943"/>
    <w:rsid w:val="134A6EFE"/>
    <w:rsid w:val="13695B36"/>
    <w:rsid w:val="1372609F"/>
    <w:rsid w:val="13D73572"/>
    <w:rsid w:val="1445350E"/>
    <w:rsid w:val="14504752"/>
    <w:rsid w:val="145A6A37"/>
    <w:rsid w:val="1467440F"/>
    <w:rsid w:val="15191D05"/>
    <w:rsid w:val="153955DC"/>
    <w:rsid w:val="15400323"/>
    <w:rsid w:val="15411ACF"/>
    <w:rsid w:val="15433A9B"/>
    <w:rsid w:val="15481005"/>
    <w:rsid w:val="15584512"/>
    <w:rsid w:val="15A93017"/>
    <w:rsid w:val="15FC2F04"/>
    <w:rsid w:val="16181FAC"/>
    <w:rsid w:val="163C579E"/>
    <w:rsid w:val="164B1DA1"/>
    <w:rsid w:val="16501B6B"/>
    <w:rsid w:val="168756A0"/>
    <w:rsid w:val="16F94849"/>
    <w:rsid w:val="17045E51"/>
    <w:rsid w:val="172011D4"/>
    <w:rsid w:val="17252C3B"/>
    <w:rsid w:val="173F0A2E"/>
    <w:rsid w:val="17770BC2"/>
    <w:rsid w:val="17860E2F"/>
    <w:rsid w:val="17A119AA"/>
    <w:rsid w:val="18586F2B"/>
    <w:rsid w:val="19442DF9"/>
    <w:rsid w:val="19546FDC"/>
    <w:rsid w:val="19873C1D"/>
    <w:rsid w:val="19A766B9"/>
    <w:rsid w:val="19AF3EFD"/>
    <w:rsid w:val="19CE76BA"/>
    <w:rsid w:val="19F26070"/>
    <w:rsid w:val="19F97C8B"/>
    <w:rsid w:val="1A1523CE"/>
    <w:rsid w:val="1A6A6939"/>
    <w:rsid w:val="1AA730BD"/>
    <w:rsid w:val="1B333D5D"/>
    <w:rsid w:val="1B587618"/>
    <w:rsid w:val="1B5F19C7"/>
    <w:rsid w:val="1B823DEE"/>
    <w:rsid w:val="1C1C709B"/>
    <w:rsid w:val="1C4F6795"/>
    <w:rsid w:val="1C9F6814"/>
    <w:rsid w:val="1CCB626F"/>
    <w:rsid w:val="1D1F0356"/>
    <w:rsid w:val="1D5C514E"/>
    <w:rsid w:val="1D865D14"/>
    <w:rsid w:val="1D8705EC"/>
    <w:rsid w:val="1DD872E4"/>
    <w:rsid w:val="1DE839B1"/>
    <w:rsid w:val="1DEC0E7D"/>
    <w:rsid w:val="1E43150B"/>
    <w:rsid w:val="1EA93E80"/>
    <w:rsid w:val="1ED04B7D"/>
    <w:rsid w:val="1ED33FB6"/>
    <w:rsid w:val="1EE81332"/>
    <w:rsid w:val="1F197111"/>
    <w:rsid w:val="1F32415A"/>
    <w:rsid w:val="1F424861"/>
    <w:rsid w:val="1F542F9A"/>
    <w:rsid w:val="1F702632"/>
    <w:rsid w:val="1F7E2174"/>
    <w:rsid w:val="1FDC6454"/>
    <w:rsid w:val="1FE63629"/>
    <w:rsid w:val="20107567"/>
    <w:rsid w:val="2035487C"/>
    <w:rsid w:val="204149A4"/>
    <w:rsid w:val="20916A7C"/>
    <w:rsid w:val="20AB56C6"/>
    <w:rsid w:val="2101751A"/>
    <w:rsid w:val="214A3F2E"/>
    <w:rsid w:val="21547789"/>
    <w:rsid w:val="2176507C"/>
    <w:rsid w:val="217C1026"/>
    <w:rsid w:val="21BE35AF"/>
    <w:rsid w:val="21C11174"/>
    <w:rsid w:val="22244B28"/>
    <w:rsid w:val="22467FD4"/>
    <w:rsid w:val="229451FD"/>
    <w:rsid w:val="22A12DB6"/>
    <w:rsid w:val="22D11FA9"/>
    <w:rsid w:val="236356D1"/>
    <w:rsid w:val="236B5802"/>
    <w:rsid w:val="23751CDA"/>
    <w:rsid w:val="23A853E5"/>
    <w:rsid w:val="23A91C83"/>
    <w:rsid w:val="23C962E8"/>
    <w:rsid w:val="247E4FED"/>
    <w:rsid w:val="24AD78E0"/>
    <w:rsid w:val="24B30BE8"/>
    <w:rsid w:val="24E34060"/>
    <w:rsid w:val="253A0491"/>
    <w:rsid w:val="254E0478"/>
    <w:rsid w:val="25E036B2"/>
    <w:rsid w:val="25E9082A"/>
    <w:rsid w:val="25F42473"/>
    <w:rsid w:val="26372DC2"/>
    <w:rsid w:val="269C17B8"/>
    <w:rsid w:val="26AF2D79"/>
    <w:rsid w:val="26B34B91"/>
    <w:rsid w:val="27014C27"/>
    <w:rsid w:val="270D66E8"/>
    <w:rsid w:val="27514612"/>
    <w:rsid w:val="278B0DAB"/>
    <w:rsid w:val="279C6B0E"/>
    <w:rsid w:val="27A64735"/>
    <w:rsid w:val="27CC4DF2"/>
    <w:rsid w:val="281864F2"/>
    <w:rsid w:val="286903EF"/>
    <w:rsid w:val="287F5DD3"/>
    <w:rsid w:val="288047CB"/>
    <w:rsid w:val="289E62FA"/>
    <w:rsid w:val="28FD6E90"/>
    <w:rsid w:val="29025453"/>
    <w:rsid w:val="291E2CA6"/>
    <w:rsid w:val="29331862"/>
    <w:rsid w:val="29861C3F"/>
    <w:rsid w:val="299741EC"/>
    <w:rsid w:val="299E147F"/>
    <w:rsid w:val="29C32A87"/>
    <w:rsid w:val="29CF26DC"/>
    <w:rsid w:val="2A1C5DA0"/>
    <w:rsid w:val="2A200D39"/>
    <w:rsid w:val="2A280AB9"/>
    <w:rsid w:val="2A456741"/>
    <w:rsid w:val="2A507EFF"/>
    <w:rsid w:val="2ADC05A4"/>
    <w:rsid w:val="2AEF2177"/>
    <w:rsid w:val="2B5D60D4"/>
    <w:rsid w:val="2B6F0D7F"/>
    <w:rsid w:val="2B8716BD"/>
    <w:rsid w:val="2B8B76FF"/>
    <w:rsid w:val="2BC6064F"/>
    <w:rsid w:val="2BD5034F"/>
    <w:rsid w:val="2BE05C4E"/>
    <w:rsid w:val="2C924AE7"/>
    <w:rsid w:val="2CB77649"/>
    <w:rsid w:val="2D025012"/>
    <w:rsid w:val="2D3B693B"/>
    <w:rsid w:val="2D4178F0"/>
    <w:rsid w:val="2D7711AA"/>
    <w:rsid w:val="2D7D58EB"/>
    <w:rsid w:val="2DA45D22"/>
    <w:rsid w:val="2DAE631A"/>
    <w:rsid w:val="2DD65954"/>
    <w:rsid w:val="2DD877E0"/>
    <w:rsid w:val="2DE616C9"/>
    <w:rsid w:val="2DE801DF"/>
    <w:rsid w:val="2DFC2451"/>
    <w:rsid w:val="2E3422F8"/>
    <w:rsid w:val="2E3D68D2"/>
    <w:rsid w:val="2E40089D"/>
    <w:rsid w:val="2E453743"/>
    <w:rsid w:val="2E6E566D"/>
    <w:rsid w:val="2E7F188E"/>
    <w:rsid w:val="2E866DE4"/>
    <w:rsid w:val="2EA91D49"/>
    <w:rsid w:val="2EBC0905"/>
    <w:rsid w:val="2EC73739"/>
    <w:rsid w:val="2EFB1B0E"/>
    <w:rsid w:val="2F5C684F"/>
    <w:rsid w:val="2F63756E"/>
    <w:rsid w:val="2F6812EF"/>
    <w:rsid w:val="2F922AC9"/>
    <w:rsid w:val="2FE6553A"/>
    <w:rsid w:val="303D4E30"/>
    <w:rsid w:val="30767505"/>
    <w:rsid w:val="307776D1"/>
    <w:rsid w:val="30862574"/>
    <w:rsid w:val="309D1AAC"/>
    <w:rsid w:val="30A36336"/>
    <w:rsid w:val="30AD52F3"/>
    <w:rsid w:val="30B631E1"/>
    <w:rsid w:val="30F658E4"/>
    <w:rsid w:val="311933AA"/>
    <w:rsid w:val="314C32D2"/>
    <w:rsid w:val="317D15BB"/>
    <w:rsid w:val="31D07E6C"/>
    <w:rsid w:val="31D907BC"/>
    <w:rsid w:val="323F65DA"/>
    <w:rsid w:val="32412074"/>
    <w:rsid w:val="32DE0199"/>
    <w:rsid w:val="332D3F59"/>
    <w:rsid w:val="333C2963"/>
    <w:rsid w:val="335B2774"/>
    <w:rsid w:val="33A4642E"/>
    <w:rsid w:val="33D4039C"/>
    <w:rsid w:val="33D47E05"/>
    <w:rsid w:val="33DF460E"/>
    <w:rsid w:val="3413677D"/>
    <w:rsid w:val="342B544B"/>
    <w:rsid w:val="345E036E"/>
    <w:rsid w:val="34A7571D"/>
    <w:rsid w:val="34C47852"/>
    <w:rsid w:val="34DE1E4F"/>
    <w:rsid w:val="34EE6F73"/>
    <w:rsid w:val="34F07DB1"/>
    <w:rsid w:val="357E6FD1"/>
    <w:rsid w:val="359009FB"/>
    <w:rsid w:val="35D354B8"/>
    <w:rsid w:val="35D4025C"/>
    <w:rsid w:val="35FD6C0E"/>
    <w:rsid w:val="36047920"/>
    <w:rsid w:val="362666BC"/>
    <w:rsid w:val="363646D4"/>
    <w:rsid w:val="368A6B11"/>
    <w:rsid w:val="36ED2AA8"/>
    <w:rsid w:val="36F44712"/>
    <w:rsid w:val="37085B1F"/>
    <w:rsid w:val="372E04CB"/>
    <w:rsid w:val="37DE3EDF"/>
    <w:rsid w:val="38783D6C"/>
    <w:rsid w:val="387A46CB"/>
    <w:rsid w:val="38E070F2"/>
    <w:rsid w:val="390D33AB"/>
    <w:rsid w:val="391E6D06"/>
    <w:rsid w:val="39573D9E"/>
    <w:rsid w:val="39D63AE8"/>
    <w:rsid w:val="3A074847"/>
    <w:rsid w:val="3A830B2E"/>
    <w:rsid w:val="3AA90FE6"/>
    <w:rsid w:val="3AA9318F"/>
    <w:rsid w:val="3AB62DA0"/>
    <w:rsid w:val="3B057828"/>
    <w:rsid w:val="3B69577B"/>
    <w:rsid w:val="3B702D85"/>
    <w:rsid w:val="3B7D3FD5"/>
    <w:rsid w:val="3B7F4E52"/>
    <w:rsid w:val="3B823DDF"/>
    <w:rsid w:val="3BC4191A"/>
    <w:rsid w:val="3BD827B4"/>
    <w:rsid w:val="3C1D3AA1"/>
    <w:rsid w:val="3C237ED3"/>
    <w:rsid w:val="3C4D2D59"/>
    <w:rsid w:val="3C872CDC"/>
    <w:rsid w:val="3CAA596A"/>
    <w:rsid w:val="3CAF1D22"/>
    <w:rsid w:val="3CB1587B"/>
    <w:rsid w:val="3CB735F2"/>
    <w:rsid w:val="3D186684"/>
    <w:rsid w:val="3D260E6E"/>
    <w:rsid w:val="3D363C36"/>
    <w:rsid w:val="3D686B10"/>
    <w:rsid w:val="3D8B2178"/>
    <w:rsid w:val="3D8F4DAA"/>
    <w:rsid w:val="3DB34909"/>
    <w:rsid w:val="3DD115F5"/>
    <w:rsid w:val="3DE435F0"/>
    <w:rsid w:val="3DE5122C"/>
    <w:rsid w:val="3DF37E53"/>
    <w:rsid w:val="3E0E37DD"/>
    <w:rsid w:val="3ED26DE9"/>
    <w:rsid w:val="3EED17D0"/>
    <w:rsid w:val="3F0C0304"/>
    <w:rsid w:val="3F774839"/>
    <w:rsid w:val="3FBD02CF"/>
    <w:rsid w:val="3FEC147E"/>
    <w:rsid w:val="3FED7DE8"/>
    <w:rsid w:val="40376375"/>
    <w:rsid w:val="405F7AAA"/>
    <w:rsid w:val="411411E7"/>
    <w:rsid w:val="4117385A"/>
    <w:rsid w:val="412732B7"/>
    <w:rsid w:val="4127791F"/>
    <w:rsid w:val="41281794"/>
    <w:rsid w:val="413C1FDF"/>
    <w:rsid w:val="41806A69"/>
    <w:rsid w:val="41B0259C"/>
    <w:rsid w:val="41B77686"/>
    <w:rsid w:val="41BC6F1C"/>
    <w:rsid w:val="41EF2363"/>
    <w:rsid w:val="41F77860"/>
    <w:rsid w:val="424A4B98"/>
    <w:rsid w:val="42581D3A"/>
    <w:rsid w:val="428E23A1"/>
    <w:rsid w:val="42CC5625"/>
    <w:rsid w:val="42CC79A8"/>
    <w:rsid w:val="42ED2EA4"/>
    <w:rsid w:val="42F6649D"/>
    <w:rsid w:val="42FE0080"/>
    <w:rsid w:val="43315D2E"/>
    <w:rsid w:val="43670C99"/>
    <w:rsid w:val="43824A1C"/>
    <w:rsid w:val="43D110E1"/>
    <w:rsid w:val="43E873C9"/>
    <w:rsid w:val="441575BD"/>
    <w:rsid w:val="44905B1F"/>
    <w:rsid w:val="45056C1E"/>
    <w:rsid w:val="45316885"/>
    <w:rsid w:val="45A95EE9"/>
    <w:rsid w:val="45FB0F21"/>
    <w:rsid w:val="46167166"/>
    <w:rsid w:val="46174EF7"/>
    <w:rsid w:val="4636719A"/>
    <w:rsid w:val="465859F2"/>
    <w:rsid w:val="47200EE3"/>
    <w:rsid w:val="47435AC2"/>
    <w:rsid w:val="47544B78"/>
    <w:rsid w:val="47587AF7"/>
    <w:rsid w:val="47745A86"/>
    <w:rsid w:val="47886D63"/>
    <w:rsid w:val="47E239AC"/>
    <w:rsid w:val="480F4B73"/>
    <w:rsid w:val="487974BD"/>
    <w:rsid w:val="48AE506D"/>
    <w:rsid w:val="48DB38E3"/>
    <w:rsid w:val="49001B5E"/>
    <w:rsid w:val="49376DB0"/>
    <w:rsid w:val="49804BB7"/>
    <w:rsid w:val="49826DCB"/>
    <w:rsid w:val="499013E7"/>
    <w:rsid w:val="49A22843"/>
    <w:rsid w:val="49C8088A"/>
    <w:rsid w:val="4A0F6D68"/>
    <w:rsid w:val="4A233384"/>
    <w:rsid w:val="4A301C93"/>
    <w:rsid w:val="4A3302AB"/>
    <w:rsid w:val="4A572A17"/>
    <w:rsid w:val="4A6F2535"/>
    <w:rsid w:val="4AC85D49"/>
    <w:rsid w:val="4AE308A9"/>
    <w:rsid w:val="4AF21305"/>
    <w:rsid w:val="4B260F2D"/>
    <w:rsid w:val="4B9049B6"/>
    <w:rsid w:val="4B9A1456"/>
    <w:rsid w:val="4BA32C82"/>
    <w:rsid w:val="4BD134C2"/>
    <w:rsid w:val="4BE70627"/>
    <w:rsid w:val="4C0A5AE1"/>
    <w:rsid w:val="4C130AB8"/>
    <w:rsid w:val="4C5A284D"/>
    <w:rsid w:val="4C5C0673"/>
    <w:rsid w:val="4CB96B43"/>
    <w:rsid w:val="4CC75FCC"/>
    <w:rsid w:val="4CC87A5E"/>
    <w:rsid w:val="4CD63947"/>
    <w:rsid w:val="4CF957AB"/>
    <w:rsid w:val="4CFC49F4"/>
    <w:rsid w:val="4D073D73"/>
    <w:rsid w:val="4D1E27BA"/>
    <w:rsid w:val="4D23574A"/>
    <w:rsid w:val="4D4C4DB0"/>
    <w:rsid w:val="4D7322D5"/>
    <w:rsid w:val="4DD7034C"/>
    <w:rsid w:val="4DE312CB"/>
    <w:rsid w:val="4DF5318E"/>
    <w:rsid w:val="4E1F4862"/>
    <w:rsid w:val="4E2E4393"/>
    <w:rsid w:val="4E535EF2"/>
    <w:rsid w:val="4E9E55D0"/>
    <w:rsid w:val="4F08773C"/>
    <w:rsid w:val="4F102B4E"/>
    <w:rsid w:val="4F31409F"/>
    <w:rsid w:val="4F5955B2"/>
    <w:rsid w:val="4F5E670E"/>
    <w:rsid w:val="4F846A83"/>
    <w:rsid w:val="50070E2C"/>
    <w:rsid w:val="501112F3"/>
    <w:rsid w:val="504B57F2"/>
    <w:rsid w:val="50C5433A"/>
    <w:rsid w:val="50C62BC7"/>
    <w:rsid w:val="50F72A66"/>
    <w:rsid w:val="5123368C"/>
    <w:rsid w:val="5130747C"/>
    <w:rsid w:val="515C765A"/>
    <w:rsid w:val="51905BB3"/>
    <w:rsid w:val="51946FCB"/>
    <w:rsid w:val="51D87A1D"/>
    <w:rsid w:val="51DD796B"/>
    <w:rsid w:val="51DF373B"/>
    <w:rsid w:val="51F83C2D"/>
    <w:rsid w:val="52CA1AD4"/>
    <w:rsid w:val="52CF3E41"/>
    <w:rsid w:val="52EF4CB5"/>
    <w:rsid w:val="52F959F0"/>
    <w:rsid w:val="5302488E"/>
    <w:rsid w:val="53136173"/>
    <w:rsid w:val="533757EA"/>
    <w:rsid w:val="534B12B7"/>
    <w:rsid w:val="539A4AC7"/>
    <w:rsid w:val="5420228D"/>
    <w:rsid w:val="542631B6"/>
    <w:rsid w:val="544536F0"/>
    <w:rsid w:val="5447483C"/>
    <w:rsid w:val="5474625A"/>
    <w:rsid w:val="54942CAE"/>
    <w:rsid w:val="54A61722"/>
    <w:rsid w:val="54B31FAF"/>
    <w:rsid w:val="54C211D8"/>
    <w:rsid w:val="54CE2999"/>
    <w:rsid w:val="54E97446"/>
    <w:rsid w:val="551F3E29"/>
    <w:rsid w:val="55326D63"/>
    <w:rsid w:val="555C4076"/>
    <w:rsid w:val="555D1A10"/>
    <w:rsid w:val="56394926"/>
    <w:rsid w:val="56AC4A78"/>
    <w:rsid w:val="56DB16B9"/>
    <w:rsid w:val="56F71510"/>
    <w:rsid w:val="577A3463"/>
    <w:rsid w:val="57B05359"/>
    <w:rsid w:val="57F967AD"/>
    <w:rsid w:val="58052975"/>
    <w:rsid w:val="584D1A65"/>
    <w:rsid w:val="584F5C44"/>
    <w:rsid w:val="58504D6C"/>
    <w:rsid w:val="58B24664"/>
    <w:rsid w:val="58E525CA"/>
    <w:rsid w:val="58E55347"/>
    <w:rsid w:val="58EE7372"/>
    <w:rsid w:val="593873A0"/>
    <w:rsid w:val="593C0774"/>
    <w:rsid w:val="593D045A"/>
    <w:rsid w:val="5960739E"/>
    <w:rsid w:val="59896D0A"/>
    <w:rsid w:val="59972C8B"/>
    <w:rsid w:val="59B72684"/>
    <w:rsid w:val="5A295A8C"/>
    <w:rsid w:val="5A9579AE"/>
    <w:rsid w:val="5AA314BD"/>
    <w:rsid w:val="5AC468CD"/>
    <w:rsid w:val="5AEF1058"/>
    <w:rsid w:val="5B342B9A"/>
    <w:rsid w:val="5B5953B0"/>
    <w:rsid w:val="5B630802"/>
    <w:rsid w:val="5B807F68"/>
    <w:rsid w:val="5B822BA5"/>
    <w:rsid w:val="5BA72CE5"/>
    <w:rsid w:val="5C034D53"/>
    <w:rsid w:val="5CC81D66"/>
    <w:rsid w:val="5D722852"/>
    <w:rsid w:val="5E1D6F56"/>
    <w:rsid w:val="5E473CC7"/>
    <w:rsid w:val="5E52187F"/>
    <w:rsid w:val="5E6A13CD"/>
    <w:rsid w:val="5E705D15"/>
    <w:rsid w:val="5E93326C"/>
    <w:rsid w:val="5E9F1A7A"/>
    <w:rsid w:val="5EAF3818"/>
    <w:rsid w:val="5EFB4BA4"/>
    <w:rsid w:val="5EFE2597"/>
    <w:rsid w:val="5F025452"/>
    <w:rsid w:val="5F5F46B5"/>
    <w:rsid w:val="5F6762C1"/>
    <w:rsid w:val="5F985C58"/>
    <w:rsid w:val="5FB25360"/>
    <w:rsid w:val="5FBA3CC0"/>
    <w:rsid w:val="5FD90D61"/>
    <w:rsid w:val="60177697"/>
    <w:rsid w:val="602329DB"/>
    <w:rsid w:val="607777D6"/>
    <w:rsid w:val="609A56B8"/>
    <w:rsid w:val="60BC76A1"/>
    <w:rsid w:val="60F0637F"/>
    <w:rsid w:val="610B7637"/>
    <w:rsid w:val="612279BA"/>
    <w:rsid w:val="615F5624"/>
    <w:rsid w:val="61786FF4"/>
    <w:rsid w:val="61D215CF"/>
    <w:rsid w:val="62593D9F"/>
    <w:rsid w:val="625C563D"/>
    <w:rsid w:val="626A1704"/>
    <w:rsid w:val="627921C2"/>
    <w:rsid w:val="62A50F2B"/>
    <w:rsid w:val="62B362C8"/>
    <w:rsid w:val="62C1330E"/>
    <w:rsid w:val="6342085E"/>
    <w:rsid w:val="636F415C"/>
    <w:rsid w:val="63D22876"/>
    <w:rsid w:val="64917820"/>
    <w:rsid w:val="64AA1CC5"/>
    <w:rsid w:val="64B458FD"/>
    <w:rsid w:val="6528341F"/>
    <w:rsid w:val="656B2909"/>
    <w:rsid w:val="659B459C"/>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AA2321"/>
    <w:rsid w:val="68011379"/>
    <w:rsid w:val="680A7420"/>
    <w:rsid w:val="681E1720"/>
    <w:rsid w:val="68252C37"/>
    <w:rsid w:val="68817BAC"/>
    <w:rsid w:val="689A5E59"/>
    <w:rsid w:val="68A94E70"/>
    <w:rsid w:val="68AF7607"/>
    <w:rsid w:val="68EE72DF"/>
    <w:rsid w:val="690B4C92"/>
    <w:rsid w:val="690B7907"/>
    <w:rsid w:val="69175F5C"/>
    <w:rsid w:val="69485FEA"/>
    <w:rsid w:val="69677DC0"/>
    <w:rsid w:val="69937EC7"/>
    <w:rsid w:val="69D64558"/>
    <w:rsid w:val="69E3623E"/>
    <w:rsid w:val="6A042548"/>
    <w:rsid w:val="6A471EFD"/>
    <w:rsid w:val="6A480B98"/>
    <w:rsid w:val="6A4B0A88"/>
    <w:rsid w:val="6AB57116"/>
    <w:rsid w:val="6B17424A"/>
    <w:rsid w:val="6B2218FA"/>
    <w:rsid w:val="6B570F62"/>
    <w:rsid w:val="6B686C59"/>
    <w:rsid w:val="6B691672"/>
    <w:rsid w:val="6BA17D14"/>
    <w:rsid w:val="6BE97F42"/>
    <w:rsid w:val="6C2063E9"/>
    <w:rsid w:val="6C5E6A51"/>
    <w:rsid w:val="6C6513C3"/>
    <w:rsid w:val="6C744268"/>
    <w:rsid w:val="6C913746"/>
    <w:rsid w:val="6CD62D03"/>
    <w:rsid w:val="6CD817EC"/>
    <w:rsid w:val="6CD97FB6"/>
    <w:rsid w:val="6D0E5050"/>
    <w:rsid w:val="6D4B22B8"/>
    <w:rsid w:val="6D930013"/>
    <w:rsid w:val="6E1A1656"/>
    <w:rsid w:val="6E231DD6"/>
    <w:rsid w:val="6E5A5288"/>
    <w:rsid w:val="6E8E65DD"/>
    <w:rsid w:val="6EBD310B"/>
    <w:rsid w:val="6EE013EE"/>
    <w:rsid w:val="6EE079F1"/>
    <w:rsid w:val="6EE42C42"/>
    <w:rsid w:val="6F240921"/>
    <w:rsid w:val="6F7F7CB0"/>
    <w:rsid w:val="6FE0165C"/>
    <w:rsid w:val="6FE10C44"/>
    <w:rsid w:val="70222744"/>
    <w:rsid w:val="706D25DF"/>
    <w:rsid w:val="706D2B21"/>
    <w:rsid w:val="707B1384"/>
    <w:rsid w:val="70857A34"/>
    <w:rsid w:val="70985D3C"/>
    <w:rsid w:val="71047C73"/>
    <w:rsid w:val="7109004F"/>
    <w:rsid w:val="71103167"/>
    <w:rsid w:val="712E56F7"/>
    <w:rsid w:val="716772A9"/>
    <w:rsid w:val="71691ABB"/>
    <w:rsid w:val="71AD6B5C"/>
    <w:rsid w:val="71AE1AEA"/>
    <w:rsid w:val="71C00FD3"/>
    <w:rsid w:val="71CF3B6C"/>
    <w:rsid w:val="71F80F33"/>
    <w:rsid w:val="722922C6"/>
    <w:rsid w:val="727176A7"/>
    <w:rsid w:val="72CB03A1"/>
    <w:rsid w:val="732D4B5D"/>
    <w:rsid w:val="73393C88"/>
    <w:rsid w:val="7362513F"/>
    <w:rsid w:val="73771D49"/>
    <w:rsid w:val="73A1354E"/>
    <w:rsid w:val="73D20C3F"/>
    <w:rsid w:val="73E035D5"/>
    <w:rsid w:val="743D0241"/>
    <w:rsid w:val="747B7149"/>
    <w:rsid w:val="74855143"/>
    <w:rsid w:val="74A11E7D"/>
    <w:rsid w:val="7550071B"/>
    <w:rsid w:val="75590B0A"/>
    <w:rsid w:val="7582279F"/>
    <w:rsid w:val="75843EB5"/>
    <w:rsid w:val="75912FA2"/>
    <w:rsid w:val="75BB71AF"/>
    <w:rsid w:val="75E62752"/>
    <w:rsid w:val="75F01962"/>
    <w:rsid w:val="760E19DF"/>
    <w:rsid w:val="764E52E0"/>
    <w:rsid w:val="76557F3E"/>
    <w:rsid w:val="76676A53"/>
    <w:rsid w:val="76944574"/>
    <w:rsid w:val="76A3294D"/>
    <w:rsid w:val="76B620A1"/>
    <w:rsid w:val="76D61240"/>
    <w:rsid w:val="76D766A5"/>
    <w:rsid w:val="76F20814"/>
    <w:rsid w:val="76F92565"/>
    <w:rsid w:val="77462524"/>
    <w:rsid w:val="77501DCD"/>
    <w:rsid w:val="779A6594"/>
    <w:rsid w:val="77A21064"/>
    <w:rsid w:val="77E34EB2"/>
    <w:rsid w:val="781564B8"/>
    <w:rsid w:val="78224ACF"/>
    <w:rsid w:val="7878182B"/>
    <w:rsid w:val="78CD6DCC"/>
    <w:rsid w:val="78D07CAF"/>
    <w:rsid w:val="78DE12D7"/>
    <w:rsid w:val="79210683"/>
    <w:rsid w:val="799C3465"/>
    <w:rsid w:val="79B14EC4"/>
    <w:rsid w:val="7A025270"/>
    <w:rsid w:val="7A2A6B4A"/>
    <w:rsid w:val="7A681070"/>
    <w:rsid w:val="7A860C7C"/>
    <w:rsid w:val="7AB879FE"/>
    <w:rsid w:val="7B3264DD"/>
    <w:rsid w:val="7B81188A"/>
    <w:rsid w:val="7B827630"/>
    <w:rsid w:val="7B9E2902"/>
    <w:rsid w:val="7BC854E2"/>
    <w:rsid w:val="7C0562EC"/>
    <w:rsid w:val="7C067A45"/>
    <w:rsid w:val="7C0D2ED7"/>
    <w:rsid w:val="7C1C072C"/>
    <w:rsid w:val="7C27683F"/>
    <w:rsid w:val="7C8A5545"/>
    <w:rsid w:val="7CB14B4D"/>
    <w:rsid w:val="7CB21F89"/>
    <w:rsid w:val="7CF26969"/>
    <w:rsid w:val="7D25523C"/>
    <w:rsid w:val="7D492B3F"/>
    <w:rsid w:val="7DB23041"/>
    <w:rsid w:val="7E5F7809"/>
    <w:rsid w:val="7ED56C53"/>
    <w:rsid w:val="7EEA1BAF"/>
    <w:rsid w:val="7F5460D4"/>
    <w:rsid w:val="7F552892"/>
    <w:rsid w:val="7FF83F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9"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51"/>
    <w:qFormat/>
    <w:uiPriority w:val="9"/>
    <w:pPr>
      <w:keepNext/>
      <w:keepLines/>
      <w:jc w:val="center"/>
      <w:outlineLvl w:val="0"/>
    </w:pPr>
    <w:rPr>
      <w:b/>
      <w:bCs/>
      <w:kern w:val="44"/>
      <w:sz w:val="36"/>
      <w:szCs w:val="44"/>
    </w:rPr>
  </w:style>
  <w:style w:type="paragraph" w:styleId="5">
    <w:name w:val="heading 2"/>
    <w:basedOn w:val="1"/>
    <w:next w:val="1"/>
    <w:link w:val="139"/>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8">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9">
    <w:name w:val="heading 6"/>
    <w:basedOn w:val="1"/>
    <w:next w:val="1"/>
    <w:unhideWhenUsed/>
    <w:qFormat/>
    <w:uiPriority w:val="9"/>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10">
    <w:name w:val="toc 7"/>
    <w:basedOn w:val="1"/>
    <w:next w:val="1"/>
    <w:qFormat/>
    <w:uiPriority w:val="39"/>
    <w:pPr>
      <w:ind w:left="1440"/>
      <w:jc w:val="left"/>
    </w:pPr>
    <w:rPr>
      <w:rFonts w:ascii="Calibri" w:hAnsi="Calibri" w:eastAsia="宋体" w:cs="Times New Roman"/>
      <w:sz w:val="18"/>
      <w:szCs w:val="18"/>
    </w:rPr>
  </w:style>
  <w:style w:type="paragraph" w:styleId="11">
    <w:name w:val="Normal Indent"/>
    <w:basedOn w:val="1"/>
    <w:next w:val="1"/>
    <w:qFormat/>
    <w:uiPriority w:val="99"/>
    <w:pPr>
      <w:ind w:firstLine="420" w:firstLineChars="200"/>
    </w:pPr>
    <w:rPr>
      <w:kern w:val="0"/>
    </w:rPr>
  </w:style>
  <w:style w:type="paragraph" w:styleId="12">
    <w:name w:val="caption"/>
    <w:basedOn w:val="1"/>
    <w:next w:val="1"/>
    <w:qFormat/>
    <w:uiPriority w:val="35"/>
    <w:pPr>
      <w:spacing w:before="152" w:after="160"/>
    </w:pPr>
    <w:rPr>
      <w:rFonts w:ascii="Arial" w:hAnsi="Arial" w:eastAsia="黑体" w:cs="Arial"/>
      <w:sz w:val="20"/>
      <w:szCs w:val="20"/>
    </w:rPr>
  </w:style>
  <w:style w:type="paragraph" w:styleId="13">
    <w:name w:val="Document Map"/>
    <w:basedOn w:val="1"/>
    <w:link w:val="74"/>
    <w:qFormat/>
    <w:uiPriority w:val="0"/>
    <w:pPr>
      <w:shd w:val="clear" w:color="auto" w:fill="000080"/>
    </w:pPr>
    <w:rPr>
      <w:sz w:val="24"/>
    </w:rPr>
  </w:style>
  <w:style w:type="paragraph" w:styleId="14">
    <w:name w:val="toa heading"/>
    <w:basedOn w:val="1"/>
    <w:next w:val="1"/>
    <w:qFormat/>
    <w:uiPriority w:val="99"/>
    <w:pPr>
      <w:spacing w:before="120"/>
    </w:pPr>
    <w:rPr>
      <w:rFonts w:ascii="Arial" w:hAnsi="Arial" w:eastAsia="宋体" w:cs="Arial"/>
      <w:sz w:val="24"/>
      <w:szCs w:val="24"/>
    </w:rPr>
  </w:style>
  <w:style w:type="paragraph" w:styleId="15">
    <w:name w:val="annotation text"/>
    <w:basedOn w:val="1"/>
    <w:link w:val="65"/>
    <w:qFormat/>
    <w:uiPriority w:val="0"/>
    <w:pPr>
      <w:jc w:val="left"/>
    </w:pPr>
  </w:style>
  <w:style w:type="paragraph" w:styleId="16">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7">
    <w:name w:val="Body Text Indent"/>
    <w:basedOn w:val="1"/>
    <w:link w:val="83"/>
    <w:qFormat/>
    <w:uiPriority w:val="99"/>
    <w:pPr>
      <w:spacing w:after="120"/>
      <w:ind w:left="420" w:leftChars="200"/>
    </w:pPr>
    <w:rPr>
      <w:rFonts w:ascii="Calibri" w:hAnsi="Calibri" w:eastAsia="宋体" w:cs="Times New Roman"/>
      <w:szCs w:val="20"/>
    </w:rPr>
  </w:style>
  <w:style w:type="paragraph" w:styleId="18">
    <w:name w:val="index 4"/>
    <w:basedOn w:val="1"/>
    <w:next w:val="1"/>
    <w:qFormat/>
    <w:uiPriority w:val="0"/>
    <w:pPr>
      <w:ind w:left="600" w:leftChars="600"/>
    </w:pPr>
  </w:style>
  <w:style w:type="paragraph" w:styleId="19">
    <w:name w:val="toc 5"/>
    <w:basedOn w:val="1"/>
    <w:next w:val="1"/>
    <w:qFormat/>
    <w:uiPriority w:val="39"/>
    <w:pPr>
      <w:ind w:left="960"/>
      <w:jc w:val="left"/>
    </w:pPr>
    <w:rPr>
      <w:rFonts w:ascii="Calibri" w:hAnsi="Calibri" w:eastAsia="宋体" w:cs="Times New Roman"/>
      <w:sz w:val="18"/>
      <w:szCs w:val="18"/>
    </w:rPr>
  </w:style>
  <w:style w:type="paragraph" w:styleId="20">
    <w:name w:val="Plain Text"/>
    <w:basedOn w:val="1"/>
    <w:link w:val="76"/>
    <w:qFormat/>
    <w:uiPriority w:val="0"/>
    <w:rPr>
      <w:rFonts w:ascii="宋体" w:hAnsi="Courier New"/>
    </w:rPr>
  </w:style>
  <w:style w:type="paragraph" w:styleId="21">
    <w:name w:val="toc 8"/>
    <w:basedOn w:val="1"/>
    <w:next w:val="1"/>
    <w:qFormat/>
    <w:uiPriority w:val="39"/>
    <w:pPr>
      <w:ind w:left="1680"/>
      <w:jc w:val="left"/>
    </w:pPr>
    <w:rPr>
      <w:rFonts w:ascii="Calibri" w:hAnsi="Calibri" w:eastAsia="宋体" w:cs="Times New Roman"/>
      <w:sz w:val="18"/>
      <w:szCs w:val="18"/>
    </w:rPr>
  </w:style>
  <w:style w:type="paragraph" w:styleId="22">
    <w:name w:val="Date"/>
    <w:basedOn w:val="1"/>
    <w:next w:val="1"/>
    <w:link w:val="67"/>
    <w:qFormat/>
    <w:uiPriority w:val="0"/>
    <w:pPr>
      <w:ind w:left="100" w:leftChars="2500"/>
    </w:pPr>
    <w:rPr>
      <w:sz w:val="24"/>
    </w:rPr>
  </w:style>
  <w:style w:type="paragraph" w:styleId="23">
    <w:name w:val="Body Text Indent 2"/>
    <w:basedOn w:val="1"/>
    <w:link w:val="55"/>
    <w:qFormat/>
    <w:uiPriority w:val="0"/>
    <w:pPr>
      <w:spacing w:after="120" w:line="480" w:lineRule="auto"/>
      <w:ind w:left="420" w:leftChars="200"/>
    </w:pPr>
  </w:style>
  <w:style w:type="paragraph" w:styleId="24">
    <w:name w:val="Balloon Text"/>
    <w:basedOn w:val="1"/>
    <w:link w:val="71"/>
    <w:qFormat/>
    <w:uiPriority w:val="0"/>
    <w:rPr>
      <w:sz w:val="18"/>
    </w:rPr>
  </w:style>
  <w:style w:type="paragraph" w:styleId="25">
    <w:name w:val="footer"/>
    <w:basedOn w:val="1"/>
    <w:link w:val="77"/>
    <w:qFormat/>
    <w:uiPriority w:val="99"/>
    <w:pPr>
      <w:tabs>
        <w:tab w:val="center" w:pos="4153"/>
        <w:tab w:val="right" w:pos="8306"/>
      </w:tabs>
      <w:snapToGrid w:val="0"/>
      <w:jc w:val="left"/>
    </w:pPr>
    <w:rPr>
      <w:sz w:val="18"/>
    </w:rPr>
  </w:style>
  <w:style w:type="paragraph" w:styleId="26">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qFormat/>
    <w:uiPriority w:val="39"/>
    <w:pPr>
      <w:ind w:left="720"/>
      <w:jc w:val="left"/>
    </w:pPr>
    <w:rPr>
      <w:rFonts w:ascii="Calibri" w:hAnsi="Calibri" w:eastAsia="宋体" w:cs="Times New Roman"/>
      <w:sz w:val="18"/>
      <w:szCs w:val="18"/>
    </w:rPr>
  </w:style>
  <w:style w:type="paragraph" w:styleId="29">
    <w:name w:val="Subtitle"/>
    <w:basedOn w:val="1"/>
    <w:next w:val="1"/>
    <w:qFormat/>
    <w:uiPriority w:val="0"/>
    <w:pPr>
      <w:spacing w:line="360" w:lineRule="auto"/>
      <w:ind w:firstLine="200" w:firstLineChars="200"/>
      <w:outlineLvl w:val="1"/>
    </w:pPr>
    <w:rPr>
      <w:rFonts w:ascii="宋体" w:eastAsia="宋体"/>
      <w:bCs/>
      <w:kern w:val="28"/>
      <w:sz w:val="24"/>
      <w:szCs w:val="32"/>
    </w:rPr>
  </w:style>
  <w:style w:type="paragraph" w:styleId="30">
    <w:name w:val="List"/>
    <w:basedOn w:val="1"/>
    <w:qFormat/>
    <w:uiPriority w:val="99"/>
    <w:pPr>
      <w:ind w:left="420" w:hanging="420"/>
    </w:pPr>
    <w:rPr>
      <w:rFonts w:ascii="Times New Roman" w:hAnsi="Times New Roman" w:eastAsia="宋体" w:cs="Times New Roman"/>
      <w:szCs w:val="20"/>
    </w:rPr>
  </w:style>
  <w:style w:type="paragraph" w:styleId="31">
    <w:name w:val="toc 6"/>
    <w:basedOn w:val="1"/>
    <w:next w:val="1"/>
    <w:qFormat/>
    <w:uiPriority w:val="39"/>
    <w:pPr>
      <w:ind w:left="1200"/>
      <w:jc w:val="left"/>
    </w:pPr>
    <w:rPr>
      <w:rFonts w:ascii="Calibri" w:hAnsi="Calibri" w:eastAsia="宋体" w:cs="Times New Roman"/>
      <w:sz w:val="18"/>
      <w:szCs w:val="18"/>
    </w:rPr>
  </w:style>
  <w:style w:type="paragraph" w:styleId="32">
    <w:name w:val="Body Text Indent 3"/>
    <w:basedOn w:val="1"/>
    <w:link w:val="57"/>
    <w:qFormat/>
    <w:uiPriority w:val="0"/>
    <w:pPr>
      <w:spacing w:after="120"/>
      <w:ind w:left="420" w:leftChars="200"/>
    </w:pPr>
    <w:rPr>
      <w:sz w:val="16"/>
    </w:rPr>
  </w:style>
  <w:style w:type="paragraph" w:styleId="33">
    <w:name w:val="index 9"/>
    <w:basedOn w:val="1"/>
    <w:next w:val="1"/>
    <w:unhideWhenUsed/>
    <w:qFormat/>
    <w:uiPriority w:val="0"/>
    <w:pPr>
      <w:ind w:left="2520" w:hanging="280"/>
    </w:pPr>
    <w:rPr>
      <w:rFonts w:eastAsia="仿宋"/>
      <w:sz w:val="28"/>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5"/>
    <w:next w:val="15"/>
    <w:link w:val="56"/>
    <w:qFormat/>
    <w:uiPriority w:val="0"/>
    <w:rPr>
      <w:b/>
    </w:rPr>
  </w:style>
  <w:style w:type="paragraph" w:styleId="40">
    <w:name w:val="Body Text First Indent 2"/>
    <w:basedOn w:val="17"/>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3"/>
    <w:qFormat/>
    <w:uiPriority w:val="9"/>
    <w:rPr>
      <w:rFonts w:ascii="Calibri" w:hAnsi="Calibri" w:eastAsia="宋体" w:cs="Times New Roman"/>
      <w:b/>
      <w:bCs/>
      <w:kern w:val="44"/>
      <w:sz w:val="36"/>
      <w:szCs w:val="44"/>
    </w:rPr>
  </w:style>
  <w:style w:type="character" w:customStyle="1" w:styleId="52">
    <w:name w:val="标题 2 字符"/>
    <w:basedOn w:val="43"/>
    <w:link w:val="5"/>
    <w:qFormat/>
    <w:uiPriority w:val="9"/>
    <w:rPr>
      <w:rFonts w:ascii="Arial" w:hAnsi="Arial" w:eastAsia="宋体" w:cs="Times New Roman"/>
      <w:b/>
      <w:bCs/>
      <w:sz w:val="24"/>
      <w:szCs w:val="32"/>
    </w:rPr>
  </w:style>
  <w:style w:type="character" w:customStyle="1" w:styleId="53">
    <w:name w:val="标题 3 字符"/>
    <w:basedOn w:val="43"/>
    <w:link w:val="6"/>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3"/>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2"/>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6"/>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5"/>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2"/>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4"/>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3"/>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0"/>
    <w:qFormat/>
    <w:locked/>
    <w:uiPriority w:val="0"/>
    <w:rPr>
      <w:rFonts w:ascii="宋体" w:hAnsi="Courier New"/>
    </w:rPr>
  </w:style>
  <w:style w:type="character" w:customStyle="1" w:styleId="77">
    <w:name w:val="页脚 字符"/>
    <w:link w:val="25"/>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7"/>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2"/>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0"/>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5"/>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6"/>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7">
    <w:name w:val="标题 5（有编号）（绿盟科技）"/>
    <w:basedOn w:val="1"/>
    <w:next w:val="138"/>
    <w:qFormat/>
    <w:uiPriority w:val="0"/>
    <w:pPr>
      <w:keepNext/>
      <w:keepLines/>
      <w:numPr>
        <w:ilvl w:val="4"/>
        <w:numId w:val="1"/>
      </w:numPr>
      <w:spacing w:before="280" w:after="156" w:line="377" w:lineRule="auto"/>
      <w:outlineLvl w:val="4"/>
    </w:pPr>
    <w:rPr>
      <w:rFonts w:ascii="Arial" w:hAnsi="Arial" w:eastAsia="黑体" w:cs="Times New Roman"/>
      <w:b/>
      <w:sz w:val="24"/>
      <w:szCs w:val="28"/>
    </w:rPr>
  </w:style>
  <w:style w:type="paragraph" w:customStyle="1" w:styleId="138">
    <w:name w:val="正文（绿盟科技）"/>
    <w:unhideWhenUsed/>
    <w:qFormat/>
    <w:uiPriority w:val="0"/>
    <w:pPr>
      <w:spacing w:beforeLines="0" w:afterLines="0" w:line="300" w:lineRule="auto"/>
    </w:pPr>
    <w:rPr>
      <w:rFonts w:hint="default" w:ascii="Arial" w:hAnsi="Arial" w:eastAsia="宋体" w:cs="Times New Roman"/>
      <w:sz w:val="21"/>
      <w:szCs w:val="21"/>
      <w:lang w:val="en-US" w:eastAsia="zh-CN" w:bidi="ar-SA"/>
    </w:rPr>
  </w:style>
  <w:style w:type="character" w:customStyle="1" w:styleId="139">
    <w:name w:val="标题 2 Char"/>
    <w:basedOn w:val="43"/>
    <w:link w:val="5"/>
    <w:qFormat/>
    <w:uiPriority w:val="0"/>
    <w:rPr>
      <w:rFonts w:ascii="Arial" w:hAnsi="Arial" w:eastAsia="宋体" w:cs="宋体"/>
      <w:b/>
      <w:kern w:val="2"/>
      <w:sz w:val="30"/>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7" Type="http://schemas.openxmlformats.org/officeDocument/2006/relationships/fontTable" Target="fontTable.xml"/><Relationship Id="rId66" Type="http://schemas.openxmlformats.org/officeDocument/2006/relationships/customXml" Target="../customXml/item2.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19.png"/><Relationship Id="rId62" Type="http://schemas.openxmlformats.org/officeDocument/2006/relationships/image" Target="media/image18.png"/><Relationship Id="rId61" Type="http://schemas.openxmlformats.org/officeDocument/2006/relationships/image" Target="media/image17.png"/><Relationship Id="rId60" Type="http://schemas.openxmlformats.org/officeDocument/2006/relationships/image" Target="media/image16.png"/><Relationship Id="rId6" Type="http://schemas.openxmlformats.org/officeDocument/2006/relationships/footer" Target="footer2.xml"/><Relationship Id="rId59" Type="http://schemas.openxmlformats.org/officeDocument/2006/relationships/image" Target="media/image15.png"/><Relationship Id="rId58" Type="http://schemas.openxmlformats.org/officeDocument/2006/relationships/image" Target="media/image14.png"/><Relationship Id="rId57" Type="http://schemas.openxmlformats.org/officeDocument/2006/relationships/image" Target="media/image13.png"/><Relationship Id="rId56" Type="http://schemas.openxmlformats.org/officeDocument/2006/relationships/image" Target="media/image12.png"/><Relationship Id="rId55" Type="http://schemas.openxmlformats.org/officeDocument/2006/relationships/image" Target="media/image11.png"/><Relationship Id="rId54" Type="http://schemas.openxmlformats.org/officeDocument/2006/relationships/image" Target="media/image10.png"/><Relationship Id="rId53" Type="http://schemas.openxmlformats.org/officeDocument/2006/relationships/image" Target="media/image9.png"/><Relationship Id="rId52" Type="http://schemas.openxmlformats.org/officeDocument/2006/relationships/image" Target="media/image8.png"/><Relationship Id="rId51" Type="http://schemas.openxmlformats.org/officeDocument/2006/relationships/image" Target="media/image7.png"/><Relationship Id="rId50" Type="http://schemas.openxmlformats.org/officeDocument/2006/relationships/image" Target="media/image6.png"/><Relationship Id="rId5" Type="http://schemas.openxmlformats.org/officeDocument/2006/relationships/footer" Target="footer1.xml"/><Relationship Id="rId49" Type="http://schemas.openxmlformats.org/officeDocument/2006/relationships/image" Target="media/image5.png"/><Relationship Id="rId48" Type="http://schemas.openxmlformats.org/officeDocument/2006/relationships/image" Target="media/image4.png"/><Relationship Id="rId47" Type="http://schemas.openxmlformats.org/officeDocument/2006/relationships/image" Target="media/image3.png"/><Relationship Id="rId46" Type="http://schemas.openxmlformats.org/officeDocument/2006/relationships/image" Target="media/image2.png"/><Relationship Id="rId45" Type="http://schemas.openxmlformats.org/officeDocument/2006/relationships/image" Target="media/image1.png"/><Relationship Id="rId44" Type="http://schemas.openxmlformats.org/officeDocument/2006/relationships/theme" Target="theme/theme1.xml"/><Relationship Id="rId43" Type="http://schemas.openxmlformats.org/officeDocument/2006/relationships/footer" Target="footer29.xml"/><Relationship Id="rId42" Type="http://schemas.openxmlformats.org/officeDocument/2006/relationships/footer" Target="footer28.xml"/><Relationship Id="rId41" Type="http://schemas.openxmlformats.org/officeDocument/2006/relationships/header" Target="header12.xml"/><Relationship Id="rId40" Type="http://schemas.openxmlformats.org/officeDocument/2006/relationships/header" Target="header11.xml"/><Relationship Id="rId4" Type="http://schemas.openxmlformats.org/officeDocument/2006/relationships/header" Target="header2.xml"/><Relationship Id="rId39" Type="http://schemas.openxmlformats.org/officeDocument/2006/relationships/footer" Target="footer27.xml"/><Relationship Id="rId38" Type="http://schemas.openxmlformats.org/officeDocument/2006/relationships/footer" Target="footer26.xml"/><Relationship Id="rId37" Type="http://schemas.openxmlformats.org/officeDocument/2006/relationships/header" Target="header10.xml"/><Relationship Id="rId36" Type="http://schemas.openxmlformats.org/officeDocument/2006/relationships/header" Target="header9.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80</Pages>
  <Words>31566</Words>
  <Characters>33036</Characters>
  <Lines>305</Lines>
  <Paragraphs>86</Paragraphs>
  <TotalTime>6</TotalTime>
  <ScaleCrop>false</ScaleCrop>
  <LinksUpToDate>false</LinksUpToDate>
  <CharactersWithSpaces>39379</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赵翊旭</cp:lastModifiedBy>
  <cp:lastPrinted>2022-07-01T03:19:00Z</cp:lastPrinted>
  <dcterms:modified xsi:type="dcterms:W3CDTF">2025-02-20T02:14:07Z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ED02EB12B8294FE5807EAA5D2C3C24E0</vt:lpwstr>
  </property>
  <property fmtid="{D5CDD505-2E9C-101B-9397-08002B2CF9AE}" pid="4" name="5B77E7CEEC58BC6AFAE8886BEB80DBEB">
    <vt:lpwstr>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</vt:lpwstr>
  </property>
</Properties>
</file>