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黑体" w:hAnsi="Calibri" w:eastAsia="黑体" w:cs="黑体"/>
          <w:sz w:val="28"/>
          <w:szCs w:val="28"/>
        </w:rPr>
      </w:pPr>
      <w:r>
        <w:rPr>
          <w:rFonts w:hint="eastAsia" w:ascii="黑体" w:hAnsi="Calibri" w:eastAsia="黑体" w:cs="黑体"/>
          <w:sz w:val="28"/>
          <w:szCs w:val="28"/>
          <w:lang w:bidi="ar"/>
        </w:rPr>
        <w:t xml:space="preserve">             </w:t>
      </w:r>
    </w:p>
    <w:p>
      <w:pPr>
        <w:pStyle w:val="34"/>
        <w:widowControl/>
        <w:ind w:firstLine="0" w:firstLineChars="0"/>
        <w:jc w:val="center"/>
      </w:pPr>
    </w:p>
    <w:p>
      <w:pPr>
        <w:pStyle w:val="34"/>
        <w:widowControl/>
        <w:ind w:firstLine="0" w:firstLineChars="0"/>
        <w:jc w:val="center"/>
        <w:rPr>
          <w:b/>
          <w:sz w:val="32"/>
          <w:szCs w:val="32"/>
        </w:rPr>
      </w:pPr>
      <w:r>
        <w:drawing>
          <wp:inline distT="0" distB="0" distL="114300" distR="114300">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476625" cy="1209675"/>
                    </a:xfrm>
                    <a:prstGeom prst="rect">
                      <a:avLst/>
                    </a:prstGeom>
                    <a:noFill/>
                    <a:ln>
                      <a:noFill/>
                    </a:ln>
                  </pic:spPr>
                </pic:pic>
              </a:graphicData>
            </a:graphic>
          </wp:inline>
        </w:drawing>
      </w:r>
    </w:p>
    <w:p>
      <w:pPr>
        <w:spacing w:before="156" w:beforeLines="50" w:after="156" w:afterLines="50"/>
        <w:jc w:val="center"/>
        <w:rPr>
          <w:rFonts w:ascii="宋体" w:hAnsi="宋体" w:eastAsia="宋体" w:cs="宋体"/>
          <w:b/>
          <w:sz w:val="48"/>
          <w:szCs w:val="48"/>
        </w:rPr>
      </w:pPr>
      <w:bookmarkStart w:id="0" w:name="_Toc262474472"/>
      <w:bookmarkStart w:id="1" w:name="_Toc262475853"/>
      <w:bookmarkStart w:id="2" w:name="_Toc262477091"/>
    </w:p>
    <w:bookmarkEnd w:id="0"/>
    <w:bookmarkEnd w:id="1"/>
    <w:bookmarkEnd w:id="2"/>
    <w:p>
      <w:pPr>
        <w:jc w:val="center"/>
        <w:rPr>
          <w:rFonts w:hint="eastAsia" w:ascii="宋体" w:hAnsi="宋体" w:eastAsia="宋体" w:cs="宋体"/>
          <w:b/>
          <w:sz w:val="48"/>
          <w:szCs w:val="48"/>
          <w:lang w:bidi="ar"/>
        </w:rPr>
      </w:pPr>
      <w:r>
        <w:rPr>
          <w:rFonts w:hint="eastAsia" w:ascii="宋体" w:hAnsi="宋体" w:eastAsia="宋体" w:cs="宋体"/>
          <w:b/>
          <w:sz w:val="48"/>
          <w:szCs w:val="48"/>
          <w:lang w:bidi="ar"/>
        </w:rPr>
        <w:t>重汽汽车金融有限公司</w:t>
      </w:r>
    </w:p>
    <w:p>
      <w:pPr>
        <w:jc w:val="center"/>
        <w:rPr>
          <w:rFonts w:ascii="宋体" w:hAnsi="宋体" w:eastAsia="宋体" w:cs="宋体"/>
          <w:b/>
          <w:sz w:val="48"/>
          <w:szCs w:val="48"/>
          <w:lang w:bidi="ar"/>
        </w:rPr>
      </w:pPr>
      <w:r>
        <w:rPr>
          <w:rFonts w:hint="eastAsia" w:ascii="宋体" w:hAnsi="宋体" w:eastAsia="宋体" w:cs="宋体"/>
          <w:b/>
          <w:sz w:val="48"/>
          <w:szCs w:val="48"/>
          <w:lang w:bidi="ar"/>
        </w:rPr>
        <w:t>档案管理项目</w:t>
      </w:r>
    </w:p>
    <w:p>
      <w:pPr>
        <w:jc w:val="center"/>
        <w:rPr>
          <w:rFonts w:ascii="黑体" w:hAnsi="宋体" w:eastAsia="黑体" w:cs="黑体"/>
          <w:b/>
          <w:sz w:val="52"/>
          <w:szCs w:val="52"/>
        </w:rPr>
      </w:pPr>
      <w:r>
        <w:rPr>
          <w:rFonts w:hint="eastAsia" w:ascii="黑体" w:hAnsi="宋体" w:eastAsia="黑体" w:cs="黑体"/>
          <w:b/>
          <w:sz w:val="52"/>
          <w:szCs w:val="52"/>
          <w:lang w:bidi="ar"/>
        </w:rPr>
        <w:t>招</w:t>
      </w:r>
    </w:p>
    <w:p>
      <w:pPr>
        <w:jc w:val="center"/>
        <w:rPr>
          <w:rFonts w:ascii="黑体" w:hAnsi="宋体" w:eastAsia="黑体" w:cs="黑体"/>
          <w:b/>
          <w:sz w:val="52"/>
          <w:szCs w:val="52"/>
        </w:rPr>
      </w:pPr>
      <w:r>
        <w:rPr>
          <w:rFonts w:hint="eastAsia" w:ascii="黑体" w:hAnsi="宋体" w:eastAsia="黑体" w:cs="黑体"/>
          <w:b/>
          <w:sz w:val="52"/>
          <w:szCs w:val="52"/>
          <w:lang w:bidi="ar"/>
        </w:rPr>
        <w:t>标</w:t>
      </w:r>
    </w:p>
    <w:p>
      <w:pPr>
        <w:jc w:val="center"/>
        <w:rPr>
          <w:rFonts w:ascii="黑体" w:hAnsi="宋体" w:eastAsia="黑体" w:cs="黑体"/>
          <w:b/>
          <w:sz w:val="52"/>
          <w:szCs w:val="52"/>
        </w:rPr>
      </w:pPr>
      <w:r>
        <w:rPr>
          <w:rFonts w:hint="eastAsia" w:ascii="黑体" w:hAnsi="宋体" w:eastAsia="黑体" w:cs="黑体"/>
          <w:b/>
          <w:sz w:val="52"/>
          <w:szCs w:val="52"/>
          <w:lang w:bidi="ar"/>
        </w:rPr>
        <w:t>文</w:t>
      </w:r>
    </w:p>
    <w:p>
      <w:pPr>
        <w:jc w:val="center"/>
        <w:rPr>
          <w:rFonts w:ascii="黑体" w:hAnsi="Calibri" w:eastAsia="黑体" w:cs="黑体"/>
          <w:b/>
          <w:sz w:val="52"/>
          <w:szCs w:val="52"/>
        </w:rPr>
      </w:pPr>
      <w:r>
        <w:rPr>
          <w:rFonts w:hint="eastAsia" w:ascii="黑体" w:hAnsi="宋体" w:eastAsia="黑体" w:cs="黑体"/>
          <w:b/>
          <w:sz w:val="52"/>
          <w:szCs w:val="52"/>
          <w:lang w:bidi="ar"/>
        </w:rPr>
        <w:t>件</w:t>
      </w:r>
    </w:p>
    <w:p>
      <w:pPr>
        <w:pStyle w:val="34"/>
        <w:widowControl/>
        <w:ind w:firstLine="0" w:firstLineChars="0"/>
        <w:jc w:val="center"/>
        <w:rPr>
          <w:b/>
          <w:sz w:val="32"/>
          <w:szCs w:val="32"/>
        </w:rPr>
      </w:pPr>
    </w:p>
    <w:p>
      <w:pPr>
        <w:jc w:val="center"/>
        <w:rPr>
          <w:rFonts w:ascii="黑体" w:hAnsi="Calibri" w:eastAsia="黑体" w:cs="黑体"/>
          <w:sz w:val="44"/>
          <w:szCs w:val="44"/>
        </w:rPr>
      </w:pPr>
      <w:r>
        <w:rPr>
          <w:rFonts w:hint="eastAsia" w:ascii="黑体" w:hAnsi="Calibri" w:eastAsia="黑体" w:cs="黑体"/>
          <w:sz w:val="44"/>
          <w:szCs w:val="44"/>
          <w:lang w:bidi="ar"/>
        </w:rPr>
        <w:t>重汽汽车金融有限公司</w:t>
      </w:r>
    </w:p>
    <w:p>
      <w:pPr>
        <w:spacing w:line="380" w:lineRule="exact"/>
        <w:jc w:val="center"/>
        <w:rPr>
          <w:rFonts w:ascii="黑体" w:hAnsi="Calibri" w:eastAsia="黑体" w:cs="黑体"/>
          <w:sz w:val="44"/>
          <w:szCs w:val="44"/>
        </w:rPr>
      </w:pPr>
    </w:p>
    <w:p>
      <w:pPr>
        <w:spacing w:before="156" w:beforeLines="50" w:line="380" w:lineRule="exact"/>
        <w:jc w:val="center"/>
        <w:rPr>
          <w:rFonts w:ascii="黑体" w:hAnsi="Calibri" w:eastAsia="黑体" w:cs="黑体"/>
          <w:sz w:val="44"/>
          <w:szCs w:val="44"/>
        </w:rPr>
      </w:pPr>
      <w:r>
        <w:rPr>
          <w:rFonts w:hint="eastAsia" w:ascii="黑体" w:hAnsi="Calibri" w:eastAsia="黑体" w:cs="黑体"/>
          <w:sz w:val="44"/>
          <w:szCs w:val="44"/>
          <w:lang w:bidi="ar"/>
        </w:rPr>
        <w:t>二〇二</w:t>
      </w:r>
      <w:r>
        <w:rPr>
          <w:rFonts w:hint="eastAsia" w:ascii="黑体" w:hAnsi="Calibri" w:eastAsia="黑体" w:cs="黑体"/>
          <w:sz w:val="44"/>
          <w:szCs w:val="44"/>
          <w:lang w:val="en-US" w:eastAsia="zh-CN" w:bidi="ar"/>
        </w:rPr>
        <w:t>五</w:t>
      </w:r>
      <w:r>
        <w:rPr>
          <w:rFonts w:hint="eastAsia" w:ascii="黑体" w:hAnsi="Calibri" w:eastAsia="黑体" w:cs="黑体"/>
          <w:sz w:val="44"/>
          <w:szCs w:val="44"/>
          <w:lang w:bidi="ar"/>
        </w:rPr>
        <w:t>年</w:t>
      </w:r>
      <w:r>
        <w:rPr>
          <w:rFonts w:hint="eastAsia" w:ascii="黑体" w:hAnsi="Calibri" w:eastAsia="黑体" w:cs="黑体"/>
          <w:sz w:val="44"/>
          <w:szCs w:val="44"/>
          <w:lang w:val="en-US" w:eastAsia="zh-CN" w:bidi="ar"/>
        </w:rPr>
        <w:t>一</w:t>
      </w:r>
      <w:r>
        <w:rPr>
          <w:rFonts w:hint="eastAsia" w:ascii="黑体" w:hAnsi="Calibri" w:eastAsia="黑体" w:cs="黑体"/>
          <w:sz w:val="44"/>
          <w:szCs w:val="44"/>
          <w:lang w:bidi="ar"/>
        </w:rPr>
        <w:t>月</w:t>
      </w:r>
    </w:p>
    <w:p>
      <w:pPr>
        <w:pStyle w:val="18"/>
        <w:widowControl/>
        <w:tabs>
          <w:tab w:val="right" w:leader="dot" w:pos="8705"/>
        </w:tabs>
        <w:jc w:val="center"/>
        <w:rPr>
          <w:lang w:bidi="ar"/>
        </w:rPr>
      </w:pPr>
      <w:r>
        <w:rPr>
          <w:color w:val="FF0000"/>
          <w:lang w:bidi="ar"/>
        </w:rPr>
        <w:br w:type="page"/>
      </w:r>
    </w:p>
    <w:sdt>
      <w:sdtPr>
        <w:rPr>
          <w:rFonts w:asciiTheme="minorHAnsi" w:hAnsiTheme="minorHAnsi" w:eastAsiaTheme="minorEastAsia" w:cstheme="minorBidi"/>
          <w:color w:val="auto"/>
          <w:kern w:val="2"/>
          <w:sz w:val="21"/>
          <w:szCs w:val="24"/>
          <w:lang w:val="zh-CN"/>
        </w:rPr>
        <w:id w:val="208618770"/>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79"/>
          </w:pPr>
          <w:r>
            <w:rPr>
              <w:lang w:val="zh-CN"/>
            </w:rPr>
            <w:t>目录</w:t>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TOC \o "1-3" \h \z \u </w:instrText>
          </w:r>
          <w:r>
            <w:fldChar w:fldCharType="separate"/>
          </w:r>
          <w:r>
            <w:fldChar w:fldCharType="begin"/>
          </w:r>
          <w:r>
            <w:instrText xml:space="preserve"> HYPERLINK \l "_Toc109031535" </w:instrText>
          </w:r>
          <w:r>
            <w:fldChar w:fldCharType="separate"/>
          </w:r>
          <w:r>
            <w:rPr>
              <w:rStyle w:val="29"/>
            </w:rPr>
            <w:t>1</w:t>
          </w:r>
          <w:r>
            <w:rPr>
              <w:rStyle w:val="29"/>
              <w:rFonts w:hint="eastAsia" w:cs="宋体"/>
            </w:rPr>
            <w:t xml:space="preserve"> 项目名称</w:t>
          </w:r>
          <w:r>
            <w:tab/>
          </w:r>
          <w:r>
            <w:fldChar w:fldCharType="begin"/>
          </w:r>
          <w:r>
            <w:instrText xml:space="preserve"> PAGEREF _Toc109031535 \h </w:instrText>
          </w:r>
          <w:r>
            <w:fldChar w:fldCharType="separate"/>
          </w:r>
          <w:r>
            <w:t>1</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"_Toc109031536" </w:instrText>
          </w:r>
          <w:r>
            <w:fldChar w:fldCharType="separate"/>
          </w:r>
          <w:r>
            <w:rPr>
              <w:rStyle w:val="29"/>
              <w:rFonts w:cs="宋体"/>
            </w:rPr>
            <w:t>2</w:t>
          </w:r>
          <w:r>
            <w:rPr>
              <w:rStyle w:val="29"/>
              <w:rFonts w:hint="eastAsia" w:cs="宋体"/>
            </w:rPr>
            <w:t xml:space="preserve"> 招标内容及形式</w:t>
          </w:r>
          <w:r>
            <w:tab/>
          </w:r>
          <w:r>
            <w:fldChar w:fldCharType="begin"/>
          </w:r>
          <w:r>
            <w:instrText xml:space="preserve"> PAGEREF _Toc109031536 \h </w:instrText>
          </w:r>
          <w:r>
            <w:fldChar w:fldCharType="separate"/>
          </w:r>
          <w:r>
            <w:t>2</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"_Toc109031537" </w:instrText>
          </w:r>
          <w:r>
            <w:fldChar w:fldCharType="separate"/>
          </w:r>
          <w:r>
            <w:rPr>
              <w:rStyle w:val="29"/>
              <w:bCs/>
            </w:rPr>
            <w:t>2.1</w:t>
          </w:r>
          <w:r>
            <w:rPr>
              <w:rStyle w:val="29"/>
              <w:rFonts w:hint="eastAsia" w:cs="宋体"/>
              <w:bCs/>
            </w:rPr>
            <w:t>招标内容</w:t>
          </w:r>
          <w:r>
            <w:rPr>
              <w:rStyle w:val="29"/>
              <w:rFonts w:ascii="Calibri Light" w:hAnsi="Calibri Light" w:eastAsia="Calibri Light"/>
            </w:rPr>
            <w:t>-</w:t>
          </w:r>
          <w:r>
            <w:rPr>
              <w:rStyle w:val="29"/>
              <w:rFonts w:hint="eastAsia" w:ascii="宋体" w:hAnsi="宋体" w:cs="宋体"/>
            </w:rPr>
            <w:t>重汽汽车金融有限公司档案</w:t>
          </w:r>
          <w:r>
            <w:rPr>
              <w:rStyle w:val="29"/>
              <w:rFonts w:hint="eastAsia" w:ascii="宋体" w:hAnsi="宋体" w:cs="宋体"/>
              <w:lang w:val="en-US" w:eastAsia="zh-CN"/>
            </w:rPr>
            <w:t>管理</w:t>
          </w:r>
          <w:r>
            <w:rPr>
              <w:rStyle w:val="29"/>
              <w:rFonts w:hint="eastAsia" w:ascii="宋体" w:hAnsi="宋体" w:cs="宋体"/>
            </w:rPr>
            <w:t>项目</w:t>
          </w:r>
          <w:r>
            <w:tab/>
          </w:r>
          <w:r>
            <w:fldChar w:fldCharType="begin"/>
          </w:r>
          <w:r>
            <w:instrText xml:space="preserve"> PAGEREF _Toc109031537 \h </w:instrText>
          </w:r>
          <w:r>
            <w:fldChar w:fldCharType="separate"/>
          </w:r>
          <w:r>
            <w:t>2</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"_Toc109031538" </w:instrText>
          </w:r>
          <w:r>
            <w:fldChar w:fldCharType="separate"/>
          </w:r>
          <w:r>
            <w:rPr>
              <w:rStyle w:val="29"/>
              <w:bCs/>
            </w:rPr>
            <w:t>2.2</w:t>
          </w:r>
          <w:r>
            <w:rPr>
              <w:rStyle w:val="29"/>
              <w:rFonts w:hint="eastAsia" w:cs="宋体"/>
              <w:bCs/>
            </w:rPr>
            <w:t>招标形式</w:t>
          </w:r>
          <w:r>
            <w:rPr>
              <w:rStyle w:val="29"/>
              <w:rFonts w:ascii="宋体" w:hAnsi="宋体" w:cs="宋体"/>
              <w:kern w:val="0"/>
            </w:rPr>
            <w:t>-</w:t>
          </w:r>
          <w:r>
            <w:rPr>
              <w:rStyle w:val="29"/>
              <w:rFonts w:hint="eastAsia" w:ascii="宋体" w:hAnsi="宋体" w:cs="宋体"/>
              <w:lang w:val="en-US" w:eastAsia="zh-CN"/>
            </w:rPr>
            <w:t>公开</w:t>
          </w:r>
          <w:r>
            <w:rPr>
              <w:rStyle w:val="29"/>
              <w:rFonts w:hint="eastAsia" w:ascii="宋体" w:hAnsi="宋体" w:cs="宋体"/>
            </w:rPr>
            <w:t>招标</w:t>
          </w:r>
          <w:r>
            <w:tab/>
          </w:r>
          <w:r>
            <w:fldChar w:fldCharType="begin"/>
          </w:r>
          <w:r>
            <w:instrText xml:space="preserve"> PAGEREF _Toc109031538 \h </w:instrText>
          </w:r>
          <w:r>
            <w:fldChar w:fldCharType="separate"/>
          </w:r>
          <w:r>
            <w:t>2</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"_Toc109031539" </w:instrText>
          </w:r>
          <w:r>
            <w:fldChar w:fldCharType="separate"/>
          </w:r>
          <w:r>
            <w:rPr>
              <w:rStyle w:val="29"/>
              <w:bCs/>
            </w:rPr>
            <w:t>2.3</w:t>
          </w:r>
          <w:r>
            <w:rPr>
              <w:rStyle w:val="29"/>
              <w:rFonts w:hint="eastAsia"/>
              <w:bCs/>
            </w:rPr>
            <w:t>议程安排</w:t>
          </w:r>
          <w:r>
            <w:tab/>
          </w:r>
          <w:r>
            <w:fldChar w:fldCharType="begin"/>
          </w:r>
          <w:r>
            <w:instrText xml:space="preserve"> PAGEREF _Toc109031539 \h </w:instrText>
          </w:r>
          <w:r>
            <w:fldChar w:fldCharType="separate"/>
          </w:r>
          <w:r>
            <w:t>2</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"_Toc109031540" </w:instrText>
          </w:r>
          <w:r>
            <w:fldChar w:fldCharType="separate"/>
          </w:r>
          <w:r>
            <w:rPr>
              <w:rStyle w:val="29"/>
              <w:rFonts w:cs="宋体"/>
            </w:rPr>
            <w:t>3</w:t>
          </w:r>
          <w:r>
            <w:rPr>
              <w:rStyle w:val="29"/>
              <w:rFonts w:hint="eastAsia" w:cs="宋体"/>
            </w:rPr>
            <w:t xml:space="preserve"> 有关说明</w:t>
          </w:r>
          <w:r>
            <w:tab/>
          </w:r>
          <w:r>
            <w:fldChar w:fldCharType="begin"/>
          </w:r>
          <w:r>
            <w:instrText xml:space="preserve"> PAGEREF _Toc109031540 \h </w:instrText>
          </w:r>
          <w:r>
            <w:fldChar w:fldCharType="separate"/>
          </w:r>
          <w:r>
            <w:t>3</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"_Toc109031541" </w:instrText>
          </w:r>
          <w:r>
            <w:fldChar w:fldCharType="separate"/>
          </w:r>
          <w:r>
            <w:rPr>
              <w:rStyle w:val="29"/>
            </w:rPr>
            <w:t>3.1</w:t>
          </w:r>
          <w:r>
            <w:rPr>
              <w:rStyle w:val="29"/>
              <w:rFonts w:hint="eastAsia"/>
            </w:rPr>
            <w:t xml:space="preserve"> 总则</w:t>
          </w:r>
          <w:r>
            <w:tab/>
          </w:r>
          <w:r>
            <w:fldChar w:fldCharType="begin"/>
          </w:r>
          <w:r>
            <w:instrText xml:space="preserve"> PAGEREF _Toc109031541 \h </w:instrText>
          </w:r>
          <w:r>
            <w:fldChar w:fldCharType="separate"/>
          </w:r>
          <w:r>
            <w:t>3</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"_Toc109031542" </w:instrText>
          </w:r>
          <w:r>
            <w:fldChar w:fldCharType="separate"/>
          </w:r>
          <w:r>
            <w:rPr>
              <w:rStyle w:val="29"/>
            </w:rPr>
            <w:t>3.2</w:t>
          </w:r>
          <w:r>
            <w:rPr>
              <w:rStyle w:val="29"/>
              <w:rFonts w:hint="eastAsia"/>
            </w:rPr>
            <w:t xml:space="preserve"> 定义</w:t>
          </w:r>
          <w:r>
            <w:tab/>
          </w:r>
          <w:r>
            <w:fldChar w:fldCharType="begin"/>
          </w:r>
          <w:r>
            <w:instrText xml:space="preserve"> PAGEREF _Toc109031542 \h </w:instrText>
          </w:r>
          <w:r>
            <w:fldChar w:fldCharType="separate"/>
          </w:r>
          <w:r>
            <w:t>3</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"_Toc109031543" </w:instrText>
          </w:r>
          <w:r>
            <w:fldChar w:fldCharType="separate"/>
          </w:r>
          <w:r>
            <w:rPr>
              <w:rStyle w:val="29"/>
            </w:rPr>
            <w:t>3.3</w:t>
          </w:r>
          <w:r>
            <w:rPr>
              <w:rStyle w:val="29"/>
              <w:rFonts w:hint="eastAsia"/>
            </w:rPr>
            <w:t xml:space="preserve"> 项目实施方式</w:t>
          </w:r>
          <w:r>
            <w:tab/>
          </w:r>
          <w:r>
            <w:fldChar w:fldCharType="begin"/>
          </w:r>
          <w:r>
            <w:instrText xml:space="preserve"> PAGEREF _Toc109031543 \h </w:instrText>
          </w:r>
          <w:r>
            <w:fldChar w:fldCharType="separate"/>
          </w:r>
          <w:r>
            <w:t>3</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"_Toc109031544" </w:instrText>
          </w:r>
          <w:r>
            <w:fldChar w:fldCharType="separate"/>
          </w:r>
          <w:r>
            <w:rPr>
              <w:rStyle w:val="29"/>
            </w:rPr>
            <w:t>3.4</w:t>
          </w:r>
          <w:r>
            <w:rPr>
              <w:rStyle w:val="29"/>
              <w:rFonts w:hint="eastAsia"/>
            </w:rPr>
            <w:t xml:space="preserve"> 投标人须知</w:t>
          </w:r>
          <w:r>
            <w:tab/>
          </w:r>
          <w:r>
            <w:fldChar w:fldCharType="begin"/>
          </w:r>
          <w:r>
            <w:instrText xml:space="preserve"> PAGEREF _Toc109031544 \h </w:instrText>
          </w:r>
          <w:r>
            <w:fldChar w:fldCharType="separate"/>
          </w:r>
          <w:r>
            <w:t>3</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"_Toc109031545" </w:instrText>
          </w:r>
          <w:r>
            <w:fldChar w:fldCharType="separate"/>
          </w:r>
          <w:r>
            <w:rPr>
              <w:rStyle w:val="29"/>
            </w:rPr>
            <w:t>4</w:t>
          </w:r>
          <w:r>
            <w:rPr>
              <w:rStyle w:val="29"/>
              <w:rFonts w:hint="eastAsia"/>
            </w:rPr>
            <w:t xml:space="preserve"> 交货及付款</w:t>
          </w:r>
          <w:r>
            <w:tab/>
          </w:r>
          <w:r>
            <w:fldChar w:fldCharType="begin"/>
          </w:r>
          <w:r>
            <w:instrText xml:space="preserve"> PAGEREF _Toc109031545 \h </w:instrText>
          </w:r>
          <w:r>
            <w:fldChar w:fldCharType="separate"/>
          </w:r>
          <w:r>
            <w:t>5</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"_Toc109031546" </w:instrText>
          </w:r>
          <w:r>
            <w:fldChar w:fldCharType="separate"/>
          </w:r>
          <w:r>
            <w:rPr>
              <w:rStyle w:val="29"/>
              <w:rFonts w:asciiTheme="minorEastAsia" w:hAnsiTheme="minorEastAsia"/>
            </w:rPr>
            <w:t>4.1</w:t>
          </w:r>
          <w:r>
            <w:rPr>
              <w:rStyle w:val="29"/>
              <w:rFonts w:hint="eastAsia" w:asciiTheme="minorEastAsia" w:hAnsiTheme="minorEastAsia"/>
            </w:rPr>
            <w:t>项目实施时间：收到中标通知后</w:t>
          </w:r>
          <w:r>
            <w:rPr>
              <w:rStyle w:val="29"/>
              <w:rFonts w:asciiTheme="minorEastAsia" w:hAnsiTheme="minorEastAsia"/>
            </w:rPr>
            <w:t>5</w:t>
          </w:r>
          <w:r>
            <w:rPr>
              <w:rStyle w:val="29"/>
              <w:rFonts w:hint="eastAsia" w:asciiTheme="minorEastAsia" w:hAnsiTheme="minorEastAsia"/>
            </w:rPr>
            <w:t>个工作日内</w:t>
          </w:r>
          <w:r>
            <w:tab/>
          </w:r>
          <w:r>
            <w:fldChar w:fldCharType="begin"/>
          </w:r>
          <w:r>
            <w:instrText xml:space="preserve"> PAGEREF _Toc109031546 \h </w:instrText>
          </w:r>
          <w:r>
            <w:fldChar w:fldCharType="separate"/>
          </w:r>
          <w:r>
            <w:t>5</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"_Toc109031547" </w:instrText>
          </w:r>
          <w:r>
            <w:fldChar w:fldCharType="separate"/>
          </w:r>
          <w:r>
            <w:rPr>
              <w:rStyle w:val="29"/>
              <w:rFonts w:asciiTheme="minorEastAsia" w:hAnsiTheme="minorEastAsia"/>
            </w:rPr>
            <w:t>4.2</w:t>
          </w:r>
          <w:r>
            <w:rPr>
              <w:rStyle w:val="29"/>
              <w:rFonts w:hint="eastAsia" w:asciiTheme="minorEastAsia" w:hAnsiTheme="minorEastAsia"/>
            </w:rPr>
            <w:t>实施地点：招标人指定地点</w:t>
          </w:r>
          <w:r>
            <w:tab/>
          </w:r>
          <w:r>
            <w:fldChar w:fldCharType="begin"/>
          </w:r>
          <w:r>
            <w:instrText xml:space="preserve"> PAGEREF _Toc109031547 \h </w:instrText>
          </w:r>
          <w:r>
            <w:fldChar w:fldCharType="separate"/>
          </w:r>
          <w:r>
            <w:t>5</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"_Toc109031548" </w:instrText>
          </w:r>
          <w:r>
            <w:fldChar w:fldCharType="separate"/>
          </w:r>
          <w:r>
            <w:rPr>
              <w:rStyle w:val="29"/>
              <w:rFonts w:asciiTheme="minorEastAsia" w:hAnsiTheme="minorEastAsia"/>
            </w:rPr>
            <w:t>4.3</w:t>
          </w:r>
          <w:r>
            <w:rPr>
              <w:rStyle w:val="29"/>
              <w:rFonts w:hint="eastAsia" w:asciiTheme="minorEastAsia" w:hAnsiTheme="minorEastAsia"/>
            </w:rPr>
            <w:t>交货方式：按照合同要求提供业务档案专项检查外包服务</w:t>
          </w:r>
          <w:r>
            <w:tab/>
          </w:r>
          <w:r>
            <w:fldChar w:fldCharType="begin"/>
          </w:r>
          <w:r>
            <w:instrText xml:space="preserve"> PAGEREF _Toc109031548 \h </w:instrText>
          </w:r>
          <w:r>
            <w:fldChar w:fldCharType="separate"/>
          </w:r>
          <w:r>
            <w:t>5</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"_Toc109031549" </w:instrText>
          </w:r>
          <w:r>
            <w:fldChar w:fldCharType="separate"/>
          </w:r>
          <w:r>
            <w:rPr>
              <w:rStyle w:val="29"/>
            </w:rPr>
            <w:t>5</w:t>
          </w:r>
          <w:r>
            <w:rPr>
              <w:rStyle w:val="29"/>
              <w:rFonts w:hint="eastAsia"/>
            </w:rPr>
            <w:t xml:space="preserve"> 投标说明</w:t>
          </w:r>
          <w:r>
            <w:tab/>
          </w:r>
          <w:r>
            <w:fldChar w:fldCharType="begin"/>
          </w:r>
          <w:r>
            <w:instrText xml:space="preserve"> PAGEREF _Toc109031549 \h </w:instrText>
          </w:r>
          <w:r>
            <w:fldChar w:fldCharType="separate"/>
          </w:r>
          <w:r>
            <w:t>6</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"_Toc109031550" </w:instrText>
          </w:r>
          <w:r>
            <w:fldChar w:fldCharType="separate"/>
          </w:r>
          <w:r>
            <w:rPr>
              <w:rStyle w:val="29"/>
            </w:rPr>
            <w:t>5.1</w:t>
          </w:r>
          <w:r>
            <w:rPr>
              <w:rStyle w:val="29"/>
              <w:rFonts w:hint="eastAsia"/>
            </w:rPr>
            <w:t xml:space="preserve"> 招标要求</w:t>
          </w:r>
          <w:r>
            <w:tab/>
          </w:r>
          <w:r>
            <w:fldChar w:fldCharType="begin"/>
          </w:r>
          <w:r>
            <w:instrText xml:space="preserve"> PAGEREF _Toc109031550 \h </w:instrText>
          </w:r>
          <w:r>
            <w:fldChar w:fldCharType="separate"/>
          </w:r>
          <w:r>
            <w:t>6</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"_Toc109031551" </w:instrText>
          </w:r>
          <w:r>
            <w:fldChar w:fldCharType="separate"/>
          </w:r>
          <w:r>
            <w:rPr>
              <w:rStyle w:val="29"/>
            </w:rPr>
            <w:t>5.2</w:t>
          </w:r>
          <w:r>
            <w:rPr>
              <w:rStyle w:val="29"/>
              <w:rFonts w:hint="eastAsia"/>
            </w:rPr>
            <w:t xml:space="preserve"> 投标报价</w:t>
          </w:r>
          <w:r>
            <w:tab/>
          </w:r>
          <w:r>
            <w:fldChar w:fldCharType="begin"/>
          </w:r>
          <w:r>
            <w:instrText xml:space="preserve"> PAGEREF _Toc109031551 \h </w:instrText>
          </w:r>
          <w:r>
            <w:fldChar w:fldCharType="separate"/>
          </w:r>
          <w:r>
            <w:t>7</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"_Toc109031552" </w:instrText>
          </w:r>
          <w:r>
            <w:fldChar w:fldCharType="separate"/>
          </w:r>
          <w:r>
            <w:rPr>
              <w:rStyle w:val="29"/>
            </w:rPr>
            <w:t>5.3</w:t>
          </w:r>
          <w:r>
            <w:rPr>
              <w:rStyle w:val="29"/>
              <w:rFonts w:hint="eastAsia"/>
            </w:rPr>
            <w:t xml:space="preserve"> 招标文件的组成</w:t>
          </w:r>
          <w:r>
            <w:tab/>
          </w:r>
          <w:r>
            <w:fldChar w:fldCharType="begin"/>
          </w:r>
          <w:r>
            <w:instrText xml:space="preserve"> PAGEREF _Toc109031552 \h </w:instrText>
          </w:r>
          <w:r>
            <w:fldChar w:fldCharType="separate"/>
          </w:r>
          <w:r>
            <w:t>7</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"_Toc109031553" </w:instrText>
          </w:r>
          <w:r>
            <w:fldChar w:fldCharType="separate"/>
          </w:r>
          <w:r>
            <w:rPr>
              <w:rStyle w:val="29"/>
            </w:rPr>
            <w:t>5.4</w:t>
          </w:r>
          <w:r>
            <w:rPr>
              <w:rStyle w:val="29"/>
              <w:rFonts w:hint="eastAsia"/>
            </w:rPr>
            <w:t xml:space="preserve"> 招标文件的澄清</w:t>
          </w:r>
          <w:r>
            <w:tab/>
          </w:r>
          <w:r>
            <w:fldChar w:fldCharType="begin"/>
          </w:r>
          <w:r>
            <w:instrText xml:space="preserve"> PAGEREF _Toc109031553 \h </w:instrText>
          </w:r>
          <w:r>
            <w:fldChar w:fldCharType="separate"/>
          </w:r>
          <w:r>
            <w:t>7</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"_Toc109031554" </w:instrText>
          </w:r>
          <w:r>
            <w:fldChar w:fldCharType="separate"/>
          </w:r>
          <w:r>
            <w:rPr>
              <w:rStyle w:val="29"/>
            </w:rPr>
            <w:t>5.5</w:t>
          </w:r>
          <w:r>
            <w:rPr>
              <w:rStyle w:val="29"/>
              <w:rFonts w:hint="eastAsia"/>
            </w:rPr>
            <w:t xml:space="preserve"> 招标文件的修改</w:t>
          </w:r>
          <w:r>
            <w:tab/>
          </w:r>
          <w:r>
            <w:fldChar w:fldCharType="begin"/>
          </w:r>
          <w:r>
            <w:instrText xml:space="preserve"> PAGEREF _Toc109031554 \h </w:instrText>
          </w:r>
          <w:r>
            <w:fldChar w:fldCharType="separate"/>
          </w:r>
          <w:r>
            <w:t>7</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"_Toc109031555" </w:instrText>
          </w:r>
          <w:r>
            <w:fldChar w:fldCharType="separate"/>
          </w:r>
          <w:r>
            <w:rPr>
              <w:rStyle w:val="29"/>
            </w:rPr>
            <w:t>6</w:t>
          </w:r>
          <w:r>
            <w:rPr>
              <w:rStyle w:val="29"/>
              <w:rFonts w:hint="eastAsia"/>
            </w:rPr>
            <w:t xml:space="preserve"> 投标文件的内容和要求</w:t>
          </w:r>
          <w:r>
            <w:tab/>
          </w:r>
          <w:r>
            <w:fldChar w:fldCharType="begin"/>
          </w:r>
          <w:r>
            <w:instrText xml:space="preserve"> PAGEREF _Toc109031555 \h </w:instrText>
          </w:r>
          <w:r>
            <w:fldChar w:fldCharType="separate"/>
          </w:r>
          <w:r>
            <w:t>8</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"_Toc109031556" </w:instrText>
          </w:r>
          <w:r>
            <w:fldChar w:fldCharType="separate"/>
          </w:r>
          <w:r>
            <w:rPr>
              <w:rStyle w:val="29"/>
            </w:rPr>
            <w:t>6.1</w:t>
          </w:r>
          <w:r>
            <w:rPr>
              <w:rStyle w:val="29"/>
              <w:rFonts w:hint="eastAsia"/>
            </w:rPr>
            <w:t xml:space="preserve"> 投标文件计量单位</w:t>
          </w:r>
          <w:r>
            <w:tab/>
          </w:r>
          <w:r>
            <w:fldChar w:fldCharType="begin"/>
          </w:r>
          <w:r>
            <w:instrText xml:space="preserve"> PAGEREF _Toc109031556 \h </w:instrText>
          </w:r>
          <w:r>
            <w:fldChar w:fldCharType="separate"/>
          </w:r>
          <w:r>
            <w:t>8</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"_Toc109031557" </w:instrText>
          </w:r>
          <w:r>
            <w:fldChar w:fldCharType="separate"/>
          </w:r>
          <w:r>
            <w:rPr>
              <w:rStyle w:val="29"/>
            </w:rPr>
            <w:t>6.2</w:t>
          </w:r>
          <w:r>
            <w:rPr>
              <w:rStyle w:val="29"/>
              <w:rFonts w:hint="eastAsia"/>
            </w:rPr>
            <w:t xml:space="preserve"> 投标文件组成</w:t>
          </w:r>
          <w:r>
            <w:tab/>
          </w:r>
          <w:r>
            <w:fldChar w:fldCharType="begin"/>
          </w:r>
          <w:r>
            <w:instrText xml:space="preserve"> PAGEREF _Toc109031557 \h </w:instrText>
          </w:r>
          <w:r>
            <w:fldChar w:fldCharType="separate"/>
          </w:r>
          <w:r>
            <w:t>8</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"_Toc109031558" </w:instrText>
          </w:r>
          <w:r>
            <w:fldChar w:fldCharType="separate"/>
          </w:r>
          <w:r>
            <w:rPr>
              <w:rStyle w:val="29"/>
            </w:rPr>
            <w:t>6.3</w:t>
          </w:r>
          <w:r>
            <w:rPr>
              <w:rStyle w:val="29"/>
              <w:rFonts w:hint="eastAsia"/>
            </w:rPr>
            <w:t xml:space="preserve"> 投标文件格式</w:t>
          </w:r>
          <w:r>
            <w:tab/>
          </w:r>
          <w:r>
            <w:fldChar w:fldCharType="begin"/>
          </w:r>
          <w:r>
            <w:instrText xml:space="preserve"> PAGEREF _Toc109031558 \h </w:instrText>
          </w:r>
          <w:r>
            <w:fldChar w:fldCharType="separate"/>
          </w:r>
          <w:r>
            <w:t>9</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"_Toc109031559" </w:instrText>
          </w:r>
          <w:r>
            <w:fldChar w:fldCharType="separate"/>
          </w:r>
          <w:r>
            <w:rPr>
              <w:rStyle w:val="29"/>
            </w:rPr>
            <w:t>6.4</w:t>
          </w:r>
          <w:r>
            <w:rPr>
              <w:rStyle w:val="29"/>
              <w:rFonts w:hint="eastAsia"/>
            </w:rPr>
            <w:t xml:space="preserve"> 投标文件的装袋、密封和递交</w:t>
          </w:r>
          <w:r>
            <w:tab/>
          </w:r>
          <w:r>
            <w:fldChar w:fldCharType="begin"/>
          </w:r>
          <w:r>
            <w:instrText xml:space="preserve"> PAGEREF _Toc109031559 \h </w:instrText>
          </w:r>
          <w:r>
            <w:fldChar w:fldCharType="separate"/>
          </w:r>
          <w:r>
            <w:t>9</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"_Toc109031560" </w:instrText>
          </w:r>
          <w:r>
            <w:fldChar w:fldCharType="separate"/>
          </w:r>
          <w:r>
            <w:rPr>
              <w:rStyle w:val="29"/>
            </w:rPr>
            <w:t>6.5</w:t>
          </w:r>
          <w:r>
            <w:rPr>
              <w:rStyle w:val="29"/>
              <w:rFonts w:hint="eastAsia"/>
            </w:rPr>
            <w:t xml:space="preserve"> 投标文件的澄清</w:t>
          </w:r>
          <w:r>
            <w:tab/>
          </w:r>
          <w:r>
            <w:fldChar w:fldCharType="begin"/>
          </w:r>
          <w:r>
            <w:instrText xml:space="preserve"> PAGEREF _Toc109031560 \h </w:instrText>
          </w:r>
          <w:r>
            <w:fldChar w:fldCharType="separate"/>
          </w:r>
          <w:r>
            <w:t>10</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"_Toc109031561" </w:instrText>
          </w:r>
          <w:r>
            <w:fldChar w:fldCharType="separate"/>
          </w:r>
          <w:r>
            <w:rPr>
              <w:rStyle w:val="29"/>
            </w:rPr>
            <w:t>6.6</w:t>
          </w:r>
          <w:r>
            <w:rPr>
              <w:rStyle w:val="29"/>
              <w:rFonts w:hint="eastAsia"/>
            </w:rPr>
            <w:t xml:space="preserve"> 开标</w:t>
          </w:r>
          <w:r>
            <w:tab/>
          </w:r>
          <w:r>
            <w:fldChar w:fldCharType="begin"/>
          </w:r>
          <w:r>
            <w:instrText xml:space="preserve"> PAGEREF _Toc109031561 \h </w:instrText>
          </w:r>
          <w:r>
            <w:fldChar w:fldCharType="separate"/>
          </w:r>
          <w:r>
            <w:t>10</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"_Toc109031562" </w:instrText>
          </w:r>
          <w:r>
            <w:fldChar w:fldCharType="separate"/>
          </w:r>
          <w:r>
            <w:rPr>
              <w:rStyle w:val="29"/>
            </w:rPr>
            <w:t>7</w:t>
          </w:r>
          <w:r>
            <w:rPr>
              <w:rStyle w:val="29"/>
              <w:rFonts w:hint="eastAsia"/>
            </w:rPr>
            <w:t xml:space="preserve"> 讲标及评标</w:t>
          </w:r>
          <w:r>
            <w:tab/>
          </w:r>
          <w:r>
            <w:fldChar w:fldCharType="begin"/>
          </w:r>
          <w:r>
            <w:instrText xml:space="preserve"> PAGEREF _Toc109031562 \h </w:instrText>
          </w:r>
          <w:r>
            <w:fldChar w:fldCharType="separate"/>
          </w:r>
          <w:r>
            <w:t>11</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"_Toc109031563" </w:instrText>
          </w:r>
          <w:r>
            <w:fldChar w:fldCharType="separate"/>
          </w:r>
          <w:r>
            <w:rPr>
              <w:rStyle w:val="29"/>
            </w:rPr>
            <w:t>7.1</w:t>
          </w:r>
          <w:r>
            <w:rPr>
              <w:rStyle w:val="29"/>
              <w:rFonts w:hint="eastAsia"/>
            </w:rPr>
            <w:t xml:space="preserve"> 中标及合同签订</w:t>
          </w:r>
          <w:r>
            <w:tab/>
          </w:r>
          <w:r>
            <w:fldChar w:fldCharType="begin"/>
          </w:r>
          <w:r>
            <w:instrText xml:space="preserve"> PAGEREF _Toc109031563 \h </w:instrText>
          </w:r>
          <w:r>
            <w:fldChar w:fldCharType="separate"/>
          </w:r>
          <w:r>
            <w:t>13</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"_Toc109031564" </w:instrText>
          </w:r>
          <w:r>
            <w:fldChar w:fldCharType="separate"/>
          </w:r>
          <w:r>
            <w:rPr>
              <w:rStyle w:val="29"/>
            </w:rPr>
            <w:t>7.2</w:t>
          </w:r>
          <w:r>
            <w:rPr>
              <w:rStyle w:val="29"/>
              <w:rFonts w:hint="eastAsia"/>
            </w:rPr>
            <w:t xml:space="preserve"> 废标</w:t>
          </w:r>
          <w:r>
            <w:tab/>
          </w:r>
          <w:r>
            <w:fldChar w:fldCharType="begin"/>
          </w:r>
          <w:r>
            <w:instrText xml:space="preserve"> PAGEREF _Toc109031564 \h </w:instrText>
          </w:r>
          <w:r>
            <w:fldChar w:fldCharType="separate"/>
          </w:r>
          <w:r>
            <w:t>13</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"_Toc109031565" </w:instrText>
          </w:r>
          <w:r>
            <w:fldChar w:fldCharType="separate"/>
          </w:r>
          <w:r>
            <w:rPr>
              <w:rStyle w:val="29"/>
            </w:rPr>
            <w:t>7.3</w:t>
          </w:r>
          <w:r>
            <w:rPr>
              <w:rStyle w:val="29"/>
              <w:rFonts w:hint="eastAsia"/>
            </w:rPr>
            <w:t xml:space="preserve"> 瑕疵滞后发现的处理</w:t>
          </w:r>
          <w:r>
            <w:tab/>
          </w:r>
          <w:r>
            <w:fldChar w:fldCharType="begin"/>
          </w:r>
          <w:r>
            <w:instrText xml:space="preserve"> PAGEREF _Toc109031565 \h </w:instrText>
          </w:r>
          <w:r>
            <w:fldChar w:fldCharType="separate"/>
          </w:r>
          <w:r>
            <w:t>14</w:t>
          </w:r>
          <w:r>
            <w:fldChar w:fldCharType="end"/>
          </w:r>
          <w:r>
            <w:fldChar w:fldCharType="end"/>
          </w:r>
        </w:p>
        <w:p>
          <w:pPr>
            <w:pStyle w:val="20"/>
            <w:tabs>
              <w:tab w:val="right" w:leader="dot" w:pos="8705"/>
            </w:tabs>
            <w:rPr>
              <w:rFonts w:asciiTheme="minorHAnsi" w:hAnsiTheme="minorHAnsi" w:eastAsiaTheme="minorEastAsia" w:cstheme="minorBidi"/>
              <w:smallCaps w:val="0"/>
              <w:sz w:val="21"/>
              <w:szCs w:val="22"/>
            </w:rPr>
          </w:pPr>
          <w:r>
            <w:fldChar w:fldCharType="begin"/>
          </w:r>
          <w:r>
            <w:instrText xml:space="preserve"> HYPERLINK \l "_Toc109031566" </w:instrText>
          </w:r>
          <w:r>
            <w:fldChar w:fldCharType="separate"/>
          </w:r>
          <w:r>
            <w:rPr>
              <w:rStyle w:val="29"/>
            </w:rPr>
            <w:t>7.4</w:t>
          </w:r>
          <w:r>
            <w:rPr>
              <w:rStyle w:val="29"/>
              <w:rFonts w:hint="eastAsia"/>
            </w:rPr>
            <w:t xml:space="preserve"> 合同以双方最终签署的版本为准</w:t>
          </w:r>
          <w:r>
            <w:tab/>
          </w:r>
          <w:r>
            <w:fldChar w:fldCharType="begin"/>
          </w:r>
          <w:r>
            <w:instrText xml:space="preserve"> PAGEREF _Toc109031566 \h </w:instrText>
          </w:r>
          <w:r>
            <w:fldChar w:fldCharType="separate"/>
          </w:r>
          <w:r>
            <w:t>14</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"_Toc109031567" </w:instrText>
          </w:r>
          <w:r>
            <w:fldChar w:fldCharType="separate"/>
          </w:r>
          <w:r>
            <w:rPr>
              <w:rStyle w:val="29"/>
              <w:rFonts w:hint="eastAsia" w:cs="宋体"/>
            </w:rPr>
            <w:t>技术及业务部分</w:t>
          </w:r>
          <w:r>
            <w:tab/>
          </w:r>
          <w:r>
            <w:fldChar w:fldCharType="begin"/>
          </w:r>
          <w:r>
            <w:instrText xml:space="preserve"> PAGEREF _Toc109031567 \h </w:instrText>
          </w:r>
          <w:r>
            <w:fldChar w:fldCharType="separate"/>
          </w:r>
          <w:r>
            <w:t>15</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"_Toc109031568" </w:instrText>
          </w:r>
          <w:r>
            <w:fldChar w:fldCharType="separate"/>
          </w:r>
          <w:r>
            <w:rPr>
              <w:rStyle w:val="29"/>
              <w:rFonts w:hint="eastAsia" w:cs="宋体"/>
            </w:rPr>
            <w:t>项目背景</w:t>
          </w:r>
          <w:r>
            <w:tab/>
          </w:r>
          <w:r>
            <w:fldChar w:fldCharType="begin"/>
          </w:r>
          <w:r>
            <w:instrText xml:space="preserve"> PAGEREF _Toc109031568 \h </w:instrText>
          </w:r>
          <w:r>
            <w:fldChar w:fldCharType="separate"/>
          </w:r>
          <w:r>
            <w:t>16</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"_Toc109031569" </w:instrText>
          </w:r>
          <w:r>
            <w:fldChar w:fldCharType="separate"/>
          </w:r>
          <w:r>
            <w:rPr>
              <w:rStyle w:val="29"/>
              <w:rFonts w:hint="eastAsia" w:cs="宋体"/>
            </w:rPr>
            <w:t>项目目标</w:t>
          </w:r>
          <w:r>
            <w:tab/>
          </w:r>
          <w:r>
            <w:fldChar w:fldCharType="begin"/>
          </w:r>
          <w:r>
            <w:instrText xml:space="preserve"> PAGEREF _Toc109031569 \h </w:instrText>
          </w:r>
          <w:r>
            <w:fldChar w:fldCharType="separate"/>
          </w:r>
          <w:r>
            <w:t>17</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"_Toc109031570" </w:instrText>
          </w:r>
          <w:r>
            <w:fldChar w:fldCharType="separate"/>
          </w:r>
          <w:r>
            <w:rPr>
              <w:rStyle w:val="29"/>
              <w:rFonts w:hint="eastAsia" w:ascii="宋体" w:hAnsi="宋体" w:cs="宋体"/>
            </w:rPr>
            <w:t>项目范围</w:t>
          </w:r>
          <w:r>
            <w:tab/>
          </w:r>
          <w:r>
            <w:fldChar w:fldCharType="begin"/>
          </w:r>
          <w:r>
            <w:instrText xml:space="preserve"> PAGEREF _Toc109031570 \h </w:instrText>
          </w:r>
          <w:r>
            <w:fldChar w:fldCharType="separate"/>
          </w:r>
          <w:r>
            <w:t>18</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"_Toc109031571" </w:instrText>
          </w:r>
          <w:r>
            <w:fldChar w:fldCharType="separate"/>
          </w:r>
          <w:r>
            <w:rPr>
              <w:rStyle w:val="29"/>
              <w:rFonts w:hint="eastAsia" w:ascii="宋体" w:hAnsi="宋体" w:cs="宋体"/>
            </w:rPr>
            <w:t>项目内容</w:t>
          </w:r>
          <w:r>
            <w:tab/>
          </w:r>
          <w:r>
            <w:fldChar w:fldCharType="begin"/>
          </w:r>
          <w:r>
            <w:instrText xml:space="preserve"> PAGEREF _Toc109031571 \h </w:instrText>
          </w:r>
          <w:r>
            <w:fldChar w:fldCharType="separate"/>
          </w:r>
          <w:r>
            <w:t>19</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"_Toc109031572" </w:instrText>
          </w:r>
          <w:r>
            <w:fldChar w:fldCharType="separate"/>
          </w:r>
          <w:r>
            <w:rPr>
              <w:rStyle w:val="29"/>
              <w:rFonts w:hint="eastAsia" w:ascii="宋体" w:hAnsi="宋体" w:cs="宋体"/>
            </w:rPr>
            <w:t>项目建设计划</w:t>
          </w:r>
          <w:r>
            <w:tab/>
          </w:r>
          <w:r>
            <w:fldChar w:fldCharType="begin"/>
          </w:r>
          <w:r>
            <w:instrText xml:space="preserve"> PAGEREF _Toc109031572 \h </w:instrText>
          </w:r>
          <w:r>
            <w:fldChar w:fldCharType="separate"/>
          </w:r>
          <w:r>
            <w:t>20</w:t>
          </w:r>
          <w:r>
            <w:fldChar w:fldCharType="end"/>
          </w:r>
          <w:r>
            <w:fldChar w:fldCharType="end"/>
          </w:r>
        </w:p>
        <w:p>
          <w:pPr>
            <w:pStyle w:val="18"/>
            <w:tabs>
              <w:tab w:val="right" w:leader="dot" w:pos="8705"/>
            </w:tabs>
            <w:rPr>
              <w:rFonts w:asciiTheme="minorHAnsi" w:hAnsiTheme="minorHAnsi" w:eastAsiaTheme="minorEastAsia" w:cstheme="minorBidi"/>
              <w:b w:val="0"/>
              <w:caps w:val="0"/>
              <w:sz w:val="21"/>
              <w:szCs w:val="22"/>
            </w:rPr>
          </w:pPr>
          <w:r>
            <w:fldChar w:fldCharType="begin"/>
          </w:r>
          <w:r>
            <w:instrText xml:space="preserve"> HYPERLINK \l "_Toc109031573" </w:instrText>
          </w:r>
          <w:r>
            <w:fldChar w:fldCharType="separate"/>
          </w:r>
          <w:r>
            <w:rPr>
              <w:rStyle w:val="29"/>
              <w:rFonts w:hint="eastAsia" w:cs="宋体" w:asciiTheme="minorEastAsia" w:hAnsiTheme="minorEastAsia"/>
            </w:rPr>
            <w:t>投标文件格式</w:t>
          </w:r>
          <w:r>
            <w:tab/>
          </w:r>
          <w:r>
            <w:fldChar w:fldCharType="begin"/>
          </w:r>
          <w:r>
            <w:instrText xml:space="preserve"> PAGEREF _Toc109031573 \h </w:instrText>
          </w:r>
          <w:r>
            <w:fldChar w:fldCharType="separate"/>
          </w:r>
          <w:r>
            <w:t>21</w:t>
          </w:r>
          <w:r>
            <w:fldChar w:fldCharType="end"/>
          </w:r>
          <w:r>
            <w:fldChar w:fldCharType="end"/>
          </w:r>
        </w:p>
        <w:p>
          <w:r>
            <w:rPr>
              <w:b/>
              <w:bCs/>
              <w:lang w:val="zh-CN"/>
            </w:rPr>
            <w:fldChar w:fldCharType="end"/>
          </w:r>
        </w:p>
      </w:sdtContent>
    </w:sdt>
    <w:p>
      <w:pPr>
        <w:pStyle w:val="18"/>
        <w:widowControl/>
        <w:tabs>
          <w:tab w:val="right" w:leader="dot" w:pos="8705"/>
        </w:tabs>
        <w:jc w:val="center"/>
        <w:rPr>
          <w:lang w:bidi="ar"/>
        </w:rPr>
      </w:pPr>
      <w:r>
        <w:rPr>
          <w:lang w:bidi="ar"/>
        </w:rPr>
        <w:t xml:space="preserve"> </w:t>
      </w:r>
    </w:p>
    <w:p>
      <w:pPr>
        <w:spacing w:line="360" w:lineRule="auto"/>
        <w:rPr>
          <w:rFonts w:ascii="Times New Roman" w:hAnsi="Times New Roman" w:eastAsia="宋体" w:cs="Times New Roman"/>
          <w:sz w:val="24"/>
          <w:szCs w:val="22"/>
          <w:lang w:bidi="ar"/>
        </w:rPr>
        <w:sectPr>
          <w:headerReference r:id="rId3" w:type="default"/>
          <w:footerReference r:id="rId4" w:type="default"/>
          <w:pgSz w:w="12242" w:h="15842"/>
          <w:pgMar w:top="1418" w:right="1752" w:bottom="1135" w:left="1418" w:header="737" w:footer="431" w:gutter="357"/>
          <w:pgNumType w:fmt="upperRoman" w:start="1"/>
          <w:cols w:space="425" w:num="1"/>
          <w:docGrid w:type="lines" w:linePitch="312" w:charSpace="0"/>
        </w:sectPr>
      </w:pPr>
    </w:p>
    <w:p>
      <w:pPr>
        <w:pStyle w:val="33"/>
        <w:numPr>
          <w:ilvl w:val="0"/>
          <w:numId w:val="5"/>
        </w:numPr>
      </w:pPr>
      <w:bookmarkStart w:id="3" w:name="_Toc109031535"/>
      <w:bookmarkStart w:id="4" w:name="_Toc95148164"/>
      <w:r>
        <w:rPr>
          <w:rFonts w:hint="eastAsia"/>
        </w:rPr>
        <w:t>项目名称</w:t>
      </w:r>
      <w:bookmarkEnd w:id="3"/>
      <w:bookmarkEnd w:id="4"/>
    </w:p>
    <w:p>
      <w:pPr>
        <w:pStyle w:val="34"/>
        <w:widowControl/>
        <w:ind w:firstLine="480"/>
        <w:rPr>
          <w:rFonts w:cs="宋体"/>
        </w:rPr>
      </w:pPr>
    </w:p>
    <w:p>
      <w:pPr>
        <w:pStyle w:val="34"/>
        <w:widowControl/>
        <w:ind w:firstLine="480"/>
        <w:rPr>
          <w:rFonts w:cs="宋体"/>
        </w:rPr>
      </w:pPr>
      <w:r>
        <w:rPr>
          <w:rFonts w:hint="eastAsia" w:cs="宋体"/>
        </w:rPr>
        <w:t>项目名称：</w:t>
      </w:r>
      <w:r>
        <w:rPr>
          <w:rFonts w:hint="eastAsia" w:cs="宋体"/>
          <w:b/>
        </w:rPr>
        <w:t>重汽汽车金融有限公司档案管理项目</w:t>
      </w:r>
    </w:p>
    <w:p>
      <w:pPr>
        <w:pStyle w:val="34"/>
        <w:widowControl/>
        <w:ind w:firstLine="480"/>
      </w:pPr>
      <w:r>
        <w:rPr>
          <w:rFonts w:hint="eastAsia" w:cs="宋体"/>
        </w:rPr>
        <w:t>重汽汽车金融有限公司（以下简称招标人）就重汽汽车金融有限公司档案管理项目进行招标，以“</w:t>
      </w:r>
      <w:r>
        <w:rPr>
          <w:rFonts w:hint="eastAsia" w:cs="宋体"/>
          <w:lang w:val="en-US" w:eastAsia="zh-CN"/>
        </w:rPr>
        <w:t>公开</w:t>
      </w:r>
      <w:r>
        <w:rPr>
          <w:rFonts w:hint="eastAsia" w:cs="宋体"/>
        </w:rPr>
        <w:t>招标”的形式</w:t>
      </w:r>
      <w:r>
        <w:rPr>
          <w:rFonts w:hint="eastAsia" w:cs="宋体"/>
          <w:lang w:val="en-US" w:eastAsia="zh-CN"/>
        </w:rPr>
        <w:t>筛选出</w:t>
      </w:r>
      <w:r>
        <w:rPr>
          <w:rFonts w:hint="eastAsia" w:cs="宋体"/>
        </w:rPr>
        <w:t>具有项目资质及承担能力的供应商。</w:t>
      </w:r>
    </w:p>
    <w:p>
      <w:pPr>
        <w:pStyle w:val="34"/>
        <w:widowControl/>
        <w:ind w:firstLine="480"/>
        <w:rPr>
          <w:rFonts w:cs="宋体"/>
        </w:rPr>
      </w:pPr>
    </w:p>
    <w:p>
      <w:pPr>
        <w:numPr>
          <w:ilvl w:val="255"/>
          <w:numId w:val="0"/>
        </w:numPr>
        <w:spacing w:line="520" w:lineRule="exact"/>
        <w:ind w:right="2"/>
        <w:rPr>
          <w:rFonts w:ascii="宋体" w:hAnsi="Courier New" w:eastAsia="宋体" w:cs="宋体"/>
          <w:sz w:val="24"/>
          <w:szCs w:val="22"/>
          <w:lang w:bidi="ar"/>
        </w:rPr>
      </w:pPr>
      <w:bookmarkStart w:id="5" w:name="_Toc265850587"/>
    </w:p>
    <w:p>
      <w:pPr>
        <w:widowControl/>
        <w:jc w:val="left"/>
        <w:rPr>
          <w:rFonts w:ascii="宋体" w:hAnsi="Courier New" w:eastAsia="宋体" w:cs="宋体"/>
          <w:sz w:val="24"/>
          <w:szCs w:val="22"/>
          <w:lang w:bidi="ar"/>
        </w:rPr>
      </w:pPr>
      <w:r>
        <w:rPr>
          <w:rFonts w:ascii="宋体" w:hAnsi="Courier New" w:eastAsia="宋体" w:cs="宋体"/>
          <w:sz w:val="24"/>
          <w:szCs w:val="22"/>
          <w:lang w:bidi="ar"/>
        </w:rPr>
        <w:br w:type="page"/>
      </w:r>
    </w:p>
    <w:p>
      <w:pPr>
        <w:pStyle w:val="33"/>
        <w:keepNext w:val="0"/>
        <w:widowControl/>
        <w:numPr>
          <w:ilvl w:val="0"/>
          <w:numId w:val="5"/>
        </w:numPr>
        <w:jc w:val="left"/>
        <w:rPr>
          <w:rFonts w:cs="宋体"/>
        </w:rPr>
      </w:pPr>
      <w:bookmarkStart w:id="6" w:name="_Toc74143824"/>
      <w:bookmarkStart w:id="7" w:name="_Toc109031536"/>
      <w:bookmarkStart w:id="8" w:name="_Toc50742879"/>
      <w:bookmarkStart w:id="9" w:name="_Toc95148165"/>
      <w:r>
        <w:rPr>
          <w:rFonts w:hint="eastAsia" w:cs="宋体"/>
        </w:rPr>
        <w:t>招标内容及形式</w:t>
      </w:r>
      <w:bookmarkEnd w:id="6"/>
      <w:bookmarkEnd w:id="7"/>
      <w:bookmarkEnd w:id="8"/>
      <w:bookmarkEnd w:id="9"/>
    </w:p>
    <w:p>
      <w:pPr>
        <w:pStyle w:val="63"/>
        <w:keepNext w:val="0"/>
        <w:widowControl/>
        <w:numPr>
          <w:ilvl w:val="1"/>
          <w:numId w:val="0"/>
        </w:numPr>
        <w:ind w:firstLine="480" w:firstLineChars="200"/>
        <w:rPr>
          <w:rFonts w:cs="宋体"/>
          <w:sz w:val="24"/>
          <w:szCs w:val="24"/>
        </w:rPr>
      </w:pPr>
      <w:bookmarkStart w:id="10" w:name="_Toc50742880"/>
      <w:bookmarkStart w:id="11" w:name="_Toc74143825"/>
      <w:bookmarkStart w:id="12" w:name="_Toc109031537"/>
      <w:bookmarkStart w:id="13" w:name="_Toc95148166"/>
      <w:r>
        <w:rPr>
          <w:rStyle w:val="64"/>
          <w:rFonts w:ascii="Calibri" w:hAnsi="Calibri"/>
          <w:b w:val="0"/>
          <w:bCs/>
          <w:sz w:val="24"/>
          <w:szCs w:val="24"/>
        </w:rPr>
        <w:t>2.1</w:t>
      </w:r>
      <w:r>
        <w:rPr>
          <w:rStyle w:val="64"/>
          <w:rFonts w:hint="eastAsia" w:ascii="Calibri" w:hAnsi="Calibri" w:cs="宋体"/>
          <w:b w:val="0"/>
          <w:bCs/>
          <w:sz w:val="24"/>
          <w:szCs w:val="24"/>
        </w:rPr>
        <w:t>招标内容</w:t>
      </w:r>
      <w:bookmarkEnd w:id="10"/>
      <w:r>
        <w:rPr>
          <w:rFonts w:ascii="Calibri Light" w:hAnsi="Calibri Light" w:eastAsia="Calibri Light"/>
          <w:sz w:val="24"/>
          <w:szCs w:val="24"/>
        </w:rPr>
        <w:t>-</w:t>
      </w:r>
      <w:bookmarkEnd w:id="11"/>
      <w:bookmarkEnd w:id="12"/>
      <w:bookmarkEnd w:id="13"/>
      <w:r>
        <w:rPr>
          <w:rFonts w:hint="eastAsia" w:ascii="宋体" w:hAnsi="宋体" w:cs="宋体"/>
          <w:sz w:val="24"/>
          <w:szCs w:val="24"/>
        </w:rPr>
        <w:t>重汽汽车金融有限公司档案管理项目</w:t>
      </w:r>
    </w:p>
    <w:p>
      <w:pPr>
        <w:pStyle w:val="63"/>
        <w:keepNext w:val="0"/>
        <w:widowControl/>
        <w:numPr>
          <w:ilvl w:val="1"/>
          <w:numId w:val="0"/>
        </w:numPr>
        <w:ind w:firstLine="480" w:firstLineChars="200"/>
        <w:rPr>
          <w:rFonts w:ascii="宋体" w:hAnsi="宋体" w:cs="宋体"/>
          <w:kern w:val="0"/>
          <w:sz w:val="24"/>
          <w:szCs w:val="24"/>
        </w:rPr>
      </w:pPr>
      <w:bookmarkStart w:id="14" w:name="_Toc50742881"/>
      <w:bookmarkStart w:id="15" w:name="_Toc74143826"/>
      <w:bookmarkStart w:id="16" w:name="_Toc109031538"/>
      <w:bookmarkStart w:id="17" w:name="_Toc95148167"/>
      <w:r>
        <w:rPr>
          <w:rStyle w:val="64"/>
          <w:rFonts w:ascii="Calibri" w:hAnsi="Calibri"/>
          <w:b w:val="0"/>
          <w:bCs/>
          <w:sz w:val="24"/>
          <w:szCs w:val="24"/>
        </w:rPr>
        <w:t>2.2</w:t>
      </w:r>
      <w:r>
        <w:rPr>
          <w:rStyle w:val="64"/>
          <w:rFonts w:hint="eastAsia" w:ascii="Calibri" w:hAnsi="Calibri" w:cs="宋体"/>
          <w:b w:val="0"/>
          <w:bCs/>
          <w:sz w:val="24"/>
          <w:szCs w:val="24"/>
        </w:rPr>
        <w:t>招标形式</w:t>
      </w:r>
      <w:bookmarkEnd w:id="14"/>
      <w:r>
        <w:rPr>
          <w:rFonts w:hint="eastAsia" w:ascii="宋体" w:hAnsi="宋体" w:cs="宋体"/>
          <w:kern w:val="0"/>
          <w:sz w:val="24"/>
          <w:szCs w:val="24"/>
        </w:rPr>
        <w:t>-</w:t>
      </w:r>
      <w:r>
        <w:rPr>
          <w:rFonts w:hint="eastAsia" w:ascii="宋体" w:hAnsi="宋体" w:cs="宋体"/>
          <w:sz w:val="24"/>
          <w:szCs w:val="24"/>
          <w:lang w:val="en-US" w:eastAsia="zh-CN"/>
        </w:rPr>
        <w:t>公开</w:t>
      </w:r>
      <w:r>
        <w:rPr>
          <w:rFonts w:hint="eastAsia" w:ascii="宋体" w:hAnsi="宋体" w:cs="宋体"/>
          <w:sz w:val="24"/>
          <w:szCs w:val="24"/>
        </w:rPr>
        <w:t>招标</w:t>
      </w:r>
      <w:bookmarkEnd w:id="15"/>
      <w:bookmarkEnd w:id="16"/>
      <w:bookmarkEnd w:id="17"/>
    </w:p>
    <w:p>
      <w:pPr>
        <w:pStyle w:val="63"/>
        <w:keepNext w:val="0"/>
        <w:widowControl/>
        <w:numPr>
          <w:ilvl w:val="1"/>
          <w:numId w:val="0"/>
        </w:numPr>
        <w:ind w:firstLine="480" w:firstLineChars="200"/>
        <w:rPr>
          <w:rStyle w:val="64"/>
          <w:rFonts w:ascii="Calibri" w:hAnsi="Calibri"/>
          <w:b w:val="0"/>
          <w:bCs/>
          <w:sz w:val="24"/>
          <w:szCs w:val="24"/>
          <w:highlight w:val="none"/>
        </w:rPr>
      </w:pPr>
      <w:bookmarkStart w:id="18" w:name="_Toc74143827"/>
      <w:bookmarkStart w:id="19" w:name="_Toc50742882"/>
      <w:bookmarkStart w:id="20" w:name="_Toc95148168"/>
      <w:bookmarkStart w:id="21" w:name="_Toc109031539"/>
      <w:r>
        <w:rPr>
          <w:rStyle w:val="64"/>
          <w:rFonts w:ascii="Calibri" w:hAnsi="Calibri"/>
          <w:b w:val="0"/>
          <w:bCs/>
          <w:sz w:val="24"/>
          <w:szCs w:val="24"/>
          <w:highlight w:val="none"/>
        </w:rPr>
        <w:t>2.3</w:t>
      </w:r>
      <w:r>
        <w:rPr>
          <w:rStyle w:val="64"/>
          <w:rFonts w:hint="eastAsia" w:ascii="Calibri" w:hAnsi="Calibri"/>
          <w:b w:val="0"/>
          <w:bCs/>
          <w:sz w:val="24"/>
          <w:szCs w:val="24"/>
          <w:highlight w:val="none"/>
        </w:rPr>
        <w:t>议程安排</w:t>
      </w:r>
      <w:bookmarkEnd w:id="18"/>
      <w:bookmarkEnd w:id="19"/>
      <w:bookmarkEnd w:id="20"/>
      <w:bookmarkEnd w:id="21"/>
    </w:p>
    <w:p>
      <w:pPr>
        <w:spacing w:line="360" w:lineRule="auto"/>
        <w:ind w:firstLine="480" w:firstLineChars="200"/>
        <w:rPr>
          <w:rFonts w:ascii="Times New Roman" w:hAnsi="Times New Roman" w:eastAsia="宋体" w:cs="宋体"/>
          <w:sz w:val="24"/>
          <w:szCs w:val="22"/>
          <w:highlight w:val="none"/>
        </w:rPr>
      </w:pPr>
      <w:r>
        <w:rPr>
          <w:rFonts w:hint="eastAsia" w:ascii="Times New Roman" w:hAnsi="Times New Roman" w:eastAsia="宋体" w:cs="宋体"/>
          <w:sz w:val="24"/>
          <w:szCs w:val="22"/>
          <w:highlight w:val="none"/>
        </w:rPr>
        <w:t>1、发标时间：</w:t>
      </w:r>
      <w:r>
        <w:rPr>
          <w:rFonts w:ascii="Times New Roman" w:hAnsi="Times New Roman" w:eastAsia="宋体" w:cs="宋体"/>
          <w:sz w:val="24"/>
          <w:szCs w:val="22"/>
          <w:highlight w:val="none"/>
        </w:rPr>
        <w:t>202</w:t>
      </w:r>
      <w:r>
        <w:rPr>
          <w:rFonts w:hint="eastAsia" w:ascii="Times New Roman" w:hAnsi="Times New Roman" w:eastAsia="宋体" w:cs="宋体"/>
          <w:sz w:val="24"/>
          <w:szCs w:val="22"/>
          <w:highlight w:val="none"/>
          <w:lang w:val="en-US" w:eastAsia="zh-CN"/>
        </w:rPr>
        <w:t>5</w:t>
      </w:r>
      <w:r>
        <w:rPr>
          <w:rFonts w:hint="eastAsia"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1</w:t>
      </w:r>
      <w:r>
        <w:rPr>
          <w:rFonts w:hint="eastAsia"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6</w:t>
      </w:r>
      <w:r>
        <w:rPr>
          <w:rFonts w:hint="eastAsia" w:ascii="Times New Roman" w:hAnsi="Times New Roman" w:eastAsia="宋体" w:cs="宋体"/>
          <w:sz w:val="24"/>
          <w:szCs w:val="22"/>
          <w:highlight w:val="none"/>
        </w:rPr>
        <w:t>日</w:t>
      </w:r>
    </w:p>
    <w:p>
      <w:pPr>
        <w:spacing w:line="360" w:lineRule="auto"/>
        <w:ind w:firstLine="480" w:firstLineChars="200"/>
        <w:rPr>
          <w:rFonts w:ascii="Times New Roman" w:hAnsi="Times New Roman" w:eastAsia="宋体" w:cs="宋体"/>
          <w:sz w:val="24"/>
          <w:szCs w:val="22"/>
          <w:highlight w:val="none"/>
        </w:rPr>
      </w:pPr>
      <w:r>
        <w:rPr>
          <w:rFonts w:hint="eastAsia" w:ascii="Times New Roman" w:hAnsi="Times New Roman" w:eastAsia="宋体" w:cs="宋体"/>
          <w:sz w:val="24"/>
          <w:szCs w:val="22"/>
          <w:highlight w:val="none"/>
        </w:rPr>
        <w:t>联 系 人：李菁  1</w:t>
      </w:r>
      <w:r>
        <w:rPr>
          <w:rFonts w:ascii="Times New Roman" w:hAnsi="Times New Roman" w:eastAsia="宋体" w:cs="宋体"/>
          <w:sz w:val="24"/>
          <w:szCs w:val="22"/>
          <w:highlight w:val="none"/>
        </w:rPr>
        <w:t>7805855686</w:t>
      </w:r>
    </w:p>
    <w:p>
      <w:pPr>
        <w:spacing w:line="360" w:lineRule="auto"/>
        <w:ind w:firstLine="480" w:firstLineChars="200"/>
        <w:rPr>
          <w:rFonts w:ascii="Times New Roman" w:hAnsi="Times New Roman" w:eastAsia="宋体" w:cs="宋体"/>
          <w:sz w:val="24"/>
          <w:szCs w:val="22"/>
          <w:highlight w:val="none"/>
        </w:rPr>
      </w:pPr>
      <w:r>
        <w:rPr>
          <w:rFonts w:ascii="Times New Roman" w:hAnsi="Times New Roman" w:eastAsia="宋体" w:cs="宋体"/>
          <w:sz w:val="24"/>
          <w:szCs w:val="22"/>
          <w:highlight w:val="none"/>
        </w:rPr>
        <w:t>2</w:t>
      </w:r>
      <w:r>
        <w:rPr>
          <w:rFonts w:hint="eastAsia" w:ascii="Times New Roman" w:hAnsi="Times New Roman" w:eastAsia="宋体" w:cs="宋体"/>
          <w:sz w:val="24"/>
          <w:szCs w:val="22"/>
          <w:highlight w:val="none"/>
        </w:rPr>
        <w:t>、投标报名截止时间：</w:t>
      </w:r>
      <w:r>
        <w:rPr>
          <w:rFonts w:ascii="Times New Roman" w:hAnsi="Times New Roman" w:eastAsia="宋体" w:cs="宋体"/>
          <w:sz w:val="24"/>
          <w:szCs w:val="22"/>
          <w:highlight w:val="none"/>
        </w:rPr>
        <w:t>202</w:t>
      </w:r>
      <w:r>
        <w:rPr>
          <w:rFonts w:hint="eastAsia" w:ascii="Times New Roman" w:hAnsi="Times New Roman" w:eastAsia="宋体" w:cs="宋体"/>
          <w:sz w:val="24"/>
          <w:szCs w:val="22"/>
          <w:highlight w:val="none"/>
          <w:lang w:val="en-US" w:eastAsia="zh-CN"/>
        </w:rPr>
        <w:t>5</w:t>
      </w:r>
      <w:r>
        <w:rPr>
          <w:rFonts w:hint="eastAsia" w:ascii="Times New Roman" w:hAnsi="Times New Roman" w:eastAsia="宋体" w:cs="宋体"/>
          <w:sz w:val="24"/>
          <w:szCs w:val="22"/>
          <w:highlight w:val="none"/>
        </w:rPr>
        <w:t>年</w:t>
      </w:r>
      <w:r>
        <w:rPr>
          <w:rFonts w:hint="eastAsia" w:ascii="Times New Roman" w:hAnsi="Times New Roman" w:eastAsia="宋体" w:cs="宋体"/>
          <w:sz w:val="24"/>
          <w:szCs w:val="22"/>
          <w:highlight w:val="none"/>
          <w:lang w:val="en-US" w:eastAsia="zh-CN"/>
        </w:rPr>
        <w:t>1</w:t>
      </w:r>
      <w:r>
        <w:rPr>
          <w:rFonts w:hint="eastAsia" w:ascii="Times New Roman" w:hAnsi="Times New Roman" w:eastAsia="宋体" w:cs="宋体"/>
          <w:sz w:val="24"/>
          <w:szCs w:val="22"/>
          <w:highlight w:val="none"/>
        </w:rPr>
        <w:t>月</w:t>
      </w:r>
      <w:r>
        <w:rPr>
          <w:rFonts w:hint="eastAsia" w:ascii="Times New Roman" w:hAnsi="Times New Roman" w:eastAsia="宋体" w:cs="宋体"/>
          <w:sz w:val="24"/>
          <w:szCs w:val="22"/>
          <w:highlight w:val="none"/>
          <w:lang w:val="en-US" w:eastAsia="zh-CN"/>
        </w:rPr>
        <w:t>20</w:t>
      </w:r>
      <w:r>
        <w:rPr>
          <w:rFonts w:hint="eastAsia" w:ascii="Times New Roman" w:hAnsi="Times New Roman" w:eastAsia="宋体" w:cs="宋体"/>
          <w:sz w:val="24"/>
          <w:szCs w:val="22"/>
          <w:highlight w:val="none"/>
        </w:rPr>
        <w:t>日</w:t>
      </w:r>
      <w:r>
        <w:rPr>
          <w:rFonts w:hint="eastAsia" w:ascii="Times New Roman" w:hAnsi="Times New Roman" w:eastAsia="宋体" w:cs="宋体"/>
          <w:sz w:val="24"/>
          <w:szCs w:val="22"/>
          <w:highlight w:val="none"/>
          <w:lang w:val="en-US" w:eastAsia="zh-CN"/>
        </w:rPr>
        <w:t>上午9</w:t>
      </w:r>
      <w:r>
        <w:rPr>
          <w:rFonts w:hint="eastAsia" w:ascii="Times New Roman" w:hAnsi="Times New Roman" w:eastAsia="宋体" w:cs="宋体"/>
          <w:sz w:val="24"/>
          <w:szCs w:val="22"/>
          <w:highlight w:val="none"/>
        </w:rPr>
        <w:t>点前，逾期不受理。</w:t>
      </w:r>
    </w:p>
    <w:p>
      <w:pPr>
        <w:spacing w:line="360" w:lineRule="auto"/>
        <w:ind w:left="420" w:leftChars="200" w:firstLine="480" w:firstLineChars="200"/>
        <w:rPr>
          <w:rFonts w:ascii="Times New Roman" w:hAnsi="Times New Roman" w:eastAsia="宋体" w:cs="宋体"/>
          <w:sz w:val="24"/>
          <w:szCs w:val="22"/>
        </w:rPr>
      </w:pPr>
      <w:r>
        <w:rPr>
          <w:rFonts w:hint="eastAsia" w:ascii="Times New Roman" w:hAnsi="Times New Roman" w:eastAsia="宋体" w:cs="宋体"/>
          <w:sz w:val="24"/>
          <w:szCs w:val="22"/>
        </w:rPr>
        <w:t>报名方式：将附件8填写完毕后，加盖公章，扫描成PDF发送至lijing</w:t>
      </w:r>
      <w:r>
        <w:rPr>
          <w:rFonts w:ascii="Times New Roman" w:hAnsi="Times New Roman" w:eastAsia="宋体" w:cs="宋体"/>
          <w:sz w:val="24"/>
          <w:szCs w:val="22"/>
        </w:rPr>
        <w:t>2</w:t>
      </w:r>
      <w:r>
        <w:rPr>
          <w:rFonts w:hint="eastAsia" w:ascii="Times New Roman" w:hAnsi="Times New Roman" w:eastAsia="宋体" w:cs="宋体"/>
          <w:sz w:val="24"/>
          <w:szCs w:val="22"/>
        </w:rPr>
        <w:t>@sinotruk.com，并电话确认。</w:t>
      </w:r>
    </w:p>
    <w:p>
      <w:pPr>
        <w:spacing w:line="360" w:lineRule="auto"/>
        <w:ind w:firstLine="735"/>
        <w:rPr>
          <w:rFonts w:ascii="Times New Roman" w:hAnsi="Times New Roman" w:eastAsia="宋体" w:cs="宋体"/>
          <w:sz w:val="24"/>
          <w:szCs w:val="22"/>
        </w:rPr>
      </w:pPr>
      <w:r>
        <w:rPr>
          <w:rFonts w:hint="eastAsia" w:ascii="Times New Roman" w:hAnsi="Times New Roman" w:eastAsia="宋体" w:cs="宋体"/>
          <w:sz w:val="24"/>
          <w:szCs w:val="22"/>
        </w:rPr>
        <w:t>联 系 人：李菁  1</w:t>
      </w:r>
      <w:r>
        <w:rPr>
          <w:rFonts w:ascii="Times New Roman" w:hAnsi="Times New Roman" w:eastAsia="宋体" w:cs="宋体"/>
          <w:sz w:val="24"/>
          <w:szCs w:val="22"/>
        </w:rPr>
        <w:t>7805855686</w:t>
      </w:r>
    </w:p>
    <w:p>
      <w:pPr>
        <w:spacing w:line="360" w:lineRule="auto"/>
        <w:ind w:firstLine="480" w:firstLineChars="200"/>
        <w:rPr>
          <w:rFonts w:ascii="Times New Roman" w:hAnsi="Times New Roman" w:eastAsia="宋体" w:cs="宋体"/>
          <w:b/>
          <w:bCs/>
          <w:sz w:val="24"/>
          <w:szCs w:val="22"/>
        </w:rPr>
      </w:pPr>
      <w:r>
        <w:rPr>
          <w:rFonts w:ascii="Times New Roman" w:hAnsi="Times New Roman" w:eastAsia="宋体" w:cs="宋体"/>
          <w:sz w:val="24"/>
          <w:szCs w:val="22"/>
        </w:rPr>
        <w:t>3</w:t>
      </w:r>
      <w:r>
        <w:rPr>
          <w:rFonts w:hint="eastAsia" w:ascii="Times New Roman" w:hAnsi="Times New Roman" w:eastAsia="宋体" w:cs="宋体"/>
          <w:sz w:val="24"/>
          <w:szCs w:val="22"/>
        </w:rPr>
        <w:t>、开标时间：暂定</w:t>
      </w:r>
      <w:r>
        <w:rPr>
          <w:rFonts w:ascii="Times New Roman" w:hAnsi="Times New Roman" w:eastAsia="宋体" w:cs="宋体"/>
          <w:sz w:val="24"/>
          <w:szCs w:val="22"/>
        </w:rPr>
        <w:t>202</w:t>
      </w:r>
      <w:r>
        <w:rPr>
          <w:rFonts w:hint="eastAsia" w:ascii="Times New Roman" w:hAnsi="Times New Roman" w:eastAsia="宋体" w:cs="宋体"/>
          <w:sz w:val="24"/>
          <w:szCs w:val="22"/>
          <w:lang w:val="en-US" w:eastAsia="zh-CN"/>
        </w:rPr>
        <w:t>5</w:t>
      </w:r>
      <w:r>
        <w:rPr>
          <w:rFonts w:hint="eastAsia" w:ascii="Times New Roman" w:hAnsi="Times New Roman" w:eastAsia="宋体" w:cs="宋体"/>
          <w:sz w:val="24"/>
          <w:szCs w:val="22"/>
        </w:rPr>
        <w:t>年</w:t>
      </w:r>
      <w:r>
        <w:rPr>
          <w:rFonts w:hint="eastAsia" w:ascii="Times New Roman" w:hAnsi="Times New Roman" w:eastAsia="宋体" w:cs="宋体"/>
          <w:sz w:val="24"/>
          <w:szCs w:val="22"/>
          <w:lang w:val="en-US" w:eastAsia="zh-CN"/>
        </w:rPr>
        <w:t>1</w:t>
      </w:r>
      <w:r>
        <w:rPr>
          <w:rFonts w:hint="eastAsia" w:ascii="Times New Roman" w:hAnsi="Times New Roman" w:eastAsia="宋体" w:cs="宋体"/>
          <w:sz w:val="24"/>
          <w:szCs w:val="22"/>
        </w:rPr>
        <w:t>月</w:t>
      </w:r>
      <w:r>
        <w:rPr>
          <w:rFonts w:hint="eastAsia" w:ascii="Times New Roman" w:hAnsi="Times New Roman" w:eastAsia="宋体" w:cs="宋体"/>
          <w:sz w:val="24"/>
          <w:szCs w:val="22"/>
          <w:lang w:val="en-US" w:eastAsia="zh-CN"/>
        </w:rPr>
        <w:t>20</w:t>
      </w:r>
      <w:r>
        <w:rPr>
          <w:rFonts w:hint="eastAsia" w:ascii="Times New Roman" w:hAnsi="Times New Roman" w:eastAsia="宋体" w:cs="宋体"/>
          <w:sz w:val="24"/>
          <w:szCs w:val="22"/>
        </w:rPr>
        <w:t>日</w:t>
      </w:r>
      <w:r>
        <w:rPr>
          <w:rFonts w:hint="eastAsia" w:ascii="Times New Roman" w:hAnsi="Times New Roman" w:eastAsia="宋体" w:cs="宋体"/>
          <w:sz w:val="24"/>
          <w:szCs w:val="22"/>
          <w:lang w:val="en-US" w:eastAsia="zh-CN"/>
        </w:rPr>
        <w:t>9</w:t>
      </w:r>
      <w:r>
        <w:rPr>
          <w:rFonts w:hint="eastAsia" w:ascii="Times New Roman" w:hAnsi="Times New Roman" w:eastAsia="宋体" w:cs="宋体"/>
          <w:sz w:val="24"/>
          <w:szCs w:val="22"/>
        </w:rPr>
        <w:t>时</w:t>
      </w:r>
      <w:r>
        <w:rPr>
          <w:rFonts w:ascii="Times New Roman" w:hAnsi="Times New Roman" w:eastAsia="宋体" w:cs="宋体"/>
          <w:sz w:val="24"/>
          <w:szCs w:val="22"/>
        </w:rPr>
        <w:t>0</w:t>
      </w:r>
      <w:r>
        <w:rPr>
          <w:rFonts w:hint="eastAsia" w:ascii="Times New Roman" w:hAnsi="Times New Roman" w:eastAsia="宋体" w:cs="宋体"/>
          <w:sz w:val="24"/>
          <w:szCs w:val="22"/>
        </w:rPr>
        <w:t>0分，若有变动另行通知。</w:t>
      </w:r>
    </w:p>
    <w:p>
      <w:pPr>
        <w:spacing w:line="360" w:lineRule="auto"/>
        <w:ind w:firstLine="735"/>
        <w:rPr>
          <w:rFonts w:hint="default" w:ascii="Times New Roman" w:hAnsi="Times New Roman" w:eastAsia="宋体" w:cs="宋体"/>
          <w:sz w:val="24"/>
          <w:szCs w:val="22"/>
          <w:lang w:val="en-US" w:eastAsia="zh-CN"/>
        </w:rPr>
      </w:pPr>
      <w:r>
        <w:rPr>
          <w:rFonts w:hint="eastAsia" w:ascii="Times New Roman" w:hAnsi="Times New Roman" w:eastAsia="宋体" w:cs="宋体"/>
          <w:sz w:val="24"/>
          <w:szCs w:val="22"/>
        </w:rPr>
        <w:t xml:space="preserve">投标地点：  </w:t>
      </w:r>
      <w:bookmarkStart w:id="22" w:name="OLE_LINK2"/>
      <w:bookmarkStart w:id="23" w:name="OLE_LINK3"/>
      <w:r>
        <w:rPr>
          <w:rFonts w:hint="eastAsia" w:ascii="Times New Roman" w:hAnsi="Times New Roman" w:eastAsia="宋体" w:cs="宋体"/>
          <w:sz w:val="24"/>
          <w:szCs w:val="22"/>
        </w:rPr>
        <w:t>重汽科技大厦</w:t>
      </w:r>
      <w:r>
        <w:rPr>
          <w:rFonts w:hint="eastAsia" w:ascii="Times New Roman" w:hAnsi="Times New Roman" w:eastAsia="宋体" w:cs="宋体"/>
          <w:sz w:val="24"/>
          <w:szCs w:val="22"/>
          <w:lang w:val="en-US" w:eastAsia="zh-CN"/>
        </w:rPr>
        <w:t>3</w:t>
      </w:r>
      <w:r>
        <w:rPr>
          <w:rFonts w:hint="eastAsia" w:ascii="Times New Roman" w:hAnsi="Times New Roman" w:eastAsia="宋体" w:cs="宋体"/>
          <w:sz w:val="24"/>
          <w:szCs w:val="22"/>
        </w:rPr>
        <w:t>楼</w:t>
      </w:r>
      <w:bookmarkEnd w:id="22"/>
      <w:bookmarkEnd w:id="23"/>
      <w:r>
        <w:rPr>
          <w:rFonts w:hint="eastAsia" w:ascii="Times New Roman" w:hAnsi="Times New Roman" w:eastAsia="宋体" w:cs="宋体"/>
          <w:sz w:val="24"/>
          <w:szCs w:val="22"/>
          <w:lang w:val="en-US" w:eastAsia="zh-CN"/>
        </w:rPr>
        <w:t>312</w:t>
      </w:r>
    </w:p>
    <w:p>
      <w:pPr>
        <w:spacing w:line="360" w:lineRule="auto"/>
        <w:ind w:left="1890" w:hanging="1890" w:hangingChars="900"/>
        <w:rPr>
          <w:rFonts w:ascii="宋体" w:hAnsi="宋体"/>
          <w:szCs w:val="20"/>
        </w:rPr>
      </w:pPr>
      <w:r>
        <w:rPr>
          <w:rFonts w:hint="eastAsia" w:ascii="宋体" w:hAnsi="Courier New" w:eastAsia="宋体" w:cs="宋体"/>
          <w:szCs w:val="20"/>
          <w:lang w:bidi="ar"/>
        </w:rPr>
        <w:t xml:space="preserve">       </w:t>
      </w:r>
      <w:r>
        <w:rPr>
          <w:rFonts w:ascii="宋体" w:hAnsi="宋体"/>
          <w:szCs w:val="20"/>
        </w:rPr>
        <w:t xml:space="preserve"> </w:t>
      </w:r>
      <w:r>
        <w:rPr>
          <w:rFonts w:hint="eastAsia" w:ascii="宋体" w:hAnsi="宋体"/>
          <w:szCs w:val="20"/>
        </w:rPr>
        <w:t xml:space="preserve"> </w:t>
      </w:r>
    </w:p>
    <w:p>
      <w:pPr>
        <w:pStyle w:val="33"/>
        <w:keepNext w:val="0"/>
        <w:widowControl/>
        <w:numPr>
          <w:ilvl w:val="0"/>
          <w:numId w:val="5"/>
        </w:numPr>
        <w:rPr>
          <w:rFonts w:cs="宋体"/>
        </w:rPr>
      </w:pPr>
      <w:bookmarkStart w:id="24" w:name="_Toc95148169"/>
      <w:bookmarkStart w:id="25" w:name="_Toc74143828"/>
      <w:bookmarkStart w:id="26" w:name="_Toc109031540"/>
      <w:bookmarkStart w:id="27" w:name="_Toc50742883"/>
      <w:r>
        <w:rPr>
          <w:rFonts w:hint="eastAsia" w:cs="宋体"/>
        </w:rPr>
        <w:t>有关说明</w:t>
      </w:r>
      <w:bookmarkEnd w:id="24"/>
      <w:bookmarkEnd w:id="25"/>
      <w:bookmarkEnd w:id="26"/>
      <w:bookmarkEnd w:id="27"/>
    </w:p>
    <w:p>
      <w:pPr>
        <w:pStyle w:val="63"/>
        <w:numPr>
          <w:ilvl w:val="1"/>
          <w:numId w:val="5"/>
        </w:numPr>
      </w:pPr>
      <w:bookmarkStart w:id="28" w:name="_Toc50742884"/>
      <w:bookmarkStart w:id="29" w:name="_Toc109031541"/>
      <w:bookmarkStart w:id="30" w:name="_Toc270497415"/>
      <w:bookmarkStart w:id="31" w:name="_Toc74143829"/>
      <w:bookmarkStart w:id="32" w:name="_Toc95148170"/>
      <w:r>
        <w:rPr>
          <w:rFonts w:hint="eastAsia"/>
        </w:rPr>
        <w:t>总则</w:t>
      </w:r>
      <w:bookmarkEnd w:id="28"/>
      <w:bookmarkEnd w:id="29"/>
      <w:bookmarkEnd w:id="30"/>
      <w:bookmarkEnd w:id="31"/>
      <w:bookmarkEnd w:id="32"/>
    </w:p>
    <w:p>
      <w:pPr>
        <w:pStyle w:val="34"/>
        <w:widowControl/>
        <w:ind w:firstLine="480"/>
      </w:pPr>
      <w:r>
        <w:rPr>
          <w:rFonts w:hint="eastAsia" w:cs="宋体"/>
        </w:rPr>
        <w:t>根据《中华人民共和国招标投标法》及《民法典》相关规定，经中国重型汽车集团有限公司批准，现对</w:t>
      </w:r>
      <w:r>
        <w:rPr>
          <w:rFonts w:hint="eastAsia" w:ascii="宋体" w:hAnsi="宋体" w:cs="宋体"/>
          <w:b/>
          <w:szCs w:val="24"/>
        </w:rPr>
        <w:t>重汽汽车金融有限公司档案管理项目</w:t>
      </w:r>
      <w:r>
        <w:rPr>
          <w:rFonts w:hint="eastAsia" w:cs="宋体"/>
        </w:rPr>
        <w:t>进行招标。</w:t>
      </w:r>
    </w:p>
    <w:p>
      <w:pPr>
        <w:pStyle w:val="63"/>
        <w:numPr>
          <w:ilvl w:val="1"/>
          <w:numId w:val="5"/>
        </w:numPr>
      </w:pPr>
      <w:bookmarkStart w:id="33" w:name="_Toc95148171"/>
      <w:bookmarkStart w:id="34" w:name="_Toc74143830"/>
      <w:bookmarkStart w:id="35" w:name="_Toc50742885"/>
      <w:bookmarkStart w:id="36" w:name="_Toc109031542"/>
      <w:r>
        <w:rPr>
          <w:rFonts w:hint="eastAsia"/>
        </w:rPr>
        <w:t>定义</w:t>
      </w:r>
      <w:bookmarkEnd w:id="33"/>
      <w:bookmarkEnd w:id="34"/>
      <w:bookmarkEnd w:id="35"/>
      <w:bookmarkEnd w:id="36"/>
    </w:p>
    <w:p>
      <w:pPr>
        <w:pStyle w:val="35"/>
        <w:widowControl/>
        <w:numPr>
          <w:ilvl w:val="0"/>
          <w:numId w:val="6"/>
        </w:numPr>
      </w:pPr>
      <w:r>
        <w:rPr>
          <w:rFonts w:hint="eastAsia" w:cs="宋体"/>
        </w:rPr>
        <w:t>招标人：重汽汽车金融有限公司</w:t>
      </w:r>
    </w:p>
    <w:p>
      <w:pPr>
        <w:pStyle w:val="35"/>
        <w:widowControl/>
        <w:numPr>
          <w:ilvl w:val="0"/>
          <w:numId w:val="6"/>
        </w:numPr>
      </w:pPr>
      <w:r>
        <w:rPr>
          <w:rFonts w:hint="eastAsia" w:cs="宋体"/>
        </w:rPr>
        <w:t>投标人：由招标人认可的符合投标资格</w:t>
      </w:r>
      <w:bookmarkStart w:id="172" w:name="_GoBack"/>
      <w:bookmarkEnd w:id="172"/>
      <w:r>
        <w:rPr>
          <w:rFonts w:hint="eastAsia" w:cs="宋体"/>
        </w:rPr>
        <w:t>的参加本项目投标的供应商</w:t>
      </w:r>
    </w:p>
    <w:p>
      <w:pPr>
        <w:pStyle w:val="35"/>
        <w:widowControl/>
        <w:numPr>
          <w:ilvl w:val="0"/>
          <w:numId w:val="6"/>
        </w:numPr>
      </w:pPr>
      <w:bookmarkStart w:id="37" w:name="_Toc270497418"/>
      <w:r>
        <w:rPr>
          <w:rFonts w:hint="eastAsia" w:cs="宋体"/>
        </w:rPr>
        <w:t>产品：指投标人为本项目提供的服务及项目交付物</w:t>
      </w:r>
    </w:p>
    <w:p>
      <w:pPr>
        <w:pStyle w:val="35"/>
        <w:widowControl/>
        <w:numPr>
          <w:ilvl w:val="0"/>
          <w:numId w:val="6"/>
        </w:numPr>
      </w:pPr>
      <w:r>
        <w:rPr>
          <w:rFonts w:hint="eastAsia" w:cs="宋体"/>
        </w:rPr>
        <w:t>招标方式</w:t>
      </w:r>
      <w:bookmarkEnd w:id="37"/>
      <w:r>
        <w:rPr>
          <w:rFonts w:hint="eastAsia" w:cs="宋体"/>
        </w:rPr>
        <w:t>：本项目采用“</w:t>
      </w:r>
      <w:r>
        <w:rPr>
          <w:rFonts w:hint="eastAsia" w:cs="宋体"/>
          <w:szCs w:val="24"/>
          <w:lang w:val="en-US" w:eastAsia="zh-CN"/>
        </w:rPr>
        <w:t>公开</w:t>
      </w:r>
      <w:r>
        <w:rPr>
          <w:rFonts w:hint="eastAsia" w:cs="宋体"/>
          <w:szCs w:val="24"/>
        </w:rPr>
        <w:t>招标”</w:t>
      </w:r>
      <w:r>
        <w:rPr>
          <w:rFonts w:hint="eastAsia" w:cs="宋体"/>
        </w:rPr>
        <w:t>方式</w:t>
      </w:r>
    </w:p>
    <w:p>
      <w:pPr>
        <w:pStyle w:val="63"/>
        <w:numPr>
          <w:ilvl w:val="1"/>
          <w:numId w:val="5"/>
        </w:numPr>
      </w:pPr>
      <w:bookmarkStart w:id="38" w:name="_Toc50742886"/>
      <w:bookmarkStart w:id="39" w:name="_Toc109031543"/>
      <w:bookmarkStart w:id="40" w:name="_Toc270497419"/>
      <w:bookmarkStart w:id="41" w:name="_Toc74143831"/>
      <w:bookmarkStart w:id="42" w:name="_Toc95148172"/>
      <w:r>
        <w:rPr>
          <w:rFonts w:hint="eastAsia"/>
        </w:rPr>
        <w:t>项目实施方式</w:t>
      </w:r>
      <w:bookmarkEnd w:id="38"/>
      <w:bookmarkEnd w:id="39"/>
      <w:bookmarkEnd w:id="40"/>
      <w:bookmarkEnd w:id="41"/>
      <w:bookmarkEnd w:id="42"/>
    </w:p>
    <w:p>
      <w:pPr>
        <w:pStyle w:val="34"/>
        <w:widowControl/>
        <w:adjustRightInd w:val="0"/>
        <w:snapToGrid w:val="0"/>
        <w:spacing w:line="300" w:lineRule="auto"/>
        <w:ind w:left="-105" w:leftChars="-50" w:firstLine="444" w:firstLineChars="185"/>
        <w:rPr>
          <w:szCs w:val="24"/>
        </w:rPr>
      </w:pPr>
      <w:r>
        <w:rPr>
          <w:rFonts w:hint="eastAsia" w:cs="宋体"/>
          <w:szCs w:val="24"/>
        </w:rPr>
        <w:t>本项目由</w:t>
      </w:r>
      <w:r>
        <w:rPr>
          <w:rFonts w:hint="eastAsia" w:cs="宋体"/>
          <w:color w:val="000000" w:themeColor="text1"/>
          <w:szCs w:val="24"/>
          <w14:textFill>
            <w14:solidFill>
              <w14:schemeClr w14:val="tx1"/>
            </w14:solidFill>
          </w14:textFill>
        </w:rPr>
        <w:t>单一供方</w:t>
      </w:r>
      <w:r>
        <w:rPr>
          <w:rFonts w:hint="eastAsia" w:cs="宋体"/>
          <w:szCs w:val="24"/>
        </w:rPr>
        <w:t>直接投标，不得联合投标。未经招标方许可，不得以任何形式进行转包、分包。</w:t>
      </w:r>
    </w:p>
    <w:p>
      <w:pPr>
        <w:pStyle w:val="63"/>
        <w:numPr>
          <w:ilvl w:val="1"/>
          <w:numId w:val="5"/>
        </w:numPr>
      </w:pPr>
      <w:bookmarkStart w:id="43" w:name="_Toc50742887"/>
      <w:bookmarkStart w:id="44" w:name="_Toc265850577"/>
      <w:bookmarkStart w:id="45" w:name="_Toc109031544"/>
      <w:bookmarkStart w:id="46" w:name="_Toc234922352"/>
      <w:bookmarkStart w:id="47" w:name="_Toc95148173"/>
      <w:bookmarkStart w:id="48" w:name="_Toc264881857"/>
      <w:bookmarkStart w:id="49" w:name="_Toc74143832"/>
      <w:r>
        <w:rPr>
          <w:rFonts w:hint="eastAsia"/>
        </w:rPr>
        <w:t>投标人须知</w:t>
      </w:r>
      <w:bookmarkEnd w:id="43"/>
      <w:bookmarkEnd w:id="44"/>
      <w:bookmarkEnd w:id="45"/>
      <w:bookmarkEnd w:id="46"/>
      <w:bookmarkEnd w:id="47"/>
      <w:bookmarkEnd w:id="48"/>
      <w:bookmarkEnd w:id="49"/>
    </w:p>
    <w:p>
      <w:pPr>
        <w:pStyle w:val="35"/>
        <w:widowControl/>
        <w:numPr>
          <w:ilvl w:val="0"/>
          <w:numId w:val="7"/>
        </w:numPr>
      </w:pPr>
      <w:r>
        <w:rPr>
          <w:rFonts w:hint="eastAsia" w:cs="宋体"/>
        </w:rPr>
        <w:t>投标人须确保遵守国家规定的各种有关投标的规定、法规、法律文件等。</w:t>
      </w:r>
    </w:p>
    <w:p>
      <w:pPr>
        <w:pStyle w:val="35"/>
        <w:widowControl/>
        <w:numPr>
          <w:ilvl w:val="0"/>
          <w:numId w:val="7"/>
        </w:numPr>
      </w:pPr>
      <w:r>
        <w:rPr>
          <w:rFonts w:hint="eastAsia" w:cs="宋体"/>
        </w:rPr>
        <w:t>投标人须确保具有良好的商业信誉和诚实的职业道德。</w:t>
      </w:r>
    </w:p>
    <w:p>
      <w:pPr>
        <w:pStyle w:val="35"/>
        <w:widowControl/>
        <w:numPr>
          <w:ilvl w:val="0"/>
          <w:numId w:val="7"/>
        </w:numPr>
      </w:pPr>
      <w:r>
        <w:rPr>
          <w:rFonts w:hint="eastAsia" w:cs="宋体"/>
        </w:rPr>
        <w:t>投标人应仔细阅读并理解招标文件的全部内容，并做出实质性响应。</w:t>
      </w:r>
    </w:p>
    <w:p>
      <w:pPr>
        <w:pStyle w:val="35"/>
        <w:widowControl/>
        <w:numPr>
          <w:ilvl w:val="0"/>
          <w:numId w:val="7"/>
        </w:numPr>
      </w:pPr>
      <w:r>
        <w:rPr>
          <w:rFonts w:hint="eastAsia" w:cs="宋体"/>
        </w:rPr>
        <w:t>投标人须确保项目提供的服务及项目交付物能满足招标文件的要求。</w:t>
      </w:r>
    </w:p>
    <w:p>
      <w:pPr>
        <w:pStyle w:val="35"/>
        <w:widowControl/>
        <w:numPr>
          <w:ilvl w:val="0"/>
          <w:numId w:val="7"/>
        </w:numPr>
      </w:pPr>
      <w:r>
        <w:rPr>
          <w:rFonts w:hint="eastAsia" w:cs="宋体"/>
        </w:rPr>
        <w:t>投标人应当按照招标文件规定的内容和要求编制投标文件。</w:t>
      </w:r>
    </w:p>
    <w:p>
      <w:pPr>
        <w:pStyle w:val="35"/>
        <w:widowControl/>
        <w:numPr>
          <w:ilvl w:val="0"/>
          <w:numId w:val="7"/>
        </w:numPr>
      </w:pPr>
      <w:r>
        <w:rPr>
          <w:rFonts w:hint="eastAsia" w:cs="宋体"/>
        </w:rPr>
        <w:t>投标人须确保有能力在规定期限内完成招标文件规定的全部内容。</w:t>
      </w:r>
    </w:p>
    <w:p>
      <w:pPr>
        <w:pStyle w:val="35"/>
        <w:widowControl/>
        <w:numPr>
          <w:ilvl w:val="0"/>
          <w:numId w:val="7"/>
        </w:numPr>
      </w:pPr>
      <w:r>
        <w:rPr>
          <w:rFonts w:hint="eastAsia" w:cs="宋体"/>
        </w:rPr>
        <w:t>投标人在收到招标文件后，如有疑问，应以书面形式向招标人提出，招标人将以书面形式予以答复，但不说明答复的来源。</w:t>
      </w:r>
    </w:p>
    <w:p>
      <w:pPr>
        <w:pStyle w:val="35"/>
        <w:widowControl/>
        <w:numPr>
          <w:ilvl w:val="0"/>
          <w:numId w:val="7"/>
        </w:numPr>
      </w:pPr>
      <w:r>
        <w:rPr>
          <w:rFonts w:hint="eastAsia" w:cs="宋体"/>
        </w:rPr>
        <w:t>在投标截止日期前，招标人都可能会以补充通知的方式修改招标文件。</w:t>
      </w:r>
    </w:p>
    <w:p>
      <w:pPr>
        <w:pStyle w:val="35"/>
        <w:widowControl/>
        <w:numPr>
          <w:ilvl w:val="0"/>
          <w:numId w:val="7"/>
        </w:numPr>
      </w:pPr>
      <w:r>
        <w:rPr>
          <w:rFonts w:hint="eastAsia" w:cs="宋体"/>
        </w:rPr>
        <w:t>无论投标结果如何，投标人应承担编制投标文件、递交投标文件、考察等所涉及的一切费用。</w:t>
      </w:r>
    </w:p>
    <w:p>
      <w:pPr>
        <w:pStyle w:val="35"/>
        <w:widowControl/>
        <w:numPr>
          <w:ilvl w:val="0"/>
          <w:numId w:val="7"/>
        </w:numPr>
        <w:tabs>
          <w:tab w:val="left" w:pos="851"/>
        </w:tabs>
        <w:wordWrap w:val="0"/>
        <w:topLinePunct/>
        <w:ind w:left="0" w:firstLine="0"/>
        <w:rPr>
          <w:rFonts w:cs="宋体"/>
        </w:rPr>
      </w:pPr>
      <w:r>
        <w:rPr>
          <w:rFonts w:hint="eastAsia" w:cs="宋体"/>
        </w:rPr>
        <w:t>招标人对未中标者不作任何解释。</w:t>
      </w:r>
    </w:p>
    <w:p>
      <w:pPr>
        <w:pStyle w:val="35"/>
        <w:widowControl/>
        <w:numPr>
          <w:ilvl w:val="0"/>
          <w:numId w:val="7"/>
        </w:numPr>
      </w:pPr>
      <w:r>
        <w:rPr>
          <w:rFonts w:hint="eastAsia" w:cs="宋体"/>
        </w:rPr>
        <w:t>如投标方代表不是法人代表，须持有盖有法人单位公章的《法人代表授权书》。</w:t>
      </w:r>
    </w:p>
    <w:p>
      <w:pPr>
        <w:pStyle w:val="35"/>
        <w:widowControl/>
        <w:numPr>
          <w:ilvl w:val="0"/>
          <w:numId w:val="7"/>
        </w:numPr>
        <w:rPr>
          <w:b/>
          <w:bCs/>
        </w:rPr>
      </w:pPr>
      <w:r>
        <w:rPr>
          <w:rFonts w:hint="eastAsia" w:cs="宋体"/>
          <w:b/>
          <w:bCs/>
        </w:rPr>
        <w:t>讲标方案需存储在</w:t>
      </w:r>
      <w:r>
        <w:rPr>
          <w:rFonts w:cs="宋体"/>
          <w:b/>
          <w:bCs/>
        </w:rPr>
        <w:t>U</w:t>
      </w:r>
      <w:r>
        <w:rPr>
          <w:rFonts w:hint="eastAsia" w:cs="宋体"/>
          <w:b/>
          <w:bCs/>
        </w:rPr>
        <w:t>盘中并单独装入密封袋，随投标材料一并提供，投标人在讲标时不允许使用个人自带电脑。</w:t>
      </w:r>
    </w:p>
    <w:p>
      <w:pPr>
        <w:pStyle w:val="33"/>
        <w:numPr>
          <w:ilvl w:val="0"/>
          <w:numId w:val="5"/>
        </w:numPr>
      </w:pPr>
      <w:bookmarkStart w:id="50" w:name="_Toc95148174"/>
      <w:bookmarkStart w:id="51" w:name="_Toc74143833"/>
      <w:bookmarkStart w:id="52" w:name="_Toc109031545"/>
      <w:bookmarkStart w:id="53" w:name="_Toc50742888"/>
      <w:r>
        <w:rPr>
          <w:rFonts w:hint="eastAsia"/>
        </w:rPr>
        <w:t>交货及付款</w:t>
      </w:r>
      <w:bookmarkEnd w:id="50"/>
      <w:bookmarkEnd w:id="51"/>
      <w:bookmarkEnd w:id="52"/>
      <w:bookmarkEnd w:id="53"/>
    </w:p>
    <w:p>
      <w:pPr>
        <w:pStyle w:val="3"/>
        <w:spacing w:before="0" w:after="0" w:line="360" w:lineRule="auto"/>
        <w:rPr>
          <w:rFonts w:asciiTheme="minorEastAsia" w:hAnsiTheme="minorEastAsia" w:eastAsiaTheme="minorEastAsia"/>
          <w:sz w:val="28"/>
          <w:szCs w:val="28"/>
        </w:rPr>
      </w:pPr>
      <w:bookmarkStart w:id="54" w:name="_Toc109031546"/>
      <w:r>
        <w:rPr>
          <w:rFonts w:hint="eastAsia" w:asciiTheme="minorEastAsia" w:hAnsiTheme="minorEastAsia" w:eastAsiaTheme="minorEastAsia"/>
          <w:sz w:val="28"/>
          <w:szCs w:val="28"/>
        </w:rPr>
        <w:t>4.1项目实施时间：收到中标通知后5个工作日内</w:t>
      </w:r>
      <w:bookmarkEnd w:id="54"/>
    </w:p>
    <w:p>
      <w:pPr>
        <w:pStyle w:val="3"/>
        <w:spacing w:before="0" w:after="0" w:line="360" w:lineRule="auto"/>
        <w:rPr>
          <w:rFonts w:asciiTheme="minorEastAsia" w:hAnsiTheme="minorEastAsia" w:eastAsiaTheme="minorEastAsia"/>
          <w:sz w:val="28"/>
          <w:szCs w:val="28"/>
        </w:rPr>
      </w:pPr>
      <w:bookmarkStart w:id="55" w:name="_Toc109031547"/>
      <w:r>
        <w:rPr>
          <w:rFonts w:hint="eastAsia" w:asciiTheme="minorEastAsia" w:hAnsiTheme="minorEastAsia" w:eastAsiaTheme="minorEastAsia"/>
          <w:sz w:val="28"/>
          <w:szCs w:val="28"/>
        </w:rPr>
        <w:t>4.2实施地点：招标人指定地点</w:t>
      </w:r>
      <w:bookmarkEnd w:id="55"/>
    </w:p>
    <w:p>
      <w:pPr>
        <w:pStyle w:val="3"/>
        <w:spacing w:before="0" w:after="0" w:line="360" w:lineRule="auto"/>
        <w:rPr>
          <w:rFonts w:asciiTheme="minorEastAsia" w:hAnsiTheme="minorEastAsia" w:eastAsiaTheme="minorEastAsia"/>
          <w:sz w:val="28"/>
          <w:szCs w:val="28"/>
        </w:rPr>
      </w:pPr>
      <w:bookmarkStart w:id="56" w:name="_Toc109031548"/>
      <w:r>
        <w:rPr>
          <w:rFonts w:hint="eastAsia" w:asciiTheme="minorEastAsia" w:hAnsiTheme="minorEastAsia" w:eastAsiaTheme="minorEastAsia"/>
          <w:sz w:val="28"/>
          <w:szCs w:val="28"/>
        </w:rPr>
        <w:t>4.3交货方式：按照合同要求提供业务档案检查外包服务</w:t>
      </w:r>
      <w:bookmarkEnd w:id="56"/>
    </w:p>
    <w:p>
      <w:pPr>
        <w:pStyle w:val="35"/>
        <w:widowControl/>
        <w:numPr>
          <w:ilvl w:val="0"/>
          <w:numId w:val="0"/>
        </w:numPr>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4.4付款方式：银行转账（开具相关税率的增值税专用发票）</w:t>
      </w:r>
    </w:p>
    <w:p>
      <w:pPr>
        <w:pStyle w:val="3"/>
        <w:spacing w:before="0" w:after="0" w:line="360" w:lineRule="auto"/>
        <w:rPr>
          <w:rFonts w:asciiTheme="minorEastAsia" w:hAnsiTheme="minorEastAsia" w:eastAsiaTheme="minorEastAsia"/>
          <w:color w:val="000000" w:themeColor="text1"/>
          <w:sz w:val="28"/>
          <w:szCs w:val="28"/>
          <w14:textFill>
            <w14:solidFill>
              <w14:schemeClr w14:val="tx1"/>
            </w14:solidFill>
          </w14:textFill>
        </w:rPr>
      </w:pPr>
    </w:p>
    <w:p/>
    <w:p>
      <w:pPr>
        <w:pStyle w:val="33"/>
        <w:numPr>
          <w:ilvl w:val="0"/>
          <w:numId w:val="5"/>
        </w:numPr>
      </w:pPr>
      <w:bookmarkStart w:id="57" w:name="_Toc103005940"/>
      <w:bookmarkEnd w:id="57"/>
      <w:bookmarkStart w:id="58" w:name="_Toc103005941"/>
      <w:bookmarkEnd w:id="58"/>
      <w:bookmarkStart w:id="59" w:name="_Toc103007772"/>
      <w:bookmarkEnd w:id="59"/>
      <w:bookmarkStart w:id="60" w:name="_Toc103007773"/>
      <w:bookmarkEnd w:id="60"/>
      <w:bookmarkStart w:id="61" w:name="_Toc50742889"/>
      <w:bookmarkStart w:id="62" w:name="_Toc74143834"/>
      <w:bookmarkStart w:id="63" w:name="_Toc109031549"/>
      <w:bookmarkStart w:id="64" w:name="_Toc95148175"/>
      <w:r>
        <w:rPr>
          <w:rFonts w:hint="eastAsia"/>
        </w:rPr>
        <w:t>投标说明</w:t>
      </w:r>
      <w:bookmarkEnd w:id="61"/>
      <w:bookmarkEnd w:id="62"/>
      <w:bookmarkEnd w:id="63"/>
      <w:bookmarkEnd w:id="64"/>
    </w:p>
    <w:p>
      <w:pPr>
        <w:pStyle w:val="63"/>
        <w:numPr>
          <w:ilvl w:val="1"/>
          <w:numId w:val="5"/>
        </w:numPr>
      </w:pPr>
      <w:bookmarkStart w:id="65" w:name="_Toc95148176"/>
      <w:bookmarkStart w:id="66" w:name="_Toc50742890"/>
      <w:bookmarkStart w:id="67" w:name="_Toc74143835"/>
      <w:bookmarkStart w:id="68" w:name="_Toc109031550"/>
      <w:r>
        <w:rPr>
          <w:rFonts w:hint="eastAsia"/>
        </w:rPr>
        <w:t>招标要求</w:t>
      </w:r>
      <w:bookmarkEnd w:id="65"/>
      <w:bookmarkEnd w:id="66"/>
      <w:bookmarkEnd w:id="67"/>
      <w:bookmarkEnd w:id="68"/>
    </w:p>
    <w:tbl>
      <w:tblPr>
        <w:tblStyle w:val="2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5"/>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keepNext w:val="0"/>
              <w:keepLines w:val="0"/>
              <w:tabs>
                <w:tab w:val="left" w:pos="420"/>
              </w:tabs>
              <w:spacing w:before="0" w:after="0"/>
              <w:ind w:left="0" w:leftChars="0" w:firstLine="205" w:firstLineChars="98"/>
              <w:jc w:val="both"/>
              <w:rPr>
                <w:rFonts w:ascii="宋体" w:hAnsi="宋体" w:eastAsia="宋体" w:cs="宋体"/>
                <w:b w:val="0"/>
                <w:color w:val="000000"/>
                <w:sz w:val="21"/>
                <w:szCs w:val="21"/>
              </w:rPr>
            </w:pPr>
            <w:r>
              <w:rPr>
                <w:rFonts w:hint="eastAsia" w:ascii="宋体" w:hAnsi="宋体" w:eastAsia="宋体" w:cs="宋体"/>
                <w:b w:val="0"/>
                <w:color w:val="000000"/>
                <w:sz w:val="21"/>
                <w:szCs w:val="21"/>
              </w:rPr>
              <w:t>邀标人名称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
              <w:ind w:firstLine="420"/>
            </w:pPr>
            <w:r>
              <w:rPr>
                <w:rFonts w:hint="eastAsia" w:eastAsia="宋体" w:cs="宋体"/>
                <w:color w:val="000000" w:themeColor="text1"/>
                <w:sz w:val="21"/>
                <w:szCs w:val="21"/>
                <w14:textFill>
                  <w14:solidFill>
                    <w14:schemeClr w14:val="tx1"/>
                  </w14:solidFill>
                </w14:textFill>
              </w:rPr>
              <w:t>重汽汽车金融有限公司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2</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rPr>
            </w:pPr>
            <w:r>
              <w:rPr>
                <w:rFonts w:hint="eastAsia" w:ascii="宋体" w:hAnsi="宋体" w:eastAsia="宋体" w:cs="宋体"/>
                <w:color w:val="000000"/>
                <w:szCs w:val="21"/>
              </w:rPr>
              <w:t>投标人资质要求</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w:t>
            </w:r>
            <w:r>
              <w:rPr>
                <w:rFonts w:hint="eastAsia" w:ascii="宋体" w:hAnsi="宋体" w:eastAsia="宋体" w:cs="宋体"/>
                <w:color w:val="000000" w:themeColor="text1"/>
                <w:szCs w:val="21"/>
                <w14:textFill>
                  <w14:solidFill>
                    <w14:schemeClr w14:val="tx1"/>
                  </w14:solidFill>
                </w14:textFill>
              </w:rPr>
              <w:t>）投标人注册资金不低于50万元人民币，成立时间2年及以上，具有独立法人资格，并具有良好信誉和业绩；</w:t>
            </w:r>
            <w:r>
              <w:rPr>
                <w:rFonts w:ascii="宋体" w:hAnsi="宋体" w:eastAsia="宋体" w:cs="宋体"/>
                <w:color w:val="000000" w:themeColor="text1"/>
                <w:szCs w:val="21"/>
                <w14:textFill>
                  <w14:solidFill>
                    <w14:schemeClr w14:val="tx1"/>
                  </w14:solidFill>
                </w14:textFill>
              </w:rPr>
              <w:t xml:space="preserve"> </w:t>
            </w:r>
          </w:p>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（2）投标人独立承接并成功实施本项目；</w:t>
            </w:r>
          </w:p>
          <w:p>
            <w:pPr>
              <w:rPr>
                <w:rFonts w:ascii="宋体" w:hAnsi="宋体" w:eastAsia="宋体" w:cs="宋体"/>
                <w:szCs w:val="21"/>
              </w:rPr>
            </w:pPr>
            <w:r>
              <w:rPr>
                <w:rFonts w:hint="eastAsia" w:ascii="宋体" w:hAnsi="宋体" w:eastAsia="宋体" w:cs="宋体"/>
                <w:szCs w:val="21"/>
              </w:rPr>
              <w:t>（3）投标人遵守执业准则和执业规范，近2年内没有违法、违规或行业自律惩戒记录，提供信用中国网站查询记录及近2年的财务审计报告复印件加盖公章；</w:t>
            </w:r>
          </w:p>
          <w:p>
            <w:pPr>
              <w:rPr>
                <w:rFonts w:ascii="宋体" w:hAnsi="宋体" w:eastAsia="宋体" w:cs="宋体"/>
                <w:szCs w:val="21"/>
              </w:rPr>
            </w:pPr>
            <w:r>
              <w:rPr>
                <w:rFonts w:hint="eastAsia" w:ascii="宋体" w:hAnsi="宋体" w:eastAsia="宋体" w:cs="宋体"/>
                <w:szCs w:val="21"/>
              </w:rPr>
              <w:t>（4）投标人能提供相关完税证明；</w:t>
            </w:r>
          </w:p>
          <w:p>
            <w:pPr>
              <w:rPr>
                <w:rFonts w:ascii="宋体" w:hAnsi="宋体" w:eastAsia="宋体" w:cs="宋体"/>
                <w:szCs w:val="21"/>
              </w:rPr>
            </w:pPr>
            <w:r>
              <w:rPr>
                <w:rFonts w:hint="eastAsia" w:ascii="宋体" w:hAnsi="宋体" w:eastAsia="宋体" w:cs="宋体"/>
                <w:szCs w:val="21"/>
              </w:rPr>
              <w:t>（5）投标人之间必须具有充分的竞争关系；</w:t>
            </w:r>
          </w:p>
          <w:p>
            <w:pPr>
              <w:rPr>
                <w:rFonts w:ascii="宋体" w:hAnsi="宋体" w:eastAsia="宋体" w:cs="宋体"/>
                <w:szCs w:val="21"/>
              </w:rPr>
            </w:pPr>
            <w:r>
              <w:rPr>
                <w:rFonts w:hint="eastAsia" w:ascii="宋体" w:hAnsi="宋体" w:eastAsia="宋体" w:cs="宋体"/>
                <w:szCs w:val="21"/>
              </w:rPr>
              <w:t>（6）投标人无招标违规、谎报年度报告信息、提供虚假资质资料等行为或其他行政处罚记录；</w:t>
            </w:r>
          </w:p>
          <w:p>
            <w:pPr>
              <w:rPr>
                <w:rFonts w:ascii="宋体" w:hAnsi="宋体" w:eastAsia="宋体" w:cs="宋体"/>
                <w:szCs w:val="21"/>
              </w:rPr>
            </w:pPr>
            <w:r>
              <w:rPr>
                <w:rFonts w:hint="eastAsia" w:ascii="宋体" w:hAnsi="宋体" w:eastAsia="宋体" w:cs="宋体"/>
                <w:szCs w:val="21"/>
              </w:rPr>
              <w:t>（7）投标人没有被公司列入黑名单；</w:t>
            </w:r>
          </w:p>
          <w:p>
            <w:pPr>
              <w:rPr>
                <w:rFonts w:ascii="宋体" w:hAnsi="宋体" w:eastAsia="宋体" w:cs="宋体"/>
                <w:szCs w:val="21"/>
              </w:rPr>
            </w:pPr>
            <w:r>
              <w:rPr>
                <w:rFonts w:hint="eastAsia" w:ascii="宋体" w:hAnsi="宋体" w:eastAsia="宋体" w:cs="宋体"/>
                <w:szCs w:val="21"/>
              </w:rPr>
              <w:t>（8）投标人的直接或间接股东、法定代表人、董事、监事、高管非重汽员工及其亲属。</w:t>
            </w:r>
            <w:r>
              <w:rPr>
                <w:rFonts w:hint="eastAsia" w:ascii="宋体" w:hAnsi="宋体" w:eastAsia="宋体" w:cs="宋体"/>
                <w:color w:val="000000"/>
                <w:szCs w:val="21"/>
              </w:rPr>
              <w:t>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3</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是否允许代理商投标</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Cs/>
                <w:color w:val="000000"/>
                <w:szCs w:val="21"/>
              </w:rPr>
            </w:pPr>
            <w:r>
              <w:rPr>
                <w:rFonts w:hint="eastAsia" w:ascii="宋体" w:hAnsi="宋体" w:eastAsia="宋体" w:cs="宋体"/>
                <w:bCs/>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rPr>
            </w:pPr>
            <w:r>
              <w:rPr>
                <w:rFonts w:hint="eastAsia" w:ascii="宋体" w:hAnsi="宋体" w:eastAsia="宋体" w:cs="宋体"/>
                <w:color w:val="000000"/>
                <w:szCs w:val="21"/>
              </w:rPr>
              <w:t>投标人应提交的</w:t>
            </w:r>
          </w:p>
          <w:p>
            <w:pPr>
              <w:jc w:val="left"/>
              <w:rPr>
                <w:rFonts w:ascii="宋体" w:hAnsi="宋体" w:eastAsia="宋体" w:cs="宋体"/>
                <w:color w:val="000000"/>
                <w:szCs w:val="21"/>
              </w:rPr>
            </w:pPr>
            <w:r>
              <w:rPr>
                <w:rFonts w:hint="eastAsia" w:ascii="宋体" w:hAnsi="宋体" w:eastAsia="宋体" w:cs="宋体"/>
                <w:color w:val="000000"/>
                <w:szCs w:val="21"/>
              </w:rPr>
              <w:t>商务文件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56"/>
              </w:tabs>
              <w:jc w:val="left"/>
              <w:rPr>
                <w:rFonts w:ascii="宋体" w:hAnsi="宋体" w:eastAsia="宋体" w:cs="宋体"/>
                <w:color w:val="000000"/>
                <w:szCs w:val="21"/>
              </w:rPr>
            </w:pPr>
            <w:r>
              <w:rPr>
                <w:rFonts w:hint="eastAsia" w:ascii="宋体" w:hAnsi="宋体" w:eastAsia="宋体" w:cs="宋体"/>
                <w:color w:val="000000"/>
                <w:szCs w:val="21"/>
              </w:rPr>
              <w:t>（1）投标函。</w:t>
            </w:r>
            <w:r>
              <w:rPr>
                <w:rFonts w:hint="eastAsia" w:ascii="宋体" w:hAnsi="宋体" w:eastAsia="宋体" w:cs="宋体"/>
                <w:color w:val="000000"/>
                <w:szCs w:val="21"/>
              </w:rPr>
              <w:cr/>
            </w:r>
            <w:r>
              <w:rPr>
                <w:rFonts w:hint="eastAsia" w:ascii="宋体" w:hAnsi="宋体" w:eastAsia="宋体" w:cs="宋体"/>
                <w:color w:val="000000"/>
                <w:szCs w:val="21"/>
              </w:rPr>
              <w:t xml:space="preserve">                                        （2）开标一览表。</w:t>
            </w:r>
            <w:r>
              <w:rPr>
                <w:rFonts w:hint="eastAsia" w:ascii="宋体" w:hAnsi="宋体" w:eastAsia="宋体" w:cs="宋体"/>
                <w:color w:val="000000"/>
                <w:szCs w:val="21"/>
              </w:rPr>
              <w:cr/>
            </w:r>
            <w:r>
              <w:rPr>
                <w:rFonts w:hint="eastAsia" w:ascii="宋体" w:hAnsi="宋体" w:eastAsia="宋体" w:cs="宋体"/>
                <w:color w:val="000000"/>
                <w:szCs w:val="21"/>
              </w:rPr>
              <w:t xml:space="preserve">                                    （3）商务条款偏离表。                                 </w:t>
            </w:r>
            <w:r>
              <w:rPr>
                <w:rFonts w:hint="eastAsia" w:ascii="宋体" w:hAnsi="宋体" w:eastAsia="宋体" w:cs="宋体"/>
                <w:color w:val="000000"/>
                <w:szCs w:val="21"/>
              </w:rPr>
              <w:cr/>
            </w:r>
            <w:r>
              <w:rPr>
                <w:rFonts w:hint="eastAsia" w:ascii="宋体" w:hAnsi="宋体" w:eastAsia="宋体" w:cs="宋体"/>
                <w:color w:val="000000"/>
                <w:szCs w:val="21"/>
              </w:rPr>
              <w:t>（4）服务承诺及优惠条件。</w:t>
            </w:r>
            <w:r>
              <w:rPr>
                <w:rFonts w:hint="eastAsia" w:ascii="宋体" w:hAnsi="宋体" w:eastAsia="宋体" w:cs="宋体"/>
                <w:color w:val="000000"/>
                <w:szCs w:val="21"/>
              </w:rPr>
              <w:cr/>
            </w:r>
            <w:r>
              <w:rPr>
                <w:rFonts w:hint="eastAsia" w:ascii="宋体" w:hAnsi="宋体" w:eastAsia="宋体" w:cs="宋体"/>
                <w:color w:val="000000"/>
                <w:szCs w:val="21"/>
              </w:rPr>
              <w:t xml:space="preserve">                              （5）其它需要说明的事项。详见6.2节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5</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rPr>
            </w:pPr>
            <w:r>
              <w:rPr>
                <w:rFonts w:hint="eastAsia" w:ascii="宋体" w:hAnsi="宋体" w:eastAsia="宋体" w:cs="宋体"/>
                <w:color w:val="000000"/>
                <w:szCs w:val="21"/>
              </w:rPr>
              <w:t>服务说明</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532"/>
              </w:tabs>
              <w:jc w:val="left"/>
              <w:rPr>
                <w:rFonts w:ascii="宋体" w:hAnsi="宋体" w:eastAsia="宋体" w:cs="宋体"/>
                <w:szCs w:val="21"/>
              </w:rPr>
            </w:pPr>
            <w:r>
              <w:rPr>
                <w:rFonts w:hint="eastAsia" w:ascii="宋体" w:hAnsi="宋体" w:eastAsia="宋体" w:cs="宋体"/>
                <w:kern w:val="0"/>
                <w:szCs w:val="21"/>
              </w:rPr>
              <w:t>投标人</w:t>
            </w:r>
            <w:r>
              <w:rPr>
                <w:rFonts w:hint="eastAsia" w:ascii="宋体" w:hAnsi="宋体" w:eastAsia="宋体" w:cs="宋体"/>
                <w:kern w:val="0"/>
              </w:rPr>
              <w:t>有完善的服务组织体系，能提供高效的、专业的外包服务。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6</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rPr>
            </w:pPr>
            <w:r>
              <w:rPr>
                <w:rFonts w:hint="eastAsia" w:ascii="宋体" w:hAnsi="宋体" w:eastAsia="宋体" w:cs="宋体"/>
                <w:color w:val="000000"/>
                <w:szCs w:val="21"/>
              </w:rPr>
              <w:t>投标人应提交的</w:t>
            </w:r>
          </w:p>
          <w:p>
            <w:pPr>
              <w:jc w:val="left"/>
              <w:rPr>
                <w:rFonts w:ascii="宋体" w:hAnsi="宋体" w:eastAsia="宋体" w:cs="宋体"/>
                <w:color w:val="000000"/>
                <w:szCs w:val="21"/>
              </w:rPr>
            </w:pPr>
            <w:r>
              <w:rPr>
                <w:rFonts w:hint="eastAsia" w:ascii="宋体" w:hAnsi="宋体" w:eastAsia="宋体" w:cs="宋体"/>
                <w:color w:val="000000"/>
                <w:szCs w:val="21"/>
              </w:rPr>
              <w:t>技术文件</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（1）项目实施方案；</w:t>
            </w:r>
          </w:p>
          <w:p>
            <w:pPr>
              <w:rPr>
                <w:rFonts w:ascii="宋体" w:hAnsi="宋体" w:eastAsia="宋体" w:cs="宋体"/>
                <w:color w:val="000000"/>
                <w:szCs w:val="21"/>
              </w:rPr>
            </w:pPr>
            <w:r>
              <w:rPr>
                <w:rFonts w:hint="eastAsia" w:ascii="宋体" w:hAnsi="宋体" w:eastAsia="宋体" w:cs="宋体"/>
                <w:color w:val="000000"/>
                <w:szCs w:val="21"/>
              </w:rPr>
              <w:t>（2）关于汽车金融公司、大型汽车集团财务公司或商业银行档案检查业务外包等项目相关案例；</w:t>
            </w:r>
          </w:p>
          <w:p>
            <w:pPr>
              <w:rPr>
                <w:rFonts w:ascii="宋体" w:hAnsi="宋体" w:eastAsia="宋体" w:cs="宋体"/>
                <w:color w:val="000000"/>
                <w:szCs w:val="21"/>
              </w:rPr>
            </w:pPr>
            <w:r>
              <w:rPr>
                <w:rFonts w:hint="eastAsia" w:ascii="宋体" w:hAnsi="宋体" w:eastAsia="宋体" w:cs="宋体"/>
                <w:color w:val="000000"/>
                <w:szCs w:val="21"/>
              </w:rPr>
              <w:t>（3）技术规格、参数偏离表；</w:t>
            </w:r>
            <w:r>
              <w:rPr>
                <w:rFonts w:hint="eastAsia" w:ascii="宋体" w:hAnsi="宋体" w:eastAsia="宋体" w:cs="宋体"/>
                <w:color w:val="000000"/>
                <w:szCs w:val="21"/>
              </w:rPr>
              <w:cr/>
            </w:r>
            <w:r>
              <w:rPr>
                <w:rFonts w:hint="eastAsia" w:ascii="宋体" w:hAnsi="宋体" w:eastAsia="宋体" w:cs="宋体"/>
                <w:color w:val="000000"/>
                <w:szCs w:val="21"/>
              </w:rPr>
              <w:t>（4）投标报名表；</w:t>
            </w:r>
          </w:p>
          <w:p>
            <w:pPr>
              <w:rPr>
                <w:rFonts w:ascii="宋体" w:hAnsi="宋体" w:eastAsia="宋体" w:cs="宋体"/>
                <w:color w:val="000000"/>
                <w:szCs w:val="21"/>
              </w:rPr>
            </w:pPr>
            <w:r>
              <w:rPr>
                <w:rFonts w:hint="eastAsia" w:ascii="宋体" w:hAnsi="宋体" w:eastAsia="宋体" w:cs="宋体"/>
                <w:color w:val="000000"/>
                <w:szCs w:val="21"/>
              </w:rPr>
              <w:t>（5）承诺函；</w:t>
            </w:r>
          </w:p>
          <w:p>
            <w:pPr>
              <w:rPr>
                <w:rFonts w:ascii="宋体" w:hAnsi="宋体" w:eastAsia="宋体" w:cs="宋体"/>
                <w:color w:val="000000"/>
                <w:szCs w:val="21"/>
              </w:rPr>
            </w:pPr>
            <w:r>
              <w:rPr>
                <w:rFonts w:hint="eastAsia" w:ascii="宋体" w:hAnsi="宋体" w:eastAsia="宋体" w:cs="宋体"/>
                <w:color w:val="000000"/>
                <w:szCs w:val="21"/>
              </w:rPr>
              <w:t>（6）投标人自行编写的技术文件；</w:t>
            </w:r>
          </w:p>
          <w:p>
            <w:pPr>
              <w:tabs>
                <w:tab w:val="left" w:pos="556"/>
              </w:tabs>
              <w:rPr>
                <w:rFonts w:ascii="宋体" w:hAnsi="宋体" w:eastAsia="宋体" w:cs="宋体"/>
                <w:color w:val="000000"/>
                <w:szCs w:val="21"/>
              </w:rPr>
            </w:pPr>
            <w:r>
              <w:rPr>
                <w:rFonts w:hint="eastAsia" w:ascii="宋体" w:hAnsi="宋体" w:eastAsia="宋体" w:cs="宋体"/>
                <w:color w:val="000000"/>
                <w:szCs w:val="21"/>
              </w:rPr>
              <w:t>（7）投标人认为需要提供的其它说明和资料。详见6.2节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7</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szCs w:val="21"/>
              </w:rPr>
            </w:pPr>
            <w:r>
              <w:rPr>
                <w:rFonts w:hint="eastAsia" w:ascii="宋体" w:hAnsi="宋体" w:eastAsia="宋体" w:cs="宋体"/>
                <w:color w:val="000000"/>
                <w:szCs w:val="21"/>
              </w:rPr>
              <w:t>投标人自行编写的</w:t>
            </w:r>
          </w:p>
          <w:p>
            <w:pPr>
              <w:jc w:val="left"/>
              <w:rPr>
                <w:rFonts w:ascii="宋体" w:hAnsi="宋体" w:eastAsia="宋体" w:cs="宋体"/>
                <w:color w:val="000000"/>
                <w:szCs w:val="21"/>
              </w:rPr>
            </w:pPr>
            <w:r>
              <w:rPr>
                <w:rFonts w:hint="eastAsia" w:ascii="宋体" w:hAnsi="宋体" w:eastAsia="宋体" w:cs="宋体"/>
                <w:color w:val="000000"/>
                <w:szCs w:val="21"/>
              </w:rPr>
              <w:t>技术文件应包含内容</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8"/>
              </w:numPr>
              <w:tabs>
                <w:tab w:val="left" w:pos="556"/>
                <w:tab w:val="left" w:pos="612"/>
              </w:tabs>
              <w:ind w:left="556" w:hanging="567"/>
              <w:rPr>
                <w:rFonts w:ascii="宋体" w:hAnsi="宋体" w:eastAsia="宋体" w:cs="宋体"/>
                <w:color w:val="000000"/>
                <w:szCs w:val="21"/>
              </w:rPr>
            </w:pPr>
            <w:r>
              <w:rPr>
                <w:rFonts w:hint="eastAsia" w:ascii="宋体" w:hAnsi="宋体" w:eastAsia="宋体" w:cs="宋体"/>
                <w:color w:val="000000"/>
                <w:szCs w:val="21"/>
              </w:rPr>
              <w:t>项目实施方案；</w:t>
            </w:r>
          </w:p>
          <w:p>
            <w:pPr>
              <w:numPr>
                <w:ilvl w:val="0"/>
                <w:numId w:val="8"/>
              </w:numPr>
              <w:tabs>
                <w:tab w:val="left" w:pos="556"/>
                <w:tab w:val="left" w:pos="612"/>
              </w:tabs>
              <w:ind w:left="556" w:hanging="567"/>
              <w:rPr>
                <w:rFonts w:ascii="宋体" w:hAnsi="宋体" w:eastAsia="宋体" w:cs="宋体"/>
                <w:color w:val="000000"/>
                <w:szCs w:val="21"/>
              </w:rPr>
            </w:pPr>
            <w:r>
              <w:rPr>
                <w:rFonts w:hint="eastAsia" w:ascii="宋体" w:hAnsi="宋体" w:eastAsia="宋体" w:cs="宋体"/>
                <w:color w:val="000000"/>
                <w:szCs w:val="21"/>
              </w:rPr>
              <w:t>投标人所提供的服务，应符合本文件提出的要求，如果投标人对技术规格提出合理建议或更改，应在《</w:t>
            </w:r>
            <w:r>
              <w:rPr>
                <w:rFonts w:hint="eastAsia" w:cs="宋体"/>
              </w:rPr>
              <w:t>技术规格、参数偏离表</w:t>
            </w:r>
            <w:r>
              <w:rPr>
                <w:rFonts w:hint="eastAsia" w:ascii="宋体" w:hAnsi="宋体" w:eastAsia="宋体" w:cs="宋体"/>
                <w:color w:val="000000"/>
                <w:szCs w:val="21"/>
              </w:rPr>
              <w:t>》中注明；</w:t>
            </w:r>
          </w:p>
          <w:p>
            <w:pPr>
              <w:numPr>
                <w:ilvl w:val="0"/>
                <w:numId w:val="8"/>
              </w:numPr>
              <w:tabs>
                <w:tab w:val="left" w:pos="556"/>
                <w:tab w:val="left" w:pos="612"/>
              </w:tabs>
              <w:ind w:left="556" w:hanging="567"/>
              <w:rPr>
                <w:rFonts w:ascii="宋体" w:hAnsi="宋体" w:eastAsia="宋体" w:cs="宋体"/>
                <w:color w:val="000000"/>
                <w:szCs w:val="21"/>
              </w:rPr>
            </w:pPr>
            <w:r>
              <w:rPr>
                <w:rFonts w:hint="eastAsia" w:ascii="宋体" w:hAnsi="宋体" w:eastAsia="宋体" w:cs="宋体"/>
                <w:color w:val="000000"/>
                <w:szCs w:val="21"/>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8</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是否允许投标人将项目非主体、非关键性工作交由他人完成</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color w:val="000000"/>
                <w:szCs w:val="21"/>
              </w:rPr>
            </w:pPr>
            <w:r>
              <w:rPr>
                <w:rFonts w:hint="eastAsia" w:ascii="宋体" w:hAnsi="宋体" w:eastAsia="宋体" w:cs="宋体"/>
                <w:bCs/>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Cs w:val="21"/>
              </w:rPr>
            </w:pPr>
            <w:r>
              <w:rPr>
                <w:rFonts w:hint="eastAsia" w:ascii="宋体" w:hAnsi="宋体" w:eastAsia="宋体" w:cs="宋体"/>
                <w:b/>
                <w:color w:val="000000"/>
                <w:szCs w:val="21"/>
              </w:rPr>
              <w:t>9</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投标文件份数</w:t>
            </w:r>
          </w:p>
        </w:tc>
        <w:tc>
          <w:tcPr>
            <w:tcW w:w="62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Cs w:val="21"/>
              </w:rPr>
            </w:pPr>
            <w:r>
              <w:rPr>
                <w:rFonts w:hint="eastAsia" w:ascii="宋体" w:hAnsi="宋体" w:eastAsia="宋体" w:cs="宋体"/>
                <w:color w:val="000000"/>
                <w:szCs w:val="21"/>
              </w:rPr>
              <w:t>详见6.2节</w:t>
            </w:r>
          </w:p>
        </w:tc>
      </w:tr>
    </w:tbl>
    <w:p>
      <w:pPr>
        <w:pStyle w:val="63"/>
        <w:numPr>
          <w:ilvl w:val="1"/>
          <w:numId w:val="5"/>
        </w:numPr>
      </w:pPr>
      <w:bookmarkStart w:id="69" w:name="_Toc95148177"/>
      <w:bookmarkStart w:id="70" w:name="_Toc74143836"/>
      <w:bookmarkStart w:id="71" w:name="_Toc50742892"/>
      <w:bookmarkStart w:id="72" w:name="_Toc109031551"/>
      <w:r>
        <w:rPr>
          <w:rFonts w:hint="eastAsia"/>
        </w:rPr>
        <w:t>投标报价</w:t>
      </w:r>
      <w:bookmarkEnd w:id="69"/>
      <w:bookmarkEnd w:id="70"/>
      <w:bookmarkEnd w:id="71"/>
      <w:bookmarkEnd w:id="72"/>
    </w:p>
    <w:p>
      <w:pPr>
        <w:pStyle w:val="35"/>
        <w:widowControl/>
        <w:numPr>
          <w:ilvl w:val="0"/>
          <w:numId w:val="0"/>
        </w:numPr>
        <w:ind w:firstLine="240" w:firstLineChars="100"/>
        <w:rPr>
          <w:rFonts w:cs="宋体"/>
        </w:rPr>
      </w:pPr>
      <w:r>
        <w:rPr>
          <w:rFonts w:hint="eastAsia" w:cs="宋体"/>
        </w:rPr>
        <w:t>1）本次招投标为</w:t>
      </w:r>
      <w:r>
        <w:rPr>
          <w:rFonts w:hint="eastAsia" w:cs="宋体"/>
          <w:b/>
          <w:bCs/>
          <w:lang w:val="en-US" w:eastAsia="zh-CN"/>
        </w:rPr>
        <w:t>公开</w:t>
      </w:r>
      <w:r>
        <w:rPr>
          <w:rFonts w:hint="eastAsia" w:cs="宋体"/>
          <w:b/>
          <w:bCs/>
        </w:rPr>
        <w:t>招标</w:t>
      </w:r>
      <w:r>
        <w:rPr>
          <w:rFonts w:hint="eastAsia" w:cs="宋体"/>
        </w:rPr>
        <w:t>，投标总报价应包括实施服务、税费等全部费用，并对各主要报价构成项列报价清单。</w:t>
      </w:r>
    </w:p>
    <w:p>
      <w:pPr>
        <w:pStyle w:val="35"/>
        <w:widowControl/>
        <w:numPr>
          <w:ilvl w:val="0"/>
          <w:numId w:val="0"/>
        </w:numPr>
        <w:ind w:firstLine="240" w:firstLineChars="100"/>
        <w:rPr>
          <w:rFonts w:cs="宋体"/>
        </w:rPr>
      </w:pPr>
      <w:r>
        <w:rPr>
          <w:rFonts w:cs="宋体"/>
        </w:rPr>
        <w:t>2</w:t>
      </w:r>
      <w:r>
        <w:rPr>
          <w:rFonts w:hint="eastAsia" w:cs="宋体"/>
        </w:rPr>
        <w:t>）所有参加投标的单位必须结合自身的实际情况，对此次招标项目服务周期与实施难度的估量以及所制定的实施组织计划，以实际产生的费用，据实报价。</w:t>
      </w:r>
    </w:p>
    <w:p>
      <w:pPr>
        <w:pStyle w:val="35"/>
        <w:widowControl/>
        <w:numPr>
          <w:ilvl w:val="0"/>
          <w:numId w:val="0"/>
        </w:numPr>
        <w:ind w:firstLine="240" w:firstLineChars="100"/>
        <w:rPr>
          <w:rFonts w:cs="宋体"/>
        </w:rPr>
      </w:pPr>
      <w:r>
        <w:rPr>
          <w:rFonts w:cs="宋体"/>
        </w:rPr>
        <w:t>3</w:t>
      </w:r>
      <w:r>
        <w:rPr>
          <w:rFonts w:hint="eastAsia" w:cs="宋体"/>
        </w:rPr>
        <w:t>）供应商免费提供的项目，应先填写该项目的实际价格，并注明免费。此项不计入总报价。</w:t>
      </w:r>
    </w:p>
    <w:p>
      <w:pPr>
        <w:pStyle w:val="35"/>
        <w:widowControl/>
        <w:numPr>
          <w:ilvl w:val="0"/>
          <w:numId w:val="0"/>
        </w:numPr>
        <w:ind w:firstLine="240" w:firstLineChars="100"/>
        <w:rPr>
          <w:rFonts w:cs="宋体"/>
        </w:rPr>
      </w:pPr>
      <w:r>
        <w:rPr>
          <w:rFonts w:cs="宋体"/>
        </w:rPr>
        <w:t>4</w:t>
      </w:r>
      <w:r>
        <w:rPr>
          <w:rFonts w:hint="eastAsia" w:cs="宋体"/>
        </w:rPr>
        <w:t>）项目的报价货币单位为：人民币（含税）。</w:t>
      </w:r>
    </w:p>
    <w:p>
      <w:pPr>
        <w:pStyle w:val="35"/>
        <w:widowControl/>
        <w:numPr>
          <w:ilvl w:val="0"/>
          <w:numId w:val="0"/>
        </w:numPr>
        <w:ind w:firstLine="240" w:firstLineChars="100"/>
        <w:rPr>
          <w:rFonts w:cs="宋体"/>
        </w:rPr>
      </w:pPr>
      <w:r>
        <w:rPr>
          <w:rFonts w:cs="宋体"/>
        </w:rPr>
        <w:t>5</w:t>
      </w:r>
      <w:r>
        <w:rPr>
          <w:rFonts w:hint="eastAsia" w:cs="宋体"/>
        </w:rPr>
        <w:t>）最后磋商报价在合同执行过程中是固定不变的，不得以任何理由予以变更。</w:t>
      </w:r>
    </w:p>
    <w:p>
      <w:pPr>
        <w:pStyle w:val="63"/>
        <w:numPr>
          <w:ilvl w:val="1"/>
          <w:numId w:val="5"/>
        </w:numPr>
      </w:pPr>
      <w:bookmarkStart w:id="73" w:name="_Toc95148178"/>
      <w:bookmarkStart w:id="74" w:name="_Toc109031552"/>
      <w:bookmarkStart w:id="75" w:name="_Toc74143837"/>
      <w:bookmarkStart w:id="76" w:name="_Toc50742893"/>
      <w:r>
        <w:rPr>
          <w:rFonts w:hint="eastAsia"/>
        </w:rPr>
        <w:t>招标文件的组成</w:t>
      </w:r>
      <w:bookmarkEnd w:id="73"/>
      <w:bookmarkEnd w:id="74"/>
      <w:bookmarkEnd w:id="75"/>
      <w:bookmarkEnd w:id="76"/>
    </w:p>
    <w:p>
      <w:pPr>
        <w:pStyle w:val="35"/>
        <w:widowControl/>
        <w:numPr>
          <w:ilvl w:val="0"/>
          <w:numId w:val="0"/>
        </w:numPr>
        <w:ind w:firstLine="240" w:firstLineChars="100"/>
      </w:pPr>
      <w:r>
        <w:rPr>
          <w:rFonts w:hint="eastAsia" w:cs="宋体"/>
        </w:rPr>
        <w:t>1）招标文件由招标文件总目录所列内容组成。</w:t>
      </w:r>
    </w:p>
    <w:p>
      <w:pPr>
        <w:pStyle w:val="35"/>
        <w:widowControl/>
        <w:numPr>
          <w:ilvl w:val="0"/>
          <w:numId w:val="0"/>
        </w:numPr>
        <w:ind w:firstLine="240" w:firstLineChars="100"/>
      </w:pPr>
      <w:r>
        <w:rPr>
          <w:rFonts w:cs="宋体"/>
        </w:rPr>
        <w:t>2</w:t>
      </w:r>
      <w:r>
        <w:rPr>
          <w:rFonts w:hint="eastAsia" w:cs="宋体"/>
        </w:rPr>
        <w:t>）投标人详细阅读招标文件的全部内容。不按招标文件的要求提供的投标文件和资料，可能导致投标被拒绝。</w:t>
      </w:r>
    </w:p>
    <w:p>
      <w:pPr>
        <w:pStyle w:val="63"/>
        <w:numPr>
          <w:ilvl w:val="1"/>
          <w:numId w:val="5"/>
        </w:numPr>
      </w:pPr>
      <w:bookmarkStart w:id="77" w:name="_Toc533998779"/>
      <w:bookmarkStart w:id="78" w:name="_Toc536867084"/>
      <w:bookmarkStart w:id="79" w:name="_Toc95148179"/>
      <w:bookmarkStart w:id="80" w:name="_Toc50742894"/>
      <w:bookmarkStart w:id="81" w:name="_Toc533413548"/>
      <w:bookmarkStart w:id="82" w:name="_Toc109031553"/>
      <w:bookmarkStart w:id="83" w:name="_Toc534087348"/>
      <w:bookmarkStart w:id="84" w:name="_Toc74143838"/>
      <w:bookmarkStart w:id="85" w:name="_Toc533413149"/>
      <w:r>
        <w:rPr>
          <w:rFonts w:hint="eastAsia"/>
        </w:rPr>
        <w:t>招标文件的澄清</w:t>
      </w:r>
      <w:bookmarkEnd w:id="77"/>
      <w:bookmarkEnd w:id="78"/>
      <w:bookmarkEnd w:id="79"/>
      <w:bookmarkEnd w:id="80"/>
      <w:bookmarkEnd w:id="81"/>
      <w:bookmarkEnd w:id="82"/>
      <w:bookmarkEnd w:id="83"/>
      <w:bookmarkEnd w:id="84"/>
      <w:bookmarkEnd w:id="85"/>
    </w:p>
    <w:p>
      <w:pPr>
        <w:pStyle w:val="34"/>
        <w:widowControl/>
        <w:ind w:firstLine="480"/>
      </w:pPr>
      <w:r>
        <w:rPr>
          <w:rFonts w:hint="eastAsia" w:cs="宋体"/>
        </w:rPr>
        <w:t>投标人对招标文件如有疑点要求澄清，或认为有必要与招标人进行技术交流时，可用书面形式通知招标人，招标人将视情况以书面形式予以答复，并将答复内容包括原提出的问题（但不标明问题查询的来源），分发给所有取得同一招标文件的投标人。</w:t>
      </w:r>
    </w:p>
    <w:p>
      <w:pPr>
        <w:pStyle w:val="63"/>
        <w:numPr>
          <w:ilvl w:val="1"/>
          <w:numId w:val="5"/>
        </w:numPr>
      </w:pPr>
      <w:bookmarkStart w:id="86" w:name="_Toc74143839"/>
      <w:bookmarkStart w:id="87" w:name="_Toc533413150"/>
      <w:bookmarkStart w:id="88" w:name="_Toc50742895"/>
      <w:bookmarkStart w:id="89" w:name="_Toc95148180"/>
      <w:bookmarkStart w:id="90" w:name="_Toc533998780"/>
      <w:bookmarkStart w:id="91" w:name="_Toc536867085"/>
      <w:bookmarkStart w:id="92" w:name="_Toc533413549"/>
      <w:bookmarkStart w:id="93" w:name="_Toc109031554"/>
      <w:bookmarkStart w:id="94" w:name="_Toc534087349"/>
      <w:r>
        <w:rPr>
          <w:rFonts w:hint="eastAsia"/>
        </w:rPr>
        <w:t>招标文件的修改</w:t>
      </w:r>
      <w:bookmarkEnd w:id="86"/>
      <w:bookmarkEnd w:id="87"/>
      <w:bookmarkEnd w:id="88"/>
      <w:bookmarkEnd w:id="89"/>
      <w:bookmarkEnd w:id="90"/>
      <w:bookmarkEnd w:id="91"/>
      <w:bookmarkEnd w:id="92"/>
      <w:bookmarkEnd w:id="93"/>
      <w:bookmarkEnd w:id="94"/>
    </w:p>
    <w:p>
      <w:pPr>
        <w:pStyle w:val="35"/>
        <w:widowControl/>
        <w:numPr>
          <w:ilvl w:val="0"/>
          <w:numId w:val="0"/>
        </w:numPr>
        <w:ind w:firstLine="480" w:firstLineChars="200"/>
      </w:pPr>
      <w:r>
        <w:rPr>
          <w:rFonts w:hint="eastAsia" w:cs="宋体"/>
        </w:rPr>
        <w:t>1）在投标截止时间前</w:t>
      </w:r>
      <w:r>
        <w:rPr>
          <w:rFonts w:hint="eastAsia"/>
        </w:rPr>
        <w:t>，</w:t>
      </w:r>
      <w:r>
        <w:rPr>
          <w:rFonts w:hint="eastAsia" w:cs="宋体"/>
        </w:rPr>
        <w:t>招标人无论出于自己的考虑，还是出于对投标人提问的澄清，均可对招标文件用补充文件的方式进行修改。</w:t>
      </w:r>
    </w:p>
    <w:p>
      <w:pPr>
        <w:pStyle w:val="35"/>
        <w:widowControl/>
        <w:numPr>
          <w:ilvl w:val="0"/>
          <w:numId w:val="0"/>
        </w:numPr>
        <w:ind w:firstLine="480" w:firstLineChars="200"/>
      </w:pPr>
      <w:r>
        <w:rPr>
          <w:rFonts w:cs="宋体"/>
        </w:rPr>
        <w:t>2</w:t>
      </w:r>
      <w:r>
        <w:rPr>
          <w:rFonts w:hint="eastAsia" w:cs="宋体"/>
        </w:rPr>
        <w:t>）对招标文件的修改，将以书面的形式通知已收到招标文件的每一投标人。补充文件将作为招标文件的组成部分，对所有投标人有约束力。</w:t>
      </w:r>
    </w:p>
    <w:p>
      <w:pPr>
        <w:pStyle w:val="35"/>
        <w:widowControl/>
        <w:numPr>
          <w:ilvl w:val="0"/>
          <w:numId w:val="0"/>
        </w:numPr>
        <w:ind w:firstLine="480" w:firstLineChars="200"/>
      </w:pPr>
      <w:r>
        <w:rPr>
          <w:rFonts w:hint="eastAsia" w:cs="宋体"/>
        </w:rPr>
        <w:t>3）为使投标人有足够的时间按招标文件的修改要求考虑修正投标文件，招标人可酌情推迟投标和开标日期，并将这些变更通知上述每一投标人。</w:t>
      </w:r>
    </w:p>
    <w:p>
      <w:pPr>
        <w:pStyle w:val="33"/>
        <w:numPr>
          <w:ilvl w:val="0"/>
          <w:numId w:val="5"/>
        </w:numPr>
      </w:pPr>
      <w:bookmarkStart w:id="95" w:name="_Toc95148181"/>
      <w:bookmarkStart w:id="96" w:name="_Toc74143840"/>
      <w:bookmarkStart w:id="97" w:name="_Toc109031555"/>
      <w:r>
        <w:rPr>
          <w:rFonts w:hint="eastAsia"/>
        </w:rPr>
        <w:t>投标文件的内容和要求</w:t>
      </w:r>
      <w:bookmarkEnd w:id="95"/>
      <w:bookmarkEnd w:id="96"/>
      <w:bookmarkEnd w:id="97"/>
    </w:p>
    <w:p>
      <w:pPr>
        <w:pStyle w:val="63"/>
        <w:numPr>
          <w:ilvl w:val="1"/>
          <w:numId w:val="5"/>
        </w:numPr>
      </w:pPr>
      <w:bookmarkStart w:id="98" w:name="_Toc109031556"/>
      <w:bookmarkStart w:id="99" w:name="_Toc74143841"/>
      <w:bookmarkStart w:id="100" w:name="_Toc95148182"/>
      <w:r>
        <w:rPr>
          <w:rFonts w:hint="eastAsia"/>
        </w:rPr>
        <w:t>投标文件计量单位</w:t>
      </w:r>
      <w:bookmarkEnd w:id="98"/>
      <w:bookmarkEnd w:id="99"/>
      <w:bookmarkEnd w:id="100"/>
    </w:p>
    <w:p>
      <w:pPr>
        <w:pStyle w:val="34"/>
        <w:widowControl/>
        <w:ind w:firstLine="480"/>
      </w:pPr>
      <w:r>
        <w:rPr>
          <w:rFonts w:hint="eastAsia" w:cs="宋体"/>
        </w:rPr>
        <w:t>投标文件中所使用的计量单位，除招标文件中有特殊要求外，应采用国家法定计量单位。</w:t>
      </w:r>
    </w:p>
    <w:p>
      <w:pPr>
        <w:pStyle w:val="63"/>
        <w:numPr>
          <w:ilvl w:val="1"/>
          <w:numId w:val="5"/>
        </w:numPr>
      </w:pPr>
      <w:bookmarkStart w:id="101" w:name="_Toc109031557"/>
      <w:bookmarkStart w:id="102" w:name="_Toc74143842"/>
      <w:bookmarkStart w:id="103" w:name="_Toc95148183"/>
      <w:r>
        <w:rPr>
          <w:rFonts w:hint="eastAsia"/>
        </w:rPr>
        <w:t>投标文件组成</w:t>
      </w:r>
      <w:bookmarkEnd w:id="101"/>
      <w:bookmarkEnd w:id="102"/>
      <w:bookmarkEnd w:id="103"/>
    </w:p>
    <w:p>
      <w:pPr>
        <w:pStyle w:val="34"/>
        <w:widowControl/>
        <w:ind w:firstLine="480"/>
        <w:rPr>
          <w:rFonts w:cs="宋体"/>
        </w:rPr>
      </w:pPr>
      <w:r>
        <w:rPr>
          <w:rFonts w:hint="eastAsia" w:cs="宋体"/>
        </w:rPr>
        <w:t>投标文件由以下部分组成（请按照下述组织投标书各章节内容）：</w:t>
      </w:r>
    </w:p>
    <w:p>
      <w:pPr>
        <w:pStyle w:val="34"/>
        <w:widowControl/>
        <w:numPr>
          <w:ilvl w:val="0"/>
          <w:numId w:val="0"/>
        </w:numPr>
        <w:ind w:left="480" w:leftChars="0"/>
        <w:rPr>
          <w:rFonts w:cs="宋体"/>
        </w:rPr>
      </w:pPr>
      <w:r>
        <w:rPr>
          <w:rFonts w:hint="eastAsia"/>
          <w:b/>
          <w:bCs/>
          <w:lang w:val="en-US" w:eastAsia="zh-CN"/>
        </w:rPr>
        <w:t>1.</w:t>
      </w:r>
      <w:r>
        <w:rPr>
          <w:rFonts w:hint="eastAsia"/>
          <w:b/>
          <w:bCs/>
        </w:rPr>
        <w:t>资质文件</w:t>
      </w:r>
      <w:r>
        <w:rPr>
          <w:rFonts w:hint="eastAsia"/>
        </w:rPr>
        <w:t>（独立封装在一个档案袋，一式两份）：</w:t>
      </w:r>
    </w:p>
    <w:p>
      <w:pPr>
        <w:pStyle w:val="35"/>
        <w:widowControl/>
        <w:numPr>
          <w:ilvl w:val="0"/>
          <w:numId w:val="9"/>
        </w:numPr>
        <w:tabs>
          <w:tab w:val="left" w:pos="420"/>
        </w:tabs>
        <w:adjustRightInd w:val="0"/>
        <w:snapToGrid w:val="0"/>
        <w:spacing w:line="300" w:lineRule="auto"/>
        <w:ind w:left="420" w:leftChars="0" w:firstLineChars="0"/>
        <w:rPr>
          <w:rFonts w:cs="宋体"/>
        </w:rPr>
      </w:pPr>
      <w:r>
        <w:rPr>
          <w:rFonts w:hint="eastAsia" w:cs="宋体"/>
        </w:rPr>
        <w:t>法定代表人授权委托书（见附件</w:t>
      </w:r>
      <w:r>
        <w:rPr>
          <w:rFonts w:cs="宋体"/>
        </w:rPr>
        <w:t>2</w:t>
      </w:r>
      <w:r>
        <w:rPr>
          <w:rFonts w:hint="eastAsia" w:cs="宋体"/>
        </w:rPr>
        <w:t>）；</w:t>
      </w:r>
    </w:p>
    <w:p>
      <w:pPr>
        <w:pStyle w:val="35"/>
        <w:widowControl/>
        <w:numPr>
          <w:ilvl w:val="0"/>
          <w:numId w:val="9"/>
        </w:numPr>
        <w:tabs>
          <w:tab w:val="left" w:pos="420"/>
        </w:tabs>
        <w:adjustRightInd w:val="0"/>
        <w:snapToGrid w:val="0"/>
        <w:spacing w:line="300" w:lineRule="auto"/>
        <w:ind w:left="357" w:leftChars="0" w:firstLineChars="0"/>
        <w:rPr>
          <w:rFonts w:cs="宋体"/>
        </w:rPr>
      </w:pPr>
      <w:r>
        <w:rPr>
          <w:rFonts w:hint="eastAsia" w:cs="宋体"/>
        </w:rPr>
        <w:t>企业营业执照（投标人应提交有效的企业法人营业执照副本复印件，并加盖法人单位公章，按规定需要年检的，年检章要清楚）；</w:t>
      </w:r>
    </w:p>
    <w:p>
      <w:pPr>
        <w:pStyle w:val="35"/>
        <w:widowControl/>
        <w:numPr>
          <w:ilvl w:val="0"/>
          <w:numId w:val="9"/>
        </w:numPr>
        <w:tabs>
          <w:tab w:val="left" w:pos="420"/>
        </w:tabs>
        <w:adjustRightInd w:val="0"/>
        <w:snapToGrid w:val="0"/>
        <w:spacing w:line="300" w:lineRule="auto"/>
        <w:ind w:left="420" w:leftChars="0" w:firstLineChars="0"/>
        <w:rPr>
          <w:rFonts w:cs="宋体"/>
        </w:rPr>
      </w:pPr>
      <w:r>
        <w:rPr>
          <w:rFonts w:hint="eastAsia" w:cs="宋体"/>
        </w:rPr>
        <w:t>法人代表或授权代表有效身份证（盖有法人单位公章的复印件，包括正反两面）；</w:t>
      </w:r>
    </w:p>
    <w:p>
      <w:pPr>
        <w:pStyle w:val="35"/>
        <w:widowControl/>
        <w:numPr>
          <w:ilvl w:val="0"/>
          <w:numId w:val="9"/>
        </w:numPr>
        <w:tabs>
          <w:tab w:val="left" w:pos="420"/>
        </w:tabs>
        <w:adjustRightInd w:val="0"/>
        <w:snapToGrid w:val="0"/>
        <w:spacing w:line="300" w:lineRule="auto"/>
        <w:ind w:left="420" w:leftChars="0" w:firstLineChars="0"/>
        <w:rPr>
          <w:rFonts w:cs="宋体"/>
        </w:rPr>
      </w:pPr>
      <w:r>
        <w:rPr>
          <w:rFonts w:hint="eastAsia" w:ascii="宋体" w:hAnsi="宋体" w:cs="宋体"/>
          <w:szCs w:val="21"/>
        </w:rPr>
        <w:t>完税证明复印</w:t>
      </w:r>
      <w:r>
        <w:rPr>
          <w:rFonts w:hint="eastAsia" w:cs="宋体"/>
        </w:rPr>
        <w:t>件（加盖法人单位公章）；</w:t>
      </w:r>
    </w:p>
    <w:p>
      <w:pPr>
        <w:pStyle w:val="35"/>
        <w:widowControl/>
        <w:numPr>
          <w:ilvl w:val="0"/>
          <w:numId w:val="9"/>
        </w:numPr>
        <w:tabs>
          <w:tab w:val="left" w:pos="420"/>
        </w:tabs>
        <w:adjustRightInd w:val="0"/>
        <w:snapToGrid w:val="0"/>
        <w:spacing w:line="300" w:lineRule="auto"/>
        <w:ind w:left="420" w:leftChars="0" w:firstLineChars="0"/>
        <w:rPr>
          <w:rFonts w:cs="宋体"/>
        </w:rPr>
      </w:pPr>
      <w:r>
        <w:rPr>
          <w:rFonts w:hint="eastAsia" w:cs="宋体"/>
        </w:rPr>
        <w:t>投标方经营业绩情况，至少应包括近两年的年度财务报表审计报告、近两年的财务报表，并</w:t>
      </w:r>
      <w:r>
        <w:rPr>
          <w:rFonts w:hint="eastAsia" w:ascii="宋体" w:hAnsi="宋体" w:cs="宋体"/>
          <w:szCs w:val="21"/>
        </w:rPr>
        <w:t>提供信用中国网站查询记录（</w:t>
      </w:r>
      <w:r>
        <w:rPr>
          <w:rFonts w:hint="eastAsia" w:cs="宋体"/>
        </w:rPr>
        <w:t>加盖法人单位公章</w:t>
      </w:r>
      <w:r>
        <w:rPr>
          <w:rFonts w:hint="eastAsia" w:ascii="宋体" w:hAnsi="宋体" w:cs="宋体"/>
          <w:szCs w:val="21"/>
        </w:rPr>
        <w:t>）；</w:t>
      </w:r>
    </w:p>
    <w:p>
      <w:pPr>
        <w:pStyle w:val="35"/>
        <w:widowControl/>
        <w:numPr>
          <w:ilvl w:val="0"/>
          <w:numId w:val="9"/>
        </w:numPr>
        <w:tabs>
          <w:tab w:val="left" w:pos="420"/>
        </w:tabs>
        <w:adjustRightInd w:val="0"/>
        <w:snapToGrid w:val="0"/>
        <w:spacing w:line="300" w:lineRule="auto"/>
        <w:ind w:left="420" w:leftChars="0" w:firstLineChars="0"/>
        <w:rPr>
          <w:rFonts w:cs="宋体"/>
        </w:rPr>
      </w:pPr>
      <w:r>
        <w:rPr>
          <w:rFonts w:hint="eastAsia" w:cs="宋体"/>
        </w:rPr>
        <w:t>竞标人资格证明文件（附件3）；</w:t>
      </w:r>
    </w:p>
    <w:p>
      <w:pPr>
        <w:pStyle w:val="35"/>
        <w:widowControl/>
        <w:numPr>
          <w:ilvl w:val="0"/>
          <w:numId w:val="9"/>
        </w:numPr>
        <w:tabs>
          <w:tab w:val="left" w:pos="420"/>
        </w:tabs>
        <w:adjustRightInd w:val="0"/>
        <w:snapToGrid w:val="0"/>
        <w:spacing w:line="300" w:lineRule="auto"/>
        <w:ind w:left="420" w:leftChars="0" w:firstLineChars="0"/>
        <w:rPr>
          <w:rFonts w:cs="宋体"/>
        </w:rPr>
      </w:pPr>
      <w:r>
        <w:rPr>
          <w:rFonts w:hint="eastAsia" w:cs="宋体"/>
        </w:rPr>
        <w:t>纳税信用评价信息</w:t>
      </w:r>
      <w:r>
        <w:rPr>
          <w:rFonts w:hint="eastAsia" w:cs="宋体"/>
          <w:lang w:eastAsia="zh-CN"/>
        </w:rPr>
        <w:t>（</w:t>
      </w:r>
      <w:r>
        <w:rPr>
          <w:rFonts w:hint="eastAsia" w:cs="宋体"/>
          <w:lang w:val="en-US" w:eastAsia="zh-CN"/>
        </w:rPr>
        <w:t>须加盖公章</w:t>
      </w:r>
      <w:r>
        <w:rPr>
          <w:rFonts w:hint="eastAsia" w:cs="宋体"/>
          <w:lang w:eastAsia="zh-CN"/>
        </w:rPr>
        <w:t>）；</w:t>
      </w:r>
    </w:p>
    <w:p>
      <w:pPr>
        <w:pStyle w:val="35"/>
        <w:widowControl/>
        <w:numPr>
          <w:ilvl w:val="0"/>
          <w:numId w:val="9"/>
        </w:numPr>
        <w:tabs>
          <w:tab w:val="left" w:pos="420"/>
        </w:tabs>
        <w:adjustRightInd w:val="0"/>
        <w:snapToGrid w:val="0"/>
        <w:spacing w:line="300" w:lineRule="auto"/>
        <w:ind w:left="420" w:leftChars="0" w:firstLineChars="0"/>
        <w:rPr>
          <w:rFonts w:cs="宋体"/>
        </w:rPr>
      </w:pPr>
      <w:r>
        <w:rPr>
          <w:rFonts w:hint="eastAsia" w:cs="宋体"/>
        </w:rPr>
        <w:t>企业对外担保证明</w:t>
      </w:r>
      <w:r>
        <w:rPr>
          <w:rFonts w:hint="eastAsia" w:cs="宋体"/>
          <w:lang w:eastAsia="zh-CN"/>
        </w:rPr>
        <w:t>（</w:t>
      </w:r>
      <w:r>
        <w:rPr>
          <w:rFonts w:hint="eastAsia" w:cs="宋体"/>
          <w:lang w:val="en-US" w:eastAsia="zh-CN"/>
        </w:rPr>
        <w:t>须加盖公章</w:t>
      </w:r>
      <w:r>
        <w:rPr>
          <w:rFonts w:hint="eastAsia" w:cs="宋体"/>
          <w:lang w:eastAsia="zh-CN"/>
        </w:rPr>
        <w:t>）；</w:t>
      </w:r>
    </w:p>
    <w:p>
      <w:pPr>
        <w:pStyle w:val="35"/>
        <w:widowControl/>
        <w:numPr>
          <w:ilvl w:val="0"/>
          <w:numId w:val="9"/>
        </w:numPr>
        <w:tabs>
          <w:tab w:val="left" w:pos="420"/>
        </w:tabs>
        <w:adjustRightInd w:val="0"/>
        <w:snapToGrid w:val="0"/>
        <w:spacing w:line="300" w:lineRule="auto"/>
        <w:ind w:left="420" w:leftChars="0" w:firstLineChars="0"/>
        <w:rPr>
          <w:rFonts w:cs="宋体"/>
        </w:rPr>
      </w:pPr>
      <w:r>
        <w:rPr>
          <w:rFonts w:hint="eastAsia" w:cs="宋体"/>
        </w:rPr>
        <w:t>提供5</w:t>
      </w:r>
      <w:r>
        <w:rPr>
          <w:rFonts w:cs="宋体"/>
        </w:rPr>
        <w:t>.1</w:t>
      </w:r>
      <w:r>
        <w:rPr>
          <w:rFonts w:hint="eastAsia" w:cs="宋体"/>
        </w:rPr>
        <w:t>节招标要求中-</w:t>
      </w:r>
      <w:r>
        <w:rPr>
          <w:rFonts w:hint="eastAsia" w:ascii="宋体" w:hAnsi="宋体" w:cs="宋体"/>
          <w:color w:val="000000"/>
          <w:szCs w:val="21"/>
        </w:rPr>
        <w:t>投标人资质要求相关证明材料</w:t>
      </w:r>
      <w:r>
        <w:rPr>
          <w:rFonts w:hint="eastAsia" w:ascii="宋体" w:hAnsi="宋体" w:cs="宋体"/>
          <w:color w:val="000000"/>
          <w:szCs w:val="21"/>
          <w:lang w:eastAsia="zh-CN"/>
        </w:rPr>
        <w:t>。</w:t>
      </w:r>
    </w:p>
    <w:p>
      <w:pPr>
        <w:pStyle w:val="34"/>
        <w:widowControl/>
        <w:ind w:firstLine="480"/>
      </w:pPr>
      <w:r>
        <w:t>2.</w:t>
      </w:r>
      <w:r>
        <w:rPr>
          <w:rFonts w:hint="eastAsia"/>
          <w:b/>
          <w:bCs/>
        </w:rPr>
        <w:t>技术标</w:t>
      </w:r>
      <w:r>
        <w:rPr>
          <w:rFonts w:hint="eastAsia"/>
        </w:rPr>
        <w:t>（独立封装在一个档案袋，一式四份，其中正本一份，副本三份，并附存有电子版投标文件的</w:t>
      </w:r>
      <w:r>
        <w:t>U</w:t>
      </w:r>
      <w:r>
        <w:rPr>
          <w:rFonts w:hint="eastAsia"/>
        </w:rPr>
        <w:t>盘，电子版要求详见后面投标文件格式，此U盘和技术标封装在一起，注意和讲标文件U盘做好区分，讲标U盘独立封装，现场讲标时开启使用）：</w:t>
      </w:r>
    </w:p>
    <w:p>
      <w:pPr>
        <w:pStyle w:val="35"/>
        <w:widowControl/>
        <w:numPr>
          <w:ilvl w:val="0"/>
          <w:numId w:val="10"/>
        </w:numPr>
        <w:tabs>
          <w:tab w:val="left" w:pos="420"/>
          <w:tab w:val="clear" w:pos="0"/>
        </w:tabs>
        <w:adjustRightInd w:val="0"/>
        <w:snapToGrid w:val="0"/>
        <w:spacing w:line="300" w:lineRule="auto"/>
        <w:ind w:left="1110" w:leftChars="300" w:hanging="480" w:hangingChars="200"/>
        <w:rPr>
          <w:rFonts w:cs="宋体"/>
        </w:rPr>
      </w:pPr>
      <w:r>
        <w:rPr>
          <w:rFonts w:hint="eastAsia" w:cs="宋体"/>
        </w:rPr>
        <w:t>项目实施方案（见附件7）。针对招标文件项目技术要求，提出相应的解决方案；</w:t>
      </w:r>
    </w:p>
    <w:p>
      <w:pPr>
        <w:pStyle w:val="35"/>
        <w:widowControl/>
        <w:numPr>
          <w:ilvl w:val="0"/>
          <w:numId w:val="10"/>
        </w:numPr>
        <w:tabs>
          <w:tab w:val="left" w:pos="420"/>
          <w:tab w:val="clear" w:pos="0"/>
        </w:tabs>
        <w:adjustRightInd w:val="0"/>
        <w:snapToGrid w:val="0"/>
        <w:spacing w:line="300" w:lineRule="auto"/>
        <w:ind w:left="1110" w:leftChars="300" w:hanging="480" w:hangingChars="200"/>
        <w:rPr>
          <w:rFonts w:cs="宋体"/>
        </w:rPr>
      </w:pPr>
      <w:r>
        <w:rPr>
          <w:rFonts w:hint="eastAsia" w:cs="宋体"/>
        </w:rPr>
        <w:t xml:space="preserve">关于汽车金融公司、大型汽车集团财务公司或商业银行档案检查业务外包等项目相关案例，包括项目实施时间、单位、应用范围、投标人参与的核心成员等； </w:t>
      </w:r>
    </w:p>
    <w:p>
      <w:pPr>
        <w:pStyle w:val="35"/>
        <w:widowControl/>
        <w:numPr>
          <w:ilvl w:val="0"/>
          <w:numId w:val="10"/>
        </w:numPr>
        <w:tabs>
          <w:tab w:val="left" w:pos="420"/>
          <w:tab w:val="clear" w:pos="0"/>
        </w:tabs>
        <w:adjustRightInd w:val="0"/>
        <w:snapToGrid w:val="0"/>
        <w:spacing w:line="300" w:lineRule="auto"/>
        <w:ind w:left="1110" w:leftChars="300" w:hanging="480" w:hangingChars="200"/>
        <w:rPr>
          <w:rFonts w:cs="宋体"/>
        </w:rPr>
      </w:pPr>
      <w:r>
        <w:rPr>
          <w:rFonts w:hint="eastAsia" w:cs="宋体"/>
        </w:rPr>
        <w:t>技术规格、参数偏离表（见附件6）；</w:t>
      </w:r>
    </w:p>
    <w:p>
      <w:pPr>
        <w:pStyle w:val="35"/>
        <w:widowControl/>
        <w:numPr>
          <w:ilvl w:val="0"/>
          <w:numId w:val="10"/>
        </w:numPr>
        <w:tabs>
          <w:tab w:val="left" w:pos="420"/>
          <w:tab w:val="clear" w:pos="0"/>
        </w:tabs>
        <w:adjustRightInd w:val="0"/>
        <w:snapToGrid w:val="0"/>
        <w:spacing w:line="300" w:lineRule="auto"/>
        <w:ind w:left="1110" w:leftChars="300" w:hanging="480" w:hangingChars="200"/>
        <w:rPr>
          <w:rFonts w:cs="宋体"/>
        </w:rPr>
      </w:pPr>
      <w:r>
        <w:rPr>
          <w:rFonts w:hint="eastAsia" w:cs="宋体"/>
        </w:rPr>
        <w:t>投标报名表（见附件8）；</w:t>
      </w:r>
    </w:p>
    <w:p>
      <w:pPr>
        <w:pStyle w:val="35"/>
        <w:widowControl/>
        <w:numPr>
          <w:ilvl w:val="0"/>
          <w:numId w:val="10"/>
        </w:numPr>
        <w:tabs>
          <w:tab w:val="left" w:pos="420"/>
          <w:tab w:val="clear" w:pos="0"/>
        </w:tabs>
        <w:adjustRightInd w:val="0"/>
        <w:snapToGrid w:val="0"/>
        <w:spacing w:line="300" w:lineRule="auto"/>
        <w:ind w:left="1110" w:leftChars="300" w:hanging="480" w:hangingChars="200"/>
        <w:rPr>
          <w:rFonts w:cs="宋体"/>
        </w:rPr>
      </w:pPr>
      <w:r>
        <w:rPr>
          <w:rFonts w:hint="eastAsia" w:cs="宋体"/>
        </w:rPr>
        <w:t>出具提供服务的《承诺函》（对服务内容、服务质量等内容进行承诺）；</w:t>
      </w:r>
    </w:p>
    <w:p>
      <w:pPr>
        <w:pStyle w:val="35"/>
        <w:widowControl/>
        <w:numPr>
          <w:ilvl w:val="0"/>
          <w:numId w:val="10"/>
        </w:numPr>
        <w:tabs>
          <w:tab w:val="left" w:pos="420"/>
          <w:tab w:val="clear" w:pos="0"/>
        </w:tabs>
        <w:adjustRightInd w:val="0"/>
        <w:snapToGrid w:val="0"/>
        <w:spacing w:line="300" w:lineRule="auto"/>
        <w:ind w:left="1110" w:leftChars="300" w:hanging="480" w:hangingChars="200"/>
        <w:rPr>
          <w:rFonts w:cs="宋体"/>
        </w:rPr>
      </w:pPr>
      <w:r>
        <w:rPr>
          <w:rFonts w:hint="eastAsia" w:ascii="宋体" w:hAnsi="宋体" w:cs="宋体"/>
          <w:color w:val="000000"/>
          <w:szCs w:val="21"/>
        </w:rPr>
        <w:t>投标人自行编写的技术文件；</w:t>
      </w:r>
    </w:p>
    <w:p>
      <w:pPr>
        <w:pStyle w:val="35"/>
        <w:widowControl/>
        <w:numPr>
          <w:ilvl w:val="0"/>
          <w:numId w:val="10"/>
        </w:numPr>
        <w:tabs>
          <w:tab w:val="left" w:pos="420"/>
          <w:tab w:val="clear" w:pos="0"/>
        </w:tabs>
        <w:adjustRightInd w:val="0"/>
        <w:snapToGrid w:val="0"/>
        <w:spacing w:line="300" w:lineRule="auto"/>
        <w:ind w:left="1110" w:leftChars="300" w:hanging="480" w:hangingChars="200"/>
        <w:rPr>
          <w:rFonts w:cs="宋体"/>
        </w:rPr>
      </w:pPr>
      <w:r>
        <w:rPr>
          <w:rFonts w:hint="eastAsia" w:ascii="宋体" w:hAnsi="宋体" w:cs="宋体"/>
          <w:color w:val="000000"/>
          <w:szCs w:val="21"/>
        </w:rPr>
        <w:t>投标人认为需要提供的其它说明和资料。</w:t>
      </w:r>
    </w:p>
    <w:p>
      <w:pPr>
        <w:pStyle w:val="35"/>
        <w:widowControl/>
        <w:numPr>
          <w:ilvl w:val="0"/>
          <w:numId w:val="0"/>
        </w:numPr>
        <w:tabs>
          <w:tab w:val="left" w:pos="0"/>
          <w:tab w:val="left" w:pos="420"/>
        </w:tabs>
        <w:adjustRightInd w:val="0"/>
        <w:snapToGrid w:val="0"/>
        <w:spacing w:line="300" w:lineRule="auto"/>
        <w:ind w:left="630"/>
        <w:rPr>
          <w:rFonts w:cs="宋体"/>
          <w:b/>
          <w:bCs/>
          <w:color w:val="FF0000"/>
        </w:rPr>
      </w:pPr>
      <w:r>
        <w:rPr>
          <w:rFonts w:hint="eastAsia" w:cs="宋体"/>
          <w:b/>
          <w:bCs/>
          <w:color w:val="FF0000"/>
        </w:rPr>
        <w:t>特别注意：技术标资料中一定不要包含报价内容。</w:t>
      </w:r>
    </w:p>
    <w:p>
      <w:pPr>
        <w:pStyle w:val="34"/>
        <w:widowControl/>
        <w:ind w:firstLine="480"/>
      </w:pPr>
      <w:r>
        <w:t>3</w:t>
      </w:r>
      <w:r>
        <w:rPr>
          <w:rFonts w:hint="eastAsia"/>
        </w:rPr>
        <w:t>．</w:t>
      </w:r>
      <w:r>
        <w:rPr>
          <w:rFonts w:hint="eastAsia"/>
          <w:b/>
          <w:bCs/>
        </w:rPr>
        <w:t>商务标</w:t>
      </w:r>
      <w:r>
        <w:rPr>
          <w:rFonts w:hint="eastAsia"/>
        </w:rPr>
        <w:t>（独立封装在一个档案袋，一式四份，其中正本一份，副本三份）：</w:t>
      </w:r>
    </w:p>
    <w:p>
      <w:pPr>
        <w:pStyle w:val="35"/>
        <w:widowControl/>
        <w:numPr>
          <w:ilvl w:val="0"/>
          <w:numId w:val="11"/>
        </w:numPr>
        <w:tabs>
          <w:tab w:val="left" w:pos="420"/>
          <w:tab w:val="clear" w:pos="0"/>
        </w:tabs>
        <w:adjustRightInd w:val="0"/>
        <w:snapToGrid w:val="0"/>
        <w:spacing w:line="300" w:lineRule="auto"/>
        <w:ind w:left="1110" w:leftChars="300" w:hanging="480" w:hangingChars="200"/>
        <w:rPr>
          <w:rFonts w:cs="宋体"/>
        </w:rPr>
      </w:pPr>
      <w:r>
        <w:rPr>
          <w:rFonts w:hint="eastAsia" w:cs="宋体"/>
        </w:rPr>
        <w:t>投标函（见附件</w:t>
      </w:r>
      <w:r>
        <w:rPr>
          <w:rFonts w:cs="宋体"/>
        </w:rPr>
        <w:t>1</w:t>
      </w:r>
      <w:r>
        <w:rPr>
          <w:rFonts w:hint="eastAsia" w:cs="宋体"/>
        </w:rPr>
        <w:t>）。</w:t>
      </w:r>
    </w:p>
    <w:p>
      <w:pPr>
        <w:pStyle w:val="35"/>
        <w:widowControl/>
        <w:numPr>
          <w:ilvl w:val="0"/>
          <w:numId w:val="11"/>
        </w:numPr>
        <w:tabs>
          <w:tab w:val="left" w:pos="420"/>
          <w:tab w:val="clear" w:pos="0"/>
        </w:tabs>
        <w:adjustRightInd w:val="0"/>
        <w:snapToGrid w:val="0"/>
        <w:spacing w:line="300" w:lineRule="auto"/>
        <w:ind w:left="1110" w:leftChars="300" w:hanging="480" w:hangingChars="200"/>
        <w:rPr>
          <w:rFonts w:cs="宋体"/>
        </w:rPr>
      </w:pPr>
      <w:r>
        <w:rPr>
          <w:rFonts w:hint="eastAsia" w:cs="宋体"/>
        </w:rPr>
        <w:t>开标一览表（见附件</w:t>
      </w:r>
      <w:r>
        <w:rPr>
          <w:rFonts w:cs="宋体"/>
        </w:rPr>
        <w:t>4</w:t>
      </w:r>
      <w:r>
        <w:rPr>
          <w:rFonts w:hint="eastAsia" w:cs="宋体"/>
        </w:rPr>
        <w:t>）。</w:t>
      </w:r>
    </w:p>
    <w:p>
      <w:pPr>
        <w:pStyle w:val="35"/>
        <w:widowControl/>
        <w:numPr>
          <w:ilvl w:val="0"/>
          <w:numId w:val="0"/>
        </w:numPr>
        <w:adjustRightInd w:val="0"/>
        <w:snapToGrid w:val="0"/>
        <w:spacing w:line="300" w:lineRule="auto"/>
        <w:ind w:left="-105" w:firstLine="420" w:firstLineChars="175"/>
        <w:rPr>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开标一览表中所有报价均采用人民币报价，其金额应包括：</w:t>
      </w:r>
      <w:r>
        <w:rPr>
          <w:rFonts w:hint="eastAsia" w:cs="宋体"/>
        </w:rPr>
        <w:t>档案检查项目</w:t>
      </w:r>
      <w:r>
        <w:rPr>
          <w:rFonts w:hint="eastAsia" w:cs="宋体"/>
          <w:color w:val="000000" w:themeColor="text1"/>
          <w:szCs w:val="24"/>
          <w14:textFill>
            <w14:solidFill>
              <w14:schemeClr w14:val="tx1"/>
            </w14:solidFill>
          </w14:textFill>
        </w:rPr>
        <w:t>外包费、税费等一切费用。</w:t>
      </w:r>
    </w:p>
    <w:p>
      <w:pPr>
        <w:pStyle w:val="35"/>
        <w:widowControl/>
        <w:numPr>
          <w:ilvl w:val="0"/>
          <w:numId w:val="11"/>
        </w:numPr>
        <w:tabs>
          <w:tab w:val="left" w:pos="420"/>
          <w:tab w:val="clear" w:pos="0"/>
        </w:tabs>
        <w:adjustRightInd w:val="0"/>
        <w:snapToGrid w:val="0"/>
        <w:spacing w:line="300" w:lineRule="auto"/>
        <w:ind w:left="1110" w:leftChars="300" w:hanging="480" w:hangingChars="200"/>
        <w:rPr>
          <w:rFonts w:cs="宋体"/>
        </w:rPr>
      </w:pPr>
      <w:r>
        <w:rPr>
          <w:rFonts w:hint="eastAsia" w:cs="宋体"/>
        </w:rPr>
        <w:t>商务条款偏离表（见附件5）。</w:t>
      </w:r>
    </w:p>
    <w:p>
      <w:pPr>
        <w:pStyle w:val="35"/>
        <w:widowControl/>
        <w:numPr>
          <w:ilvl w:val="0"/>
          <w:numId w:val="11"/>
        </w:numPr>
        <w:tabs>
          <w:tab w:val="left" w:pos="420"/>
          <w:tab w:val="clear" w:pos="0"/>
        </w:tabs>
        <w:adjustRightInd w:val="0"/>
        <w:snapToGrid w:val="0"/>
        <w:spacing w:line="300" w:lineRule="auto"/>
        <w:ind w:left="1110" w:leftChars="300" w:hanging="480" w:hangingChars="200"/>
        <w:rPr>
          <w:rFonts w:cs="宋体"/>
        </w:rPr>
      </w:pPr>
      <w:r>
        <w:rPr>
          <w:rFonts w:hint="eastAsia" w:cs="宋体"/>
        </w:rPr>
        <w:t>服务承诺及优惠条件。</w:t>
      </w:r>
    </w:p>
    <w:p>
      <w:pPr>
        <w:pStyle w:val="35"/>
        <w:widowControl/>
        <w:numPr>
          <w:ilvl w:val="0"/>
          <w:numId w:val="11"/>
        </w:numPr>
        <w:tabs>
          <w:tab w:val="left" w:pos="420"/>
          <w:tab w:val="clear" w:pos="0"/>
        </w:tabs>
        <w:adjustRightInd w:val="0"/>
        <w:snapToGrid w:val="0"/>
        <w:spacing w:line="300" w:lineRule="auto"/>
        <w:ind w:left="1110" w:leftChars="300" w:hanging="480" w:hangingChars="200"/>
        <w:rPr>
          <w:rFonts w:cs="宋体"/>
        </w:rPr>
      </w:pPr>
      <w:r>
        <w:rPr>
          <w:rFonts w:hint="eastAsia" w:cs="宋体"/>
        </w:rPr>
        <w:t>其它需要说明的事项。</w:t>
      </w:r>
    </w:p>
    <w:p>
      <w:pPr>
        <w:pStyle w:val="63"/>
        <w:numPr>
          <w:ilvl w:val="1"/>
          <w:numId w:val="5"/>
        </w:numPr>
      </w:pPr>
      <w:bookmarkStart w:id="104" w:name="_Toc95148185"/>
      <w:bookmarkStart w:id="105" w:name="_Toc74143844"/>
      <w:bookmarkStart w:id="106" w:name="_Toc109031558"/>
      <w:r>
        <w:rPr>
          <w:rFonts w:hint="eastAsia"/>
        </w:rPr>
        <w:t>投标文件格式</w:t>
      </w:r>
      <w:bookmarkEnd w:id="104"/>
      <w:bookmarkEnd w:id="105"/>
      <w:bookmarkEnd w:id="106"/>
    </w:p>
    <w:p>
      <w:pPr>
        <w:pStyle w:val="35"/>
        <w:widowControl/>
        <w:numPr>
          <w:ilvl w:val="0"/>
          <w:numId w:val="12"/>
        </w:numPr>
      </w:pPr>
      <w:r>
        <w:rPr>
          <w:rFonts w:hint="eastAsia" w:ascii="宋体" w:cs="宋体"/>
        </w:rPr>
        <w:t>投标文件语言应采用中文。</w:t>
      </w:r>
    </w:p>
    <w:p>
      <w:pPr>
        <w:pStyle w:val="35"/>
        <w:widowControl/>
        <w:numPr>
          <w:ilvl w:val="0"/>
          <w:numId w:val="12"/>
        </w:numPr>
      </w:pPr>
      <w:r>
        <w:rPr>
          <w:rFonts w:hint="eastAsia" w:cs="宋体"/>
        </w:rPr>
        <w:t>投标文件字体书写必须工整清楚，易于辨认，文义明白准确。投标文件不得涂改和增删。如因字迹潦草或表达不清所引起的后果由投标人负责。</w:t>
      </w:r>
    </w:p>
    <w:p>
      <w:pPr>
        <w:pStyle w:val="35"/>
        <w:widowControl/>
        <w:numPr>
          <w:ilvl w:val="0"/>
          <w:numId w:val="12"/>
        </w:numPr>
      </w:pPr>
      <w:r>
        <w:rPr>
          <w:rFonts w:hint="eastAsia" w:cs="宋体"/>
        </w:rPr>
        <w:t>投标文件必须用不褪色的墨水填写或打印。</w:t>
      </w:r>
    </w:p>
    <w:p>
      <w:pPr>
        <w:pStyle w:val="35"/>
        <w:widowControl/>
        <w:numPr>
          <w:ilvl w:val="0"/>
          <w:numId w:val="12"/>
        </w:numPr>
      </w:pPr>
      <w:r>
        <w:rPr>
          <w:rFonts w:hint="eastAsia" w:cs="宋体"/>
        </w:rPr>
        <w:t>投标文件必须由法人代表或授权代表签署，投标人应填写全称，并加盖公章（含骑缝章）。</w:t>
      </w:r>
    </w:p>
    <w:p>
      <w:pPr>
        <w:pStyle w:val="35"/>
        <w:widowControl/>
        <w:numPr>
          <w:ilvl w:val="0"/>
          <w:numId w:val="12"/>
        </w:numPr>
        <w:rPr>
          <w:rFonts w:ascii="宋体" w:cs="宋体"/>
        </w:rPr>
      </w:pPr>
      <w:r>
        <w:rPr>
          <w:rFonts w:hint="eastAsia" w:ascii="宋体" w:cs="宋体"/>
        </w:rPr>
        <w:t>不按上述规定编写的投标文件将视为主动放弃，不予评标。</w:t>
      </w:r>
    </w:p>
    <w:p>
      <w:pPr>
        <w:pStyle w:val="63"/>
        <w:numPr>
          <w:ilvl w:val="1"/>
          <w:numId w:val="5"/>
        </w:numPr>
      </w:pPr>
      <w:bookmarkStart w:id="107" w:name="_Toc74143845"/>
      <w:bookmarkStart w:id="108" w:name="_Toc109031559"/>
      <w:bookmarkStart w:id="109" w:name="_Toc234922354"/>
      <w:bookmarkStart w:id="110" w:name="_Toc264881859"/>
      <w:bookmarkStart w:id="111" w:name="_Toc95148186"/>
      <w:bookmarkStart w:id="112" w:name="_Toc265850579"/>
      <w:r>
        <w:rPr>
          <w:rFonts w:hint="eastAsia"/>
        </w:rPr>
        <w:t>投标文件的装袋、密封和递交</w:t>
      </w:r>
      <w:bookmarkEnd w:id="107"/>
      <w:bookmarkEnd w:id="108"/>
      <w:bookmarkEnd w:id="109"/>
      <w:bookmarkEnd w:id="110"/>
      <w:bookmarkEnd w:id="111"/>
      <w:bookmarkEnd w:id="112"/>
    </w:p>
    <w:p>
      <w:pPr>
        <w:pStyle w:val="35"/>
        <w:widowControl/>
        <w:numPr>
          <w:ilvl w:val="0"/>
          <w:numId w:val="13"/>
        </w:numPr>
      </w:pPr>
      <w:r>
        <w:rPr>
          <w:rFonts w:hint="eastAsia" w:cs="宋体"/>
        </w:rPr>
        <w:t>投标文件在封页正面右上角标明“正本”、“副本”字样，保证正本与副本的内容一致。如果正本与副本内容不一致以正本为准。提交电子版标书一份。</w:t>
      </w:r>
    </w:p>
    <w:p>
      <w:pPr>
        <w:pStyle w:val="35"/>
        <w:widowControl/>
        <w:numPr>
          <w:ilvl w:val="0"/>
          <w:numId w:val="13"/>
        </w:numPr>
      </w:pPr>
      <w:r>
        <w:rPr>
          <w:rFonts w:hint="eastAsia" w:cs="宋体"/>
        </w:rPr>
        <w:t>正面封皮应标明投标人单位名称、地址，并在单位名称处加盖公章。</w:t>
      </w:r>
    </w:p>
    <w:p>
      <w:pPr>
        <w:pStyle w:val="35"/>
        <w:widowControl/>
        <w:numPr>
          <w:ilvl w:val="0"/>
          <w:numId w:val="13"/>
        </w:numPr>
      </w:pPr>
      <w:r>
        <w:rPr>
          <w:rFonts w:hint="eastAsia" w:cs="宋体"/>
        </w:rPr>
        <w:t>投标书正本内封和投标书副本内封封口处</w:t>
      </w:r>
      <w:r>
        <w:rPr>
          <w:rFonts w:hint="eastAsia" w:ascii="宋体" w:hAnsi="宋体" w:cs="宋体"/>
        </w:rPr>
        <w:t>应有投标全权代表的签字或</w:t>
      </w:r>
      <w:r>
        <w:rPr>
          <w:rFonts w:hint="eastAsia" w:cs="宋体"/>
        </w:rPr>
        <w:t>投标单位公章，</w:t>
      </w:r>
      <w:r>
        <w:rPr>
          <w:rFonts w:hint="eastAsia" w:ascii="宋体" w:hAnsi="宋体" w:cs="宋体"/>
        </w:rPr>
        <w:t>并注明“开标时启封”字样。</w:t>
      </w:r>
    </w:p>
    <w:p>
      <w:pPr>
        <w:pStyle w:val="35"/>
        <w:widowControl/>
        <w:numPr>
          <w:ilvl w:val="0"/>
          <w:numId w:val="13"/>
        </w:numPr>
      </w:pPr>
      <w:r>
        <w:rPr>
          <w:rFonts w:hint="eastAsia" w:cs="宋体"/>
        </w:rPr>
        <w:t>开标一览表内封封口处应加盖投标单位公章。</w:t>
      </w:r>
    </w:p>
    <w:p>
      <w:pPr>
        <w:pStyle w:val="35"/>
        <w:widowControl/>
        <w:numPr>
          <w:ilvl w:val="0"/>
          <w:numId w:val="13"/>
        </w:numPr>
      </w:pPr>
      <w:r>
        <w:rPr>
          <w:rFonts w:hint="eastAsia" w:cs="宋体"/>
        </w:rPr>
        <w:t>投标文件由投标人在开标日自行带到开标现场，在开标时当场交与招标负责人。</w:t>
      </w:r>
    </w:p>
    <w:p>
      <w:pPr>
        <w:pStyle w:val="63"/>
        <w:numPr>
          <w:ilvl w:val="1"/>
          <w:numId w:val="5"/>
        </w:numPr>
        <w:rPr>
          <w:rFonts w:hint="eastAsia"/>
        </w:rPr>
      </w:pPr>
      <w:bookmarkStart w:id="113" w:name="_Toc74143846"/>
      <w:bookmarkStart w:id="114" w:name="_Toc109031560"/>
      <w:bookmarkStart w:id="115" w:name="_Toc95148187"/>
      <w:r>
        <w:rPr>
          <w:rFonts w:hint="eastAsia"/>
        </w:rPr>
        <w:t>投标保证金缴纳要求和方式</w:t>
      </w:r>
    </w:p>
    <w:p>
      <w:pPr>
        <w:pStyle w:val="34"/>
        <w:numPr>
          <w:ilvl w:val="0"/>
          <w:numId w:val="14"/>
        </w:numPr>
        <w:ind w:left="0" w:leftChars="0" w:firstLine="0" w:firstLineChars="0"/>
        <w:rPr>
          <w:rFonts w:hint="eastAsia"/>
          <w:lang w:val="en-US" w:eastAsia="zh-CN"/>
        </w:rPr>
      </w:pPr>
      <w:r>
        <w:rPr>
          <w:rFonts w:hint="eastAsia"/>
          <w:lang w:val="en-US" w:eastAsia="zh-CN"/>
        </w:rPr>
        <w:t>投标保证金收取标准为：由于项目预算处于100万元＜预算≤500万元之间，本次拟投标单位需收取2万元投标保证金，并需从拟投标人单位基本账户转出。发生以下情况时，招标人有权向银行声明索赔或直接没收投标保证金。发生以下情况时，有权没收保证金：</w:t>
      </w:r>
    </w:p>
    <w:p>
      <w:pPr>
        <w:pStyle w:val="34"/>
        <w:numPr>
          <w:ilvl w:val="0"/>
          <w:numId w:val="0"/>
        </w:numPr>
        <w:ind w:leftChars="0" w:firstLine="240" w:firstLineChars="100"/>
        <w:rPr>
          <w:rFonts w:hint="eastAsia"/>
          <w:lang w:val="en-US" w:eastAsia="zh-CN"/>
        </w:rPr>
      </w:pPr>
      <w:r>
        <w:rPr>
          <w:rFonts w:hint="eastAsia"/>
          <w:lang w:val="en-US" w:eastAsia="zh-CN"/>
        </w:rPr>
        <w:t>a)供应商在提交响应文件截止时间后撤回响应文件的；</w:t>
      </w:r>
    </w:p>
    <w:p>
      <w:pPr>
        <w:pStyle w:val="34"/>
        <w:numPr>
          <w:ilvl w:val="0"/>
          <w:numId w:val="0"/>
        </w:numPr>
        <w:ind w:leftChars="0" w:firstLine="240" w:firstLineChars="100"/>
        <w:rPr>
          <w:rFonts w:hint="eastAsia"/>
          <w:lang w:val="en-US" w:eastAsia="zh-CN"/>
        </w:rPr>
      </w:pPr>
      <w:r>
        <w:rPr>
          <w:rFonts w:hint="eastAsia"/>
          <w:lang w:val="en-US" w:eastAsia="zh-CN"/>
        </w:rPr>
        <w:t>b)供应商在响应文件中提供虚假材料的；</w:t>
      </w:r>
    </w:p>
    <w:p>
      <w:pPr>
        <w:pStyle w:val="34"/>
        <w:numPr>
          <w:ilvl w:val="0"/>
          <w:numId w:val="0"/>
        </w:numPr>
        <w:ind w:leftChars="0" w:firstLine="240" w:firstLineChars="100"/>
        <w:rPr>
          <w:rFonts w:hint="eastAsia"/>
          <w:lang w:val="en-US" w:eastAsia="zh-CN"/>
        </w:rPr>
      </w:pPr>
      <w:r>
        <w:rPr>
          <w:rFonts w:hint="eastAsia"/>
          <w:lang w:val="en-US" w:eastAsia="zh-CN"/>
        </w:rPr>
        <w:t>c)除因不可抗力或谈判文件、询价通知书认可的情形以外，成交供应商不与采购人签订合同的；</w:t>
      </w:r>
    </w:p>
    <w:p>
      <w:pPr>
        <w:pStyle w:val="34"/>
        <w:numPr>
          <w:ilvl w:val="0"/>
          <w:numId w:val="0"/>
        </w:numPr>
        <w:ind w:leftChars="0" w:firstLine="240" w:firstLineChars="100"/>
        <w:rPr>
          <w:rFonts w:hint="eastAsia"/>
          <w:lang w:val="en-US" w:eastAsia="zh-CN"/>
        </w:rPr>
      </w:pPr>
      <w:r>
        <w:rPr>
          <w:rFonts w:hint="eastAsia"/>
          <w:lang w:val="en-US" w:eastAsia="zh-CN"/>
        </w:rPr>
        <w:t>d)供应商与采购人、其他供应商或者采购代理机构恶意串通、围标、陪标的；</w:t>
      </w:r>
    </w:p>
    <w:p>
      <w:pPr>
        <w:pStyle w:val="34"/>
        <w:numPr>
          <w:ilvl w:val="0"/>
          <w:numId w:val="0"/>
        </w:numPr>
        <w:ind w:leftChars="0" w:firstLine="240" w:firstLineChars="100"/>
        <w:rPr>
          <w:rFonts w:hint="eastAsia"/>
          <w:lang w:val="en-US" w:eastAsia="zh-CN"/>
        </w:rPr>
      </w:pPr>
      <w:r>
        <w:rPr>
          <w:rFonts w:hint="eastAsia"/>
          <w:lang w:val="en-US" w:eastAsia="zh-CN"/>
        </w:rPr>
        <w:t>e)供应商有违约违规行为或被投诉、举报的，在调查处理期间，保证金暂不退还，待调查处理结束后按有关规定处理。</w:t>
      </w:r>
    </w:p>
    <w:p>
      <w:pPr>
        <w:pStyle w:val="34"/>
        <w:numPr>
          <w:ilvl w:val="0"/>
          <w:numId w:val="0"/>
        </w:numPr>
        <w:ind w:leftChars="0" w:firstLine="240" w:firstLineChars="100"/>
        <w:rPr>
          <w:rFonts w:hint="eastAsia"/>
          <w:lang w:val="en-US" w:eastAsia="zh-CN"/>
        </w:rPr>
      </w:pPr>
      <w:r>
        <w:rPr>
          <w:rFonts w:hint="eastAsia"/>
          <w:lang w:val="en-US" w:eastAsia="zh-CN"/>
        </w:rPr>
        <w:t>f)截至开标前3天，投标人无正当理由、未以书面形式向招标人递交说明而在投标截止日不来投标的。</w:t>
      </w:r>
    </w:p>
    <w:p>
      <w:pPr>
        <w:pStyle w:val="34"/>
        <w:numPr>
          <w:ilvl w:val="0"/>
          <w:numId w:val="0"/>
        </w:numPr>
        <w:ind w:leftChars="0" w:firstLine="240" w:firstLineChars="100"/>
        <w:rPr>
          <w:rFonts w:hint="eastAsia"/>
          <w:lang w:val="en-US" w:eastAsia="zh-CN"/>
        </w:rPr>
      </w:pPr>
      <w:r>
        <w:rPr>
          <w:rFonts w:hint="eastAsia"/>
          <w:lang w:val="en-US" w:eastAsia="zh-CN"/>
        </w:rPr>
        <w:t>g)自中标通知书发出之日起30日内，中标人无正当理由投标人无正当签订合同的；</w:t>
      </w:r>
    </w:p>
    <w:p>
      <w:pPr>
        <w:pStyle w:val="34"/>
        <w:numPr>
          <w:ilvl w:val="0"/>
          <w:numId w:val="0"/>
        </w:numPr>
        <w:ind w:leftChars="0" w:firstLine="240" w:firstLineChars="100"/>
        <w:rPr>
          <w:rFonts w:hint="default"/>
          <w:lang w:val="en-US" w:eastAsia="zh-CN"/>
        </w:rPr>
      </w:pPr>
      <w:r>
        <w:rPr>
          <w:rFonts w:hint="eastAsia"/>
          <w:lang w:val="en-US" w:eastAsia="zh-CN"/>
        </w:rPr>
        <w:t>h)采购文件规定的其他情形。</w:t>
      </w:r>
    </w:p>
    <w:p>
      <w:pPr>
        <w:pStyle w:val="34"/>
        <w:numPr>
          <w:ilvl w:val="0"/>
          <w:numId w:val="14"/>
        </w:numPr>
        <w:ind w:left="0" w:leftChars="0" w:firstLine="0" w:firstLineChars="0"/>
        <w:rPr>
          <w:rFonts w:hint="eastAsia"/>
          <w:lang w:val="en-US" w:eastAsia="zh-CN"/>
        </w:rPr>
      </w:pPr>
      <w:r>
        <w:rPr>
          <w:rFonts w:hint="eastAsia"/>
          <w:lang w:val="en-US" w:eastAsia="zh-CN"/>
        </w:rPr>
        <w:t>投标保证金支付账户：开户银行：中国银行高新支行，帐户名称：重汽汽车金融有限公司，账号：231227563128，联行号：104451041770。</w:t>
      </w:r>
    </w:p>
    <w:p>
      <w:pPr>
        <w:pStyle w:val="63"/>
        <w:numPr>
          <w:ilvl w:val="1"/>
          <w:numId w:val="5"/>
        </w:numPr>
      </w:pPr>
      <w:r>
        <w:rPr>
          <w:rFonts w:hint="eastAsia"/>
        </w:rPr>
        <w:t>投标文件的澄清</w:t>
      </w:r>
      <w:bookmarkEnd w:id="113"/>
      <w:bookmarkEnd w:id="114"/>
      <w:bookmarkEnd w:id="115"/>
    </w:p>
    <w:p>
      <w:pPr>
        <w:pStyle w:val="35"/>
        <w:widowControl/>
        <w:numPr>
          <w:ilvl w:val="0"/>
          <w:numId w:val="15"/>
        </w:numPr>
      </w:pPr>
      <w:r>
        <w:rPr>
          <w:rFonts w:hint="eastAsia" w:cs="宋体"/>
        </w:rPr>
        <w:t>为有助于对投标文件进行审查、综合评定，招标人有权向投标人提出质疑，请其澄清投标内容。</w:t>
      </w:r>
    </w:p>
    <w:p>
      <w:pPr>
        <w:pStyle w:val="35"/>
        <w:widowControl/>
        <w:numPr>
          <w:ilvl w:val="0"/>
          <w:numId w:val="15"/>
        </w:numPr>
      </w:pPr>
      <w:r>
        <w:rPr>
          <w:rFonts w:hint="eastAsia" w:cs="宋体"/>
        </w:rPr>
        <w:t>重要的澄清答复应是书面的，并作为投标文件的一部分，但不得对投标内容作实质性修改。</w:t>
      </w:r>
    </w:p>
    <w:p>
      <w:pPr>
        <w:pStyle w:val="63"/>
        <w:numPr>
          <w:ilvl w:val="1"/>
          <w:numId w:val="5"/>
        </w:numPr>
      </w:pPr>
      <w:bookmarkStart w:id="116" w:name="_Toc95148188"/>
      <w:bookmarkStart w:id="117" w:name="_Toc109031561"/>
      <w:bookmarkStart w:id="118" w:name="_Toc74143847"/>
      <w:r>
        <w:rPr>
          <w:rFonts w:hint="eastAsia"/>
        </w:rPr>
        <w:t>开标</w:t>
      </w:r>
      <w:bookmarkEnd w:id="116"/>
      <w:bookmarkEnd w:id="117"/>
      <w:bookmarkEnd w:id="118"/>
    </w:p>
    <w:p>
      <w:pPr>
        <w:pStyle w:val="35"/>
        <w:widowControl/>
        <w:numPr>
          <w:ilvl w:val="0"/>
          <w:numId w:val="16"/>
        </w:numPr>
      </w:pPr>
      <w:r>
        <w:rPr>
          <w:rFonts w:hint="eastAsia" w:cs="宋体"/>
        </w:rPr>
        <w:t>招标人按招标文件规定的时间、地点主持公开开标。开标仪式由招标人主持。</w:t>
      </w:r>
    </w:p>
    <w:p>
      <w:pPr>
        <w:pStyle w:val="35"/>
        <w:widowControl/>
        <w:numPr>
          <w:ilvl w:val="0"/>
          <w:numId w:val="16"/>
        </w:numPr>
      </w:pPr>
      <w:r>
        <w:rPr>
          <w:rFonts w:hint="eastAsia" w:cs="宋体"/>
        </w:rPr>
        <w:t>投标人派代表参加开标仪式。若需讲标，则由投标人指定的讲标人负责讲标。</w:t>
      </w:r>
    </w:p>
    <w:p>
      <w:pPr>
        <w:pStyle w:val="35"/>
        <w:widowControl/>
        <w:numPr>
          <w:ilvl w:val="0"/>
          <w:numId w:val="16"/>
        </w:numPr>
      </w:pPr>
      <w:r>
        <w:rPr>
          <w:rFonts w:hint="eastAsia" w:cs="宋体"/>
        </w:rPr>
        <w:t>开标时查验投标文件密封情况，确认无误后拆封唱标。</w:t>
      </w:r>
    </w:p>
    <w:p>
      <w:pPr>
        <w:pStyle w:val="35"/>
        <w:widowControl/>
        <w:numPr>
          <w:ilvl w:val="0"/>
          <w:numId w:val="0"/>
        </w:numPr>
        <w:adjustRightInd w:val="0"/>
        <w:snapToGrid w:val="0"/>
        <w:spacing w:line="300" w:lineRule="auto"/>
        <w:ind w:left="-105" w:firstLine="420" w:firstLineChars="175"/>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招标人在开标仪式上，将公布投标人的名称、投标产品或服务、投标项目、投标价格及其投标的修改、投标的撤回及其有关声明等，招标人将做唱标记录。</w:t>
      </w:r>
    </w:p>
    <w:p>
      <w:pPr>
        <w:pStyle w:val="35"/>
        <w:widowControl/>
        <w:numPr>
          <w:ilvl w:val="0"/>
          <w:numId w:val="0"/>
        </w:numPr>
        <w:rPr>
          <w:rFonts w:cs="宋体"/>
        </w:rPr>
      </w:pPr>
    </w:p>
    <w:p>
      <w:pPr>
        <w:pStyle w:val="35"/>
        <w:widowControl/>
        <w:numPr>
          <w:ilvl w:val="0"/>
          <w:numId w:val="0"/>
        </w:numPr>
        <w:rPr>
          <w:rFonts w:cs="宋体"/>
        </w:rPr>
      </w:pPr>
    </w:p>
    <w:p>
      <w:pPr>
        <w:pStyle w:val="35"/>
        <w:widowControl/>
        <w:numPr>
          <w:ilvl w:val="0"/>
          <w:numId w:val="0"/>
        </w:numPr>
        <w:rPr>
          <w:rFonts w:cs="宋体"/>
        </w:rPr>
      </w:pPr>
    </w:p>
    <w:p>
      <w:pPr>
        <w:pStyle w:val="35"/>
        <w:widowControl/>
        <w:numPr>
          <w:ilvl w:val="0"/>
          <w:numId w:val="0"/>
        </w:numPr>
        <w:rPr>
          <w:rFonts w:cs="宋体"/>
        </w:rPr>
      </w:pPr>
    </w:p>
    <w:p>
      <w:pPr>
        <w:pStyle w:val="35"/>
        <w:widowControl/>
        <w:numPr>
          <w:ilvl w:val="0"/>
          <w:numId w:val="0"/>
        </w:numPr>
        <w:rPr>
          <w:rFonts w:cs="宋体"/>
        </w:rPr>
      </w:pPr>
    </w:p>
    <w:p>
      <w:pPr>
        <w:pStyle w:val="35"/>
        <w:widowControl/>
        <w:numPr>
          <w:ilvl w:val="0"/>
          <w:numId w:val="0"/>
        </w:numPr>
        <w:rPr>
          <w:rFonts w:cs="宋体"/>
        </w:rPr>
      </w:pPr>
    </w:p>
    <w:p>
      <w:pPr>
        <w:pStyle w:val="33"/>
        <w:numPr>
          <w:ilvl w:val="0"/>
          <w:numId w:val="5"/>
        </w:numPr>
      </w:pPr>
      <w:bookmarkStart w:id="119" w:name="_Toc109031562"/>
      <w:bookmarkStart w:id="120" w:name="_Toc95148189"/>
      <w:bookmarkStart w:id="121" w:name="_Toc74143848"/>
      <w:bookmarkStart w:id="122" w:name="_Toc290401052"/>
      <w:bookmarkStart w:id="123" w:name="_Toc533251933"/>
      <w:r>
        <w:rPr>
          <w:rFonts w:hint="eastAsia"/>
        </w:rPr>
        <w:t>讲标及评标</w:t>
      </w:r>
      <w:bookmarkEnd w:id="119"/>
      <w:bookmarkEnd w:id="120"/>
      <w:bookmarkEnd w:id="121"/>
    </w:p>
    <w:p>
      <w:pPr>
        <w:tabs>
          <w:tab w:val="left" w:pos="0"/>
        </w:tabs>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为保证项目顺利实施，由招标人组织、按国家法律法规及公司相关规章制度要求，设立评标工作小组，投标人</w:t>
      </w:r>
      <w:r>
        <w:rPr>
          <w:rFonts w:hint="eastAsia" w:ascii="宋体" w:hAnsi="宋体" w:eastAsia="宋体" w:cs="宋体"/>
          <w:b/>
          <w:color w:val="000000" w:themeColor="text1"/>
          <w:kern w:val="0"/>
          <w:sz w:val="24"/>
          <w14:textFill>
            <w14:solidFill>
              <w14:schemeClr w14:val="tx1"/>
            </w14:solidFill>
          </w14:textFill>
        </w:rPr>
        <w:t>讲标时长为30分钟，答疑时长为10分钟。</w:t>
      </w:r>
      <w:r>
        <w:rPr>
          <w:rFonts w:hint="eastAsia" w:ascii="宋体" w:hAnsi="宋体" w:eastAsia="宋体" w:cs="宋体"/>
          <w:kern w:val="0"/>
          <w:sz w:val="24"/>
        </w:rPr>
        <w:t>采用综合评定法，本着公平、公正、公开的原则，在最大限度地满足招标文件实质性要求的前提下，对招标文件中规定的各项因素进行综合评审，确定中标候选供应商或者中标供应商</w:t>
      </w:r>
      <w:r>
        <w:rPr>
          <w:rFonts w:hint="eastAsia" w:ascii="宋体" w:hAnsi="宋体" w:eastAsia="宋体" w:cs="宋体"/>
          <w:kern w:val="0"/>
          <w:sz w:val="24"/>
          <w:lang w:eastAsia="zh-CN"/>
        </w:rPr>
        <w:t>（</w:t>
      </w:r>
      <w:r>
        <w:rPr>
          <w:rFonts w:hint="eastAsia" w:ascii="宋体" w:hAnsi="宋体" w:eastAsia="宋体" w:cs="宋体"/>
          <w:b/>
          <w:bCs/>
          <w:kern w:val="0"/>
          <w:sz w:val="24"/>
        </w:rPr>
        <w:t>合理最低价中标</w:t>
      </w:r>
      <w:r>
        <w:rPr>
          <w:rFonts w:hint="eastAsia" w:ascii="宋体" w:hAnsi="宋体" w:eastAsia="宋体" w:cs="宋体"/>
          <w:kern w:val="0"/>
          <w:sz w:val="24"/>
          <w:lang w:eastAsia="zh-CN"/>
        </w:rPr>
        <w:t>）</w:t>
      </w:r>
      <w:r>
        <w:rPr>
          <w:rFonts w:hint="eastAsia" w:ascii="宋体" w:hAnsi="宋体" w:eastAsia="宋体" w:cs="宋体"/>
          <w:kern w:val="0"/>
          <w:sz w:val="24"/>
        </w:rPr>
        <w:t>。</w:t>
      </w:r>
      <w:bookmarkStart w:id="124" w:name="OLE_LINK4"/>
    </w:p>
    <w:p>
      <w:pPr>
        <w:spacing w:line="360" w:lineRule="auto"/>
        <w:ind w:firstLine="480" w:firstLineChars="200"/>
        <w:rPr>
          <w:rFonts w:cs="宋体"/>
          <w:b/>
          <w:bCs/>
          <w:kern w:val="0"/>
          <w:sz w:val="24"/>
        </w:rPr>
      </w:pPr>
      <w:r>
        <w:rPr>
          <w:rFonts w:cs="宋体"/>
          <w:kern w:val="0"/>
          <w:sz w:val="24"/>
        </w:rPr>
        <w:t>1</w:t>
      </w:r>
      <w:r>
        <w:rPr>
          <w:rFonts w:hint="eastAsia" w:ascii="Calibri" w:hAnsi="Calibri" w:eastAsia="宋体" w:cs="宋体"/>
          <w:kern w:val="0"/>
          <w:sz w:val="24"/>
        </w:rPr>
        <w:t>本次招标的开标、评标由招标人依法组织实施，</w:t>
      </w:r>
      <w:r>
        <w:rPr>
          <w:rFonts w:hint="eastAsia" w:ascii="Calibri" w:hAnsi="Calibri" w:eastAsia="宋体" w:cs="宋体"/>
          <w:b/>
          <w:bCs/>
          <w:kern w:val="0"/>
          <w:sz w:val="24"/>
        </w:rPr>
        <w:t>本次招标采用技术标和商务标分级开标的模式。</w:t>
      </w:r>
    </w:p>
    <w:p>
      <w:pPr>
        <w:spacing w:line="360" w:lineRule="auto"/>
        <w:ind w:firstLine="480" w:firstLineChars="200"/>
        <w:rPr>
          <w:rFonts w:cs="宋体"/>
          <w:kern w:val="0"/>
          <w:sz w:val="24"/>
        </w:rPr>
      </w:pPr>
      <w:r>
        <w:rPr>
          <w:rFonts w:cs="宋体"/>
          <w:kern w:val="0"/>
          <w:sz w:val="24"/>
        </w:rPr>
        <w:t>2</w:t>
      </w:r>
      <w:r>
        <w:rPr>
          <w:rFonts w:hint="eastAsia" w:ascii="Calibri" w:hAnsi="Calibri" w:eastAsia="宋体" w:cs="宋体"/>
          <w:kern w:val="0"/>
          <w:sz w:val="24"/>
        </w:rPr>
        <w:t>本项目开标时间和地点见“招标内容及形式”。开标会议由招标人组织并主持。招标人邀请各投标人派员参加开标会议。投标人未参加开标的，视同认可开标结果。</w:t>
      </w:r>
    </w:p>
    <w:p>
      <w:pPr>
        <w:spacing w:line="360" w:lineRule="auto"/>
        <w:ind w:firstLine="480" w:firstLineChars="200"/>
        <w:rPr>
          <w:rFonts w:cs="宋体"/>
          <w:kern w:val="0"/>
          <w:sz w:val="24"/>
        </w:rPr>
      </w:pPr>
      <w:r>
        <w:rPr>
          <w:rFonts w:cs="宋体"/>
          <w:kern w:val="0"/>
          <w:sz w:val="24"/>
        </w:rPr>
        <w:t>3</w:t>
      </w:r>
      <w:r>
        <w:rPr>
          <w:rFonts w:hint="eastAsia" w:ascii="Calibri" w:hAnsi="Calibri" w:eastAsia="宋体" w:cs="宋体"/>
          <w:kern w:val="0"/>
          <w:sz w:val="24"/>
        </w:rPr>
        <w:t>开标程序</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1</w:t>
      </w:r>
      <w:r>
        <w:rPr>
          <w:rFonts w:hint="eastAsia" w:ascii="Calibri" w:hAnsi="Calibri" w:eastAsia="宋体" w:cs="宋体"/>
          <w:kern w:val="0"/>
          <w:sz w:val="24"/>
        </w:rPr>
        <w:t>）宣布开标会议开始。</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2</w:t>
      </w:r>
      <w:r>
        <w:rPr>
          <w:rFonts w:hint="eastAsia" w:ascii="Calibri" w:hAnsi="Calibri" w:eastAsia="宋体" w:cs="宋体"/>
          <w:kern w:val="0"/>
          <w:sz w:val="24"/>
        </w:rPr>
        <w:t>）介绍与会人员。</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3</w:t>
      </w:r>
      <w:r>
        <w:rPr>
          <w:rFonts w:hint="eastAsia" w:ascii="Calibri" w:hAnsi="Calibri" w:eastAsia="宋体" w:cs="宋体"/>
          <w:kern w:val="0"/>
          <w:sz w:val="24"/>
        </w:rPr>
        <w:t>）核验投标人资格证件。</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4</w:t>
      </w:r>
      <w:r>
        <w:rPr>
          <w:rFonts w:hint="eastAsia" w:ascii="Calibri" w:hAnsi="Calibri" w:eastAsia="宋体" w:cs="宋体"/>
          <w:kern w:val="0"/>
          <w:sz w:val="24"/>
        </w:rPr>
        <w:t>）投标人或投标人推选的代表对投标文件密封情况进行检查（投标人未参加开标会议的，视同认可投标文件密封完好）。</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5</w:t>
      </w:r>
      <w:r>
        <w:rPr>
          <w:rFonts w:hint="eastAsia" w:ascii="Calibri" w:hAnsi="Calibri" w:eastAsia="宋体" w:cs="宋体"/>
          <w:kern w:val="0"/>
          <w:sz w:val="24"/>
        </w:rPr>
        <w:t>）经确认无误后，由工作人员当众拆封，先拆启技术标书，开标一览表及商务标书暂时不拆启，由招标人指定专人保管。由评标专家组对所有投标方的技术方案进行综合评定和打分，确定进入商务标评审阶段的投标方。</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6</w:t>
      </w:r>
      <w:r>
        <w:rPr>
          <w:rFonts w:hint="eastAsia" w:ascii="Calibri" w:hAnsi="Calibri" w:eastAsia="宋体" w:cs="宋体"/>
          <w:kern w:val="0"/>
          <w:sz w:val="24"/>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根据技术标综合得分</w:t>
      </w:r>
      <w:r>
        <w:rPr>
          <w:rFonts w:hint="eastAsia" w:ascii="Calibri" w:hAnsi="Calibri" w:eastAsia="宋体" w:cs="宋体"/>
          <w:kern w:val="0"/>
          <w:sz w:val="24"/>
          <w:lang w:val="en-US" w:eastAsia="zh-CN"/>
        </w:rPr>
        <w:t>及商务标</w:t>
      </w:r>
      <w:r>
        <w:rPr>
          <w:rFonts w:hint="eastAsia" w:ascii="Calibri" w:hAnsi="Calibri" w:eastAsia="宋体" w:cs="宋体"/>
          <w:kern w:val="0"/>
          <w:sz w:val="24"/>
        </w:rPr>
        <w:t>最低价中标</w:t>
      </w:r>
      <w:r>
        <w:rPr>
          <w:rFonts w:hint="eastAsia" w:ascii="Calibri" w:hAnsi="Calibri" w:eastAsia="宋体" w:cs="宋体"/>
          <w:kern w:val="0"/>
          <w:sz w:val="24"/>
          <w:lang w:eastAsia="zh-CN"/>
        </w:rPr>
        <w:t>，</w:t>
      </w:r>
      <w:r>
        <w:rPr>
          <w:rFonts w:hint="eastAsia" w:ascii="Calibri" w:hAnsi="Calibri" w:eastAsia="宋体" w:cs="宋体"/>
          <w:kern w:val="0"/>
          <w:sz w:val="24"/>
        </w:rPr>
        <w:t>形成专家意见汇总，推荐性价比最优的投标方。</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7</w:t>
      </w:r>
      <w:r>
        <w:rPr>
          <w:rFonts w:hint="eastAsia" w:ascii="Calibri" w:hAnsi="Calibri" w:eastAsia="宋体" w:cs="宋体"/>
          <w:kern w:val="0"/>
          <w:sz w:val="24"/>
        </w:rPr>
        <w:t>）招标人有权根据项目情况，采取多级评标模式，最终确定投标人排序。</w:t>
      </w:r>
    </w:p>
    <w:p>
      <w:pPr>
        <w:spacing w:line="360" w:lineRule="auto"/>
        <w:ind w:firstLine="480" w:firstLineChars="200"/>
        <w:rPr>
          <w:rFonts w:cs="宋体"/>
          <w:kern w:val="0"/>
          <w:sz w:val="24"/>
        </w:rPr>
      </w:pPr>
      <w:r>
        <w:rPr>
          <w:rFonts w:hint="eastAsia" w:ascii="Calibri" w:hAnsi="Calibri" w:eastAsia="宋体" w:cs="宋体"/>
          <w:kern w:val="0"/>
          <w:sz w:val="24"/>
        </w:rPr>
        <w:t>（</w:t>
      </w:r>
      <w:r>
        <w:rPr>
          <w:rFonts w:cs="宋体"/>
          <w:kern w:val="0"/>
          <w:sz w:val="24"/>
        </w:rPr>
        <w:t>8</w:t>
      </w:r>
      <w:r>
        <w:rPr>
          <w:rFonts w:hint="eastAsia" w:ascii="Calibri" w:hAnsi="Calibri" w:eastAsia="宋体" w:cs="宋体"/>
          <w:kern w:val="0"/>
          <w:sz w:val="24"/>
        </w:rPr>
        <w:t>）投标前请各投标方按照招标文件要求对项目方案进行充分准备，投标单位已默认认可上述开标、评标过程，无异议。招标人无义务对未入围投标方及未中标方做任何解释。</w:t>
      </w:r>
    </w:p>
    <w:p>
      <w:pPr>
        <w:tabs>
          <w:tab w:val="left" w:pos="0"/>
        </w:tabs>
        <w:spacing w:line="360" w:lineRule="auto"/>
        <w:ind w:firstLine="480" w:firstLineChars="200"/>
        <w:rPr>
          <w:rFonts w:ascii="Calibri" w:hAnsi="宋体" w:eastAsia="宋体" w:cs="宋体"/>
          <w:kern w:val="0"/>
          <w:sz w:val="24"/>
        </w:rPr>
      </w:pPr>
      <w:r>
        <w:rPr>
          <w:rFonts w:hint="eastAsia" w:ascii="Calibri" w:hAnsi="宋体" w:eastAsia="宋体" w:cs="宋体"/>
          <w:kern w:val="0"/>
          <w:sz w:val="24"/>
        </w:rPr>
        <w:t>评分标准如下：</w:t>
      </w:r>
      <w:bookmarkEnd w:id="122"/>
      <w:bookmarkEnd w:id="123"/>
      <w:bookmarkEnd w:id="124"/>
    </w:p>
    <w:tbl>
      <w:tblPr>
        <w:tblStyle w:val="2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427"/>
        <w:gridCol w:w="609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289" w:type="dxa"/>
            <w:tcMar>
              <w:top w:w="15" w:type="dxa"/>
              <w:left w:w="15" w:type="dxa"/>
              <w:bottom w:w="15" w:type="dxa"/>
              <w:right w:w="15"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rPr>
              <w:t>评分项目</w:t>
            </w:r>
          </w:p>
        </w:tc>
        <w:tc>
          <w:tcPr>
            <w:tcW w:w="1427" w:type="dxa"/>
            <w:tcMar>
              <w:top w:w="15" w:type="dxa"/>
              <w:left w:w="15" w:type="dxa"/>
              <w:bottom w:w="15" w:type="dxa"/>
              <w:right w:w="15" w:type="dxa"/>
            </w:tcMar>
            <w:vAlign w:val="center"/>
          </w:tcPr>
          <w:p>
            <w:pPr>
              <w:widowControl/>
              <w:spacing w:line="360" w:lineRule="auto"/>
              <w:jc w:val="center"/>
              <w:textAlignment w:val="center"/>
              <w:rPr>
                <w:rFonts w:ascii="宋体" w:hAnsi="宋体" w:cs="宋体"/>
                <w:b/>
                <w:kern w:val="0"/>
                <w:sz w:val="24"/>
              </w:rPr>
            </w:pPr>
            <w:r>
              <w:rPr>
                <w:rFonts w:hint="eastAsia" w:ascii="宋体" w:hAnsi="宋体" w:cs="宋体"/>
                <w:b/>
                <w:kern w:val="0"/>
                <w:sz w:val="24"/>
              </w:rPr>
              <w:t>评分因素</w:t>
            </w:r>
          </w:p>
        </w:tc>
        <w:tc>
          <w:tcPr>
            <w:tcW w:w="6095" w:type="dxa"/>
            <w:tcMar>
              <w:top w:w="15" w:type="dxa"/>
              <w:left w:w="15" w:type="dxa"/>
              <w:bottom w:w="15" w:type="dxa"/>
              <w:right w:w="15"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rPr>
              <w:t>说明</w:t>
            </w:r>
          </w:p>
        </w:tc>
        <w:tc>
          <w:tcPr>
            <w:tcW w:w="644" w:type="dxa"/>
            <w:tcMar>
              <w:top w:w="15" w:type="dxa"/>
              <w:left w:w="15" w:type="dxa"/>
              <w:bottom w:w="15" w:type="dxa"/>
              <w:right w:w="15" w:type="dxa"/>
            </w:tcMar>
            <w:vAlign w:val="center"/>
          </w:tcPr>
          <w:p>
            <w:pPr>
              <w:widowControl/>
              <w:spacing w:line="360" w:lineRule="auto"/>
              <w:jc w:val="center"/>
              <w:textAlignment w:val="center"/>
              <w:rPr>
                <w:rFonts w:ascii="宋体" w:hAnsi="宋体" w:cs="宋体"/>
                <w:b/>
                <w:sz w:val="24"/>
              </w:rPr>
            </w:pPr>
            <w:r>
              <w:rPr>
                <w:rFonts w:hint="eastAsia" w:ascii="宋体" w:hAnsi="宋体" w:cs="宋体"/>
                <w:b/>
                <w:kern w:val="0"/>
                <w:sz w:val="24"/>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89" w:type="dxa"/>
            <w:vMerge w:val="restart"/>
            <w:tcMar>
              <w:top w:w="15" w:type="dxa"/>
              <w:left w:w="15" w:type="dxa"/>
              <w:bottom w:w="15" w:type="dxa"/>
              <w:right w:w="15" w:type="dxa"/>
            </w:tcMar>
            <w:vAlign w:val="center"/>
          </w:tcPr>
          <w:p>
            <w:pPr>
              <w:spacing w:line="360" w:lineRule="auto"/>
              <w:jc w:val="center"/>
              <w:textAlignment w:val="center"/>
              <w:rPr>
                <w:rFonts w:ascii="宋体" w:hAnsi="宋体" w:cs="宋体"/>
                <w:b/>
                <w:kern w:val="0"/>
                <w:sz w:val="24"/>
              </w:rPr>
            </w:pPr>
            <w:r>
              <w:rPr>
                <w:rFonts w:hint="eastAsia" w:ascii="宋体" w:hAnsi="宋体" w:cs="宋体"/>
                <w:b/>
                <w:sz w:val="24"/>
              </w:rPr>
              <w:t>技术部分</w:t>
            </w:r>
            <w:r>
              <w:rPr>
                <w:rFonts w:hint="eastAsia" w:ascii="宋体" w:hAnsi="宋体" w:cs="宋体"/>
                <w:b/>
                <w:kern w:val="0"/>
                <w:sz w:val="24"/>
              </w:rPr>
              <w:t>（</w:t>
            </w:r>
            <w:r>
              <w:rPr>
                <w:rFonts w:hint="eastAsia" w:ascii="宋体" w:hAnsi="宋体" w:cs="宋体"/>
                <w:b/>
                <w:kern w:val="0"/>
                <w:sz w:val="24"/>
                <w:lang w:val="en-US" w:eastAsia="zh-CN"/>
              </w:rPr>
              <w:t>10</w:t>
            </w:r>
            <w:r>
              <w:rPr>
                <w:rFonts w:hint="eastAsia" w:ascii="宋体" w:hAnsi="宋体" w:cs="宋体"/>
                <w:b/>
                <w:kern w:val="0"/>
                <w:sz w:val="24"/>
              </w:rPr>
              <w:t>0分）</w:t>
            </w:r>
          </w:p>
        </w:tc>
        <w:tc>
          <w:tcPr>
            <w:tcW w:w="1427" w:type="dxa"/>
            <w:tcMar>
              <w:top w:w="15" w:type="dxa"/>
              <w:left w:w="15" w:type="dxa"/>
              <w:bottom w:w="15" w:type="dxa"/>
              <w:right w:w="15" w:type="dxa"/>
            </w:tcMar>
            <w:vAlign w:val="center"/>
          </w:tcPr>
          <w:p>
            <w:pPr>
              <w:spacing w:line="360" w:lineRule="auto"/>
              <w:jc w:val="center"/>
              <w:rPr>
                <w:rFonts w:ascii="宋体" w:hAnsi="宋体" w:eastAsia="宋体" w:cs="宋体"/>
                <w:szCs w:val="21"/>
                <w:highlight w:val="yellow"/>
              </w:rPr>
            </w:pPr>
            <w:r>
              <w:rPr>
                <w:rFonts w:hint="eastAsia" w:ascii="宋体" w:hAnsi="宋体" w:eastAsia="宋体" w:cs="宋体"/>
                <w:szCs w:val="21"/>
              </w:rPr>
              <w:t>项目实施方案</w:t>
            </w:r>
          </w:p>
        </w:tc>
        <w:tc>
          <w:tcPr>
            <w:tcW w:w="6095" w:type="dxa"/>
            <w:tcMar>
              <w:top w:w="15" w:type="dxa"/>
              <w:left w:w="15" w:type="dxa"/>
              <w:bottom w:w="15" w:type="dxa"/>
              <w:right w:w="15" w:type="dxa"/>
            </w:tcMar>
            <w:vAlign w:val="center"/>
          </w:tcPr>
          <w:p>
            <w:pPr>
              <w:widowControl/>
              <w:jc w:val="left"/>
              <w:rPr>
                <w:rFonts w:ascii="宋体" w:hAnsi="宋体" w:eastAsia="宋体"/>
                <w:szCs w:val="21"/>
              </w:rPr>
            </w:pPr>
            <w:r>
              <w:rPr>
                <w:rFonts w:hint="eastAsia" w:ascii="宋体" w:hAnsi="宋体" w:eastAsia="宋体"/>
                <w:szCs w:val="21"/>
              </w:rPr>
              <w:t>专项服务方案，包括但不限于规划蓝图及本项目实施内容、实施计划、实施效果、项目实施保障、项目团队介绍等：</w:t>
            </w:r>
          </w:p>
          <w:p>
            <w:pPr>
              <w:widowControl/>
              <w:jc w:val="left"/>
              <w:rPr>
                <w:rFonts w:ascii="宋体" w:hAnsi="宋体" w:eastAsia="宋体"/>
                <w:szCs w:val="21"/>
              </w:rPr>
            </w:pPr>
            <w:r>
              <w:rPr>
                <w:rFonts w:ascii="宋体" w:hAnsi="宋体" w:eastAsia="宋体"/>
                <w:szCs w:val="21"/>
              </w:rPr>
              <w:t>1）服务团队具备丰富的同类型项目经验，对汽车金融公司外包项目非常了解；服务方案编制科学、合理，符合公司档案</w:t>
            </w:r>
            <w:r>
              <w:rPr>
                <w:rFonts w:hint="eastAsia" w:ascii="宋体" w:hAnsi="宋体" w:eastAsia="宋体"/>
                <w:szCs w:val="21"/>
              </w:rPr>
              <w:t>检查要求，工作思路清晰，可行性强，方案完善；对项目重点、难点的针对性设置强；得</w:t>
            </w:r>
            <w:r>
              <w:rPr>
                <w:rFonts w:hint="eastAsia" w:ascii="宋体" w:hAnsi="宋体" w:eastAsia="宋体"/>
                <w:szCs w:val="21"/>
                <w:lang w:val="en-US" w:eastAsia="zh-CN"/>
              </w:rPr>
              <w:t>31</w:t>
            </w:r>
            <w:r>
              <w:rPr>
                <w:rFonts w:ascii="宋体" w:hAnsi="宋体" w:eastAsia="宋体"/>
                <w:szCs w:val="21"/>
              </w:rPr>
              <w:t>-</w:t>
            </w:r>
            <w:r>
              <w:rPr>
                <w:rFonts w:hint="eastAsia" w:ascii="宋体" w:hAnsi="宋体" w:eastAsia="宋体"/>
                <w:szCs w:val="21"/>
                <w:lang w:val="en-US" w:eastAsia="zh-CN"/>
              </w:rPr>
              <w:t>40</w:t>
            </w:r>
            <w:r>
              <w:rPr>
                <w:rFonts w:ascii="宋体" w:hAnsi="宋体" w:eastAsia="宋体"/>
                <w:szCs w:val="21"/>
              </w:rPr>
              <w:t>分；</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服务团队具备一定的同类型项目经验，对汽车金融公司外包项目较为了解；服务方案编制科学、合理，基本符合公司档案检查要求，工作思路较为清晰，可行性较强，方案较为完善，对项目重点、难点的针对性设置较强；得</w:t>
            </w:r>
            <w:r>
              <w:rPr>
                <w:rFonts w:hint="eastAsia" w:ascii="宋体" w:hAnsi="宋体" w:eastAsia="宋体"/>
                <w:szCs w:val="21"/>
                <w:lang w:val="en-US" w:eastAsia="zh-CN"/>
              </w:rPr>
              <w:t>21</w:t>
            </w:r>
            <w:r>
              <w:rPr>
                <w:rFonts w:ascii="宋体" w:hAnsi="宋体" w:eastAsia="宋体"/>
                <w:szCs w:val="21"/>
              </w:rPr>
              <w:t>-</w:t>
            </w:r>
            <w:r>
              <w:rPr>
                <w:rFonts w:hint="eastAsia" w:ascii="宋体" w:hAnsi="宋体" w:eastAsia="宋体"/>
                <w:szCs w:val="21"/>
                <w:lang w:val="en-US" w:eastAsia="zh-CN"/>
              </w:rPr>
              <w:t>30</w:t>
            </w:r>
            <w:r>
              <w:rPr>
                <w:rFonts w:ascii="宋体" w:hAnsi="宋体" w:eastAsia="宋体"/>
                <w:szCs w:val="21"/>
              </w:rPr>
              <w:t>分；</w:t>
            </w:r>
          </w:p>
          <w:p>
            <w:pPr>
              <w:widowControl/>
              <w:jc w:val="left"/>
              <w:rPr>
                <w:rFonts w:ascii="宋体" w:hAnsi="宋体" w:cs="宋体"/>
                <w:color w:val="000000"/>
                <w:kern w:val="0"/>
                <w:sz w:val="20"/>
                <w:szCs w:val="20"/>
                <w:highlight w:val="yellow"/>
              </w:rPr>
            </w:pPr>
            <w:r>
              <w:rPr>
                <w:rFonts w:ascii="宋体" w:hAnsi="宋体" w:eastAsia="宋体"/>
                <w:szCs w:val="21"/>
              </w:rPr>
              <w:t>3</w:t>
            </w:r>
            <w:r>
              <w:rPr>
                <w:rFonts w:hint="eastAsia" w:ascii="宋体" w:hAnsi="宋体" w:eastAsia="宋体"/>
                <w:szCs w:val="21"/>
              </w:rPr>
              <w:t>）服务团队具备的同类型项目经验较少，对汽车金融公司外包项目不够了解；提供了服务方案，但方案与公司档案检查要求符合程度较低，工作思路较为模糊，可行性较低，方案内容混乱，没有针对性，拟交付成果与项目需求契合度较低；得</w:t>
            </w:r>
            <w:r>
              <w:rPr>
                <w:rFonts w:ascii="宋体" w:hAnsi="宋体" w:eastAsia="宋体"/>
                <w:szCs w:val="21"/>
              </w:rPr>
              <w:t>0-</w:t>
            </w:r>
            <w:r>
              <w:rPr>
                <w:rFonts w:hint="eastAsia" w:ascii="宋体" w:hAnsi="宋体" w:eastAsia="宋体"/>
                <w:szCs w:val="21"/>
                <w:lang w:val="en-US" w:eastAsia="zh-CN"/>
              </w:rPr>
              <w:t>20</w:t>
            </w:r>
            <w:r>
              <w:rPr>
                <w:rFonts w:ascii="宋体" w:hAnsi="宋体" w:eastAsia="宋体"/>
                <w:szCs w:val="21"/>
              </w:rPr>
              <w:t>分。</w:t>
            </w:r>
          </w:p>
        </w:tc>
        <w:tc>
          <w:tcPr>
            <w:tcW w:w="644" w:type="dxa"/>
            <w:tcMar>
              <w:top w:w="15" w:type="dxa"/>
              <w:left w:w="15" w:type="dxa"/>
              <w:bottom w:w="15" w:type="dxa"/>
              <w:right w:w="15" w:type="dxa"/>
            </w:tcMar>
            <w:vAlign w:val="center"/>
          </w:tcPr>
          <w:p>
            <w:pPr>
              <w:widowControl/>
              <w:spacing w:line="360" w:lineRule="auto"/>
              <w:jc w:val="center"/>
              <w:textAlignment w:val="center"/>
              <w:rPr>
                <w:rFonts w:hint="default" w:ascii="宋体" w:hAnsi="宋体" w:cs="宋体" w:eastAsiaTheme="minorEastAsia"/>
                <w:sz w:val="24"/>
                <w:lang w:val="en-US" w:eastAsia="zh-CN"/>
              </w:rPr>
            </w:pPr>
            <w:r>
              <w:rPr>
                <w:rFonts w:hint="eastAsia" w:ascii="宋体" w:hAnsi="宋体" w:cs="宋体"/>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1289" w:type="dxa"/>
            <w:vMerge w:val="continue"/>
            <w:tcMar>
              <w:top w:w="15" w:type="dxa"/>
              <w:left w:w="15" w:type="dxa"/>
              <w:bottom w:w="15" w:type="dxa"/>
              <w:right w:w="15" w:type="dxa"/>
            </w:tcMar>
            <w:vAlign w:val="center"/>
          </w:tcPr>
          <w:p>
            <w:pPr>
              <w:widowControl/>
              <w:spacing w:line="360" w:lineRule="auto"/>
              <w:jc w:val="center"/>
              <w:textAlignment w:val="center"/>
              <w:rPr>
                <w:rFonts w:ascii="宋体" w:hAnsi="宋体" w:cs="宋体"/>
                <w:b/>
                <w:sz w:val="24"/>
              </w:rPr>
            </w:pPr>
          </w:p>
        </w:tc>
        <w:tc>
          <w:tcPr>
            <w:tcW w:w="1427" w:type="dxa"/>
            <w:tcMar>
              <w:top w:w="15" w:type="dxa"/>
              <w:left w:w="15" w:type="dxa"/>
              <w:bottom w:w="15" w:type="dxa"/>
              <w:right w:w="15" w:type="dxa"/>
            </w:tcMar>
            <w:vAlign w:val="center"/>
          </w:tcPr>
          <w:p>
            <w:pPr>
              <w:pStyle w:val="67"/>
              <w:widowControl/>
              <w:spacing w:line="360" w:lineRule="auto"/>
              <w:ind w:firstLine="0" w:firstLineChars="0"/>
              <w:jc w:val="center"/>
              <w:rPr>
                <w:rFonts w:ascii="宋体" w:hAnsi="宋体" w:eastAsia="宋体" w:cs="宋体"/>
                <w:szCs w:val="21"/>
                <w:highlight w:val="yellow"/>
              </w:rPr>
            </w:pPr>
            <w:r>
              <w:rPr>
                <w:rFonts w:hint="eastAsia" w:ascii="宋体" w:hAnsi="宋体" w:eastAsia="宋体" w:cs="宋体"/>
                <w:szCs w:val="21"/>
              </w:rPr>
              <w:t>项目需求理解</w:t>
            </w:r>
          </w:p>
        </w:tc>
        <w:tc>
          <w:tcPr>
            <w:tcW w:w="6095" w:type="dxa"/>
            <w:tcMar>
              <w:top w:w="15" w:type="dxa"/>
              <w:left w:w="15" w:type="dxa"/>
              <w:bottom w:w="15" w:type="dxa"/>
              <w:right w:w="15" w:type="dxa"/>
            </w:tcMar>
            <w:vAlign w:val="center"/>
          </w:tcPr>
          <w:p>
            <w:pPr>
              <w:widowControl/>
              <w:jc w:val="left"/>
              <w:rPr>
                <w:rFonts w:ascii="宋体" w:hAnsi="宋体" w:eastAsia="宋体"/>
                <w:szCs w:val="21"/>
              </w:rPr>
            </w:pPr>
            <w:r>
              <w:rPr>
                <w:rFonts w:hint="eastAsia" w:ascii="宋体" w:hAnsi="宋体" w:eastAsia="宋体"/>
                <w:szCs w:val="21"/>
              </w:rPr>
              <w:t>项目理解的描述及需求分析情况：</w:t>
            </w:r>
          </w:p>
          <w:p>
            <w:pPr>
              <w:widowControl/>
              <w:jc w:val="left"/>
              <w:rPr>
                <w:rFonts w:ascii="宋体" w:hAnsi="宋体" w:eastAsia="宋体"/>
                <w:szCs w:val="21"/>
              </w:rPr>
            </w:pPr>
            <w:r>
              <w:rPr>
                <w:rFonts w:ascii="宋体" w:hAnsi="宋体" w:eastAsia="宋体"/>
                <w:szCs w:val="21"/>
              </w:rPr>
              <w:t>1</w:t>
            </w:r>
            <w:r>
              <w:rPr>
                <w:rFonts w:hint="eastAsia" w:ascii="宋体" w:hAnsi="宋体" w:eastAsia="宋体"/>
                <w:szCs w:val="21"/>
              </w:rPr>
              <w:t>）对项目理解准确、重点突出，分析到位，充分了解招标人需求的得</w:t>
            </w:r>
            <w:r>
              <w:rPr>
                <w:rFonts w:hint="eastAsia" w:ascii="宋体" w:hAnsi="宋体" w:eastAsia="宋体"/>
                <w:szCs w:val="21"/>
                <w:lang w:val="en-US" w:eastAsia="zh-CN"/>
              </w:rPr>
              <w:t>21</w:t>
            </w:r>
            <w:r>
              <w:rPr>
                <w:rFonts w:ascii="宋体" w:hAnsi="宋体" w:eastAsia="宋体"/>
                <w:szCs w:val="21"/>
              </w:rPr>
              <w:t>-</w:t>
            </w:r>
            <w:r>
              <w:rPr>
                <w:rFonts w:hint="eastAsia" w:ascii="宋体" w:hAnsi="宋体" w:eastAsia="宋体"/>
                <w:szCs w:val="21"/>
                <w:lang w:val="en-US" w:eastAsia="zh-CN"/>
              </w:rPr>
              <w:t>3</w:t>
            </w:r>
            <w:r>
              <w:rPr>
                <w:rFonts w:ascii="宋体" w:hAnsi="宋体" w:eastAsia="宋体"/>
                <w:szCs w:val="21"/>
              </w:rPr>
              <w:t>0分；</w:t>
            </w:r>
          </w:p>
          <w:p>
            <w:pPr>
              <w:widowControl/>
              <w:jc w:val="left"/>
              <w:rPr>
                <w:rFonts w:ascii="宋体" w:hAnsi="宋体" w:eastAsia="宋体"/>
                <w:szCs w:val="21"/>
              </w:rPr>
            </w:pPr>
            <w:r>
              <w:rPr>
                <w:rFonts w:ascii="宋体" w:hAnsi="宋体" w:eastAsia="宋体"/>
                <w:szCs w:val="21"/>
              </w:rPr>
              <w:t>2</w:t>
            </w:r>
            <w:r>
              <w:rPr>
                <w:rFonts w:hint="eastAsia" w:ascii="宋体" w:hAnsi="宋体" w:eastAsia="宋体"/>
                <w:szCs w:val="21"/>
              </w:rPr>
              <w:t>）对项目理解准确，重点较为突出、分析合理，了解招标人需求的得</w:t>
            </w:r>
            <w:r>
              <w:rPr>
                <w:rFonts w:hint="eastAsia" w:ascii="宋体" w:hAnsi="宋体" w:eastAsia="宋体"/>
                <w:szCs w:val="21"/>
                <w:lang w:val="en-US" w:eastAsia="zh-CN"/>
              </w:rPr>
              <w:t>10</w:t>
            </w:r>
            <w:r>
              <w:rPr>
                <w:rFonts w:ascii="宋体" w:hAnsi="宋体" w:eastAsia="宋体"/>
                <w:szCs w:val="21"/>
              </w:rPr>
              <w:t>-</w:t>
            </w:r>
            <w:r>
              <w:rPr>
                <w:rFonts w:hint="eastAsia" w:ascii="宋体" w:hAnsi="宋体" w:eastAsia="宋体"/>
                <w:szCs w:val="21"/>
                <w:lang w:val="en-US" w:eastAsia="zh-CN"/>
              </w:rPr>
              <w:t>20</w:t>
            </w:r>
            <w:r>
              <w:rPr>
                <w:rFonts w:ascii="宋体" w:hAnsi="宋体" w:eastAsia="宋体"/>
                <w:szCs w:val="21"/>
              </w:rPr>
              <w:t>分；</w:t>
            </w:r>
          </w:p>
          <w:p>
            <w:pPr>
              <w:widowControl/>
              <w:jc w:val="left"/>
              <w:rPr>
                <w:rFonts w:ascii="宋体" w:hAnsi="宋体" w:eastAsia="宋体" w:cs="宋体"/>
                <w:szCs w:val="21"/>
                <w:highlight w:val="yellow"/>
              </w:rPr>
            </w:pPr>
            <w:r>
              <w:rPr>
                <w:rFonts w:ascii="宋体" w:hAnsi="宋体" w:eastAsia="宋体"/>
                <w:szCs w:val="21"/>
              </w:rPr>
              <w:t>3</w:t>
            </w:r>
            <w:r>
              <w:rPr>
                <w:rFonts w:hint="eastAsia" w:ascii="宋体" w:hAnsi="宋体" w:eastAsia="宋体"/>
                <w:szCs w:val="21"/>
              </w:rPr>
              <w:t>）对项目理解一般，分析不太符合实际情况，对招标人需求了解不到位的得</w:t>
            </w:r>
            <w:r>
              <w:rPr>
                <w:rFonts w:ascii="宋体" w:hAnsi="宋体" w:eastAsia="宋体"/>
                <w:szCs w:val="21"/>
              </w:rPr>
              <w:t>0-</w:t>
            </w:r>
            <w:r>
              <w:rPr>
                <w:rFonts w:hint="eastAsia" w:ascii="宋体" w:hAnsi="宋体" w:eastAsia="宋体"/>
                <w:szCs w:val="21"/>
                <w:lang w:val="en-US" w:eastAsia="zh-CN"/>
              </w:rPr>
              <w:t>9</w:t>
            </w:r>
            <w:r>
              <w:rPr>
                <w:rFonts w:ascii="宋体" w:hAnsi="宋体" w:eastAsia="宋体"/>
                <w:szCs w:val="21"/>
              </w:rPr>
              <w:t>分。</w:t>
            </w:r>
          </w:p>
        </w:tc>
        <w:tc>
          <w:tcPr>
            <w:tcW w:w="644" w:type="dxa"/>
            <w:tcMar>
              <w:top w:w="15" w:type="dxa"/>
              <w:left w:w="15" w:type="dxa"/>
              <w:bottom w:w="15" w:type="dxa"/>
              <w:right w:w="15" w:type="dxa"/>
            </w:tcMar>
            <w:vAlign w:val="center"/>
          </w:tcPr>
          <w:p>
            <w:pPr>
              <w:widowControl/>
              <w:spacing w:line="360" w:lineRule="auto"/>
              <w:jc w:val="center"/>
              <w:textAlignment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89" w:type="dxa"/>
            <w:vMerge w:val="continue"/>
            <w:tcMar>
              <w:top w:w="15" w:type="dxa"/>
              <w:left w:w="15" w:type="dxa"/>
              <w:bottom w:w="15" w:type="dxa"/>
              <w:right w:w="15" w:type="dxa"/>
            </w:tcMar>
            <w:vAlign w:val="center"/>
          </w:tcPr>
          <w:p>
            <w:pPr>
              <w:widowControl/>
              <w:spacing w:line="360" w:lineRule="auto"/>
              <w:jc w:val="center"/>
              <w:textAlignment w:val="center"/>
              <w:rPr>
                <w:rFonts w:ascii="宋体" w:hAnsi="宋体" w:cs="宋体"/>
                <w:b/>
                <w:sz w:val="24"/>
              </w:rPr>
            </w:pPr>
          </w:p>
        </w:tc>
        <w:tc>
          <w:tcPr>
            <w:tcW w:w="1427" w:type="dxa"/>
            <w:tcMar>
              <w:top w:w="15" w:type="dxa"/>
              <w:left w:w="15" w:type="dxa"/>
              <w:bottom w:w="15" w:type="dxa"/>
              <w:right w:w="15" w:type="dxa"/>
            </w:tcMar>
            <w:vAlign w:val="center"/>
          </w:tcPr>
          <w:p>
            <w:pPr>
              <w:pStyle w:val="67"/>
              <w:widowControl/>
              <w:spacing w:line="360" w:lineRule="auto"/>
              <w:ind w:firstLine="0" w:firstLineChars="0"/>
              <w:jc w:val="center"/>
              <w:rPr>
                <w:rFonts w:ascii="宋体" w:hAnsi="宋体" w:eastAsia="宋体" w:cs="宋体"/>
                <w:szCs w:val="21"/>
              </w:rPr>
            </w:pPr>
            <w:r>
              <w:rPr>
                <w:rFonts w:hint="eastAsia" w:ascii="宋体" w:hAnsi="宋体" w:eastAsia="宋体" w:cs="宋体"/>
                <w:szCs w:val="21"/>
              </w:rPr>
              <w:t>项目经验</w:t>
            </w:r>
          </w:p>
        </w:tc>
        <w:tc>
          <w:tcPr>
            <w:tcW w:w="6095" w:type="dxa"/>
            <w:tcMar>
              <w:top w:w="15" w:type="dxa"/>
              <w:left w:w="15" w:type="dxa"/>
              <w:bottom w:w="15" w:type="dxa"/>
              <w:right w:w="15" w:type="dxa"/>
            </w:tcMar>
            <w:vAlign w:val="center"/>
          </w:tcPr>
          <w:p>
            <w:pPr>
              <w:widowControl/>
              <w:jc w:val="left"/>
              <w:rPr>
                <w:rFonts w:ascii="宋体" w:hAnsi="宋体" w:cs="宋体"/>
                <w:kern w:val="0"/>
                <w:sz w:val="20"/>
                <w:szCs w:val="20"/>
                <w:highlight w:val="yellow"/>
                <w:lang w:val="en-GB"/>
              </w:rPr>
            </w:pPr>
            <w:r>
              <w:rPr>
                <w:rFonts w:hint="eastAsia" w:ascii="宋体" w:hAnsi="宋体" w:eastAsia="宋体"/>
                <w:szCs w:val="21"/>
              </w:rPr>
              <w:t>关于汽车金融公司、大型汽车集团财务公司</w:t>
            </w:r>
            <w:r>
              <w:rPr>
                <w:rFonts w:hint="eastAsia" w:ascii="宋体" w:hAnsi="宋体" w:eastAsia="宋体"/>
                <w:szCs w:val="21"/>
                <w:lang w:eastAsia="zh-CN"/>
              </w:rPr>
              <w:t>、</w:t>
            </w:r>
            <w:r>
              <w:rPr>
                <w:rFonts w:hint="eastAsia" w:ascii="宋体" w:hAnsi="宋体" w:eastAsia="宋体"/>
                <w:szCs w:val="21"/>
                <w:lang w:val="en-US" w:eastAsia="zh-CN"/>
              </w:rPr>
              <w:t>事业单位或</w:t>
            </w:r>
            <w:r>
              <w:rPr>
                <w:rFonts w:hint="eastAsia" w:ascii="宋体" w:hAnsi="宋体" w:eastAsia="宋体"/>
                <w:szCs w:val="21"/>
              </w:rPr>
              <w:t>商业银行档案检查项目相关案例进行评分，投标人每具备</w:t>
            </w:r>
            <w:r>
              <w:rPr>
                <w:rFonts w:ascii="宋体" w:hAnsi="宋体" w:eastAsia="宋体"/>
                <w:szCs w:val="21"/>
              </w:rPr>
              <w:t>1个符合要求的项目经验，得2</w:t>
            </w:r>
            <w:r>
              <w:rPr>
                <w:rFonts w:hint="eastAsia" w:ascii="宋体" w:hAnsi="宋体" w:eastAsia="宋体"/>
                <w:szCs w:val="21"/>
              </w:rPr>
              <w:t>分。本项满分</w:t>
            </w:r>
            <w:r>
              <w:rPr>
                <w:rFonts w:hint="eastAsia" w:ascii="宋体" w:hAnsi="宋体" w:eastAsia="宋体"/>
                <w:szCs w:val="21"/>
                <w:lang w:val="en-US" w:eastAsia="zh-CN"/>
              </w:rPr>
              <w:t>2</w:t>
            </w:r>
            <w:r>
              <w:rPr>
                <w:rFonts w:ascii="宋体" w:hAnsi="宋体" w:eastAsia="宋体"/>
                <w:szCs w:val="21"/>
              </w:rPr>
              <w:t>0</w:t>
            </w:r>
            <w:r>
              <w:rPr>
                <w:rFonts w:hint="eastAsia" w:ascii="宋体" w:hAnsi="宋体" w:eastAsia="宋体"/>
                <w:szCs w:val="21"/>
              </w:rPr>
              <w:t>分。</w:t>
            </w:r>
          </w:p>
        </w:tc>
        <w:tc>
          <w:tcPr>
            <w:tcW w:w="644" w:type="dxa"/>
            <w:tcMar>
              <w:top w:w="15" w:type="dxa"/>
              <w:left w:w="15" w:type="dxa"/>
              <w:bottom w:w="15" w:type="dxa"/>
              <w:right w:w="15" w:type="dxa"/>
            </w:tcMar>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289" w:type="dxa"/>
            <w:vMerge w:val="continue"/>
            <w:tcMar>
              <w:top w:w="15" w:type="dxa"/>
              <w:left w:w="15" w:type="dxa"/>
              <w:bottom w:w="15" w:type="dxa"/>
              <w:right w:w="15" w:type="dxa"/>
            </w:tcMar>
            <w:vAlign w:val="center"/>
          </w:tcPr>
          <w:p>
            <w:pPr>
              <w:widowControl/>
              <w:spacing w:line="360" w:lineRule="auto"/>
              <w:jc w:val="center"/>
              <w:textAlignment w:val="center"/>
              <w:rPr>
                <w:rFonts w:ascii="宋体" w:hAnsi="宋体" w:cs="宋体"/>
                <w:sz w:val="24"/>
              </w:rPr>
            </w:pPr>
          </w:p>
        </w:tc>
        <w:tc>
          <w:tcPr>
            <w:tcW w:w="1427" w:type="dxa"/>
            <w:tcMar>
              <w:top w:w="15" w:type="dxa"/>
              <w:left w:w="15" w:type="dxa"/>
              <w:bottom w:w="15" w:type="dxa"/>
              <w:right w:w="15" w:type="dxa"/>
            </w:tcMar>
            <w:vAlign w:val="center"/>
          </w:tcPr>
          <w:p>
            <w:pPr>
              <w:pStyle w:val="67"/>
              <w:widowControl/>
              <w:spacing w:line="360" w:lineRule="auto"/>
              <w:ind w:firstLine="0" w:firstLineChars="0"/>
              <w:jc w:val="center"/>
              <w:rPr>
                <w:rFonts w:hint="default" w:ascii="宋体" w:hAnsi="宋体" w:cs="宋体" w:eastAsiaTheme="minorEastAsia"/>
                <w:sz w:val="24"/>
                <w:lang w:val="en-US" w:eastAsia="zh-CN"/>
              </w:rPr>
            </w:pPr>
            <w:r>
              <w:rPr>
                <w:rFonts w:hint="eastAsia" w:ascii="宋体" w:hAnsi="宋体" w:eastAsia="宋体" w:cs="宋体"/>
                <w:szCs w:val="21"/>
                <w:lang w:val="en-US" w:eastAsia="zh-CN"/>
              </w:rPr>
              <w:t>档案安全</w:t>
            </w:r>
          </w:p>
        </w:tc>
        <w:tc>
          <w:tcPr>
            <w:tcW w:w="6095" w:type="dxa"/>
            <w:tcMar>
              <w:top w:w="15" w:type="dxa"/>
              <w:left w:w="15" w:type="dxa"/>
              <w:bottom w:w="15" w:type="dxa"/>
              <w:right w:w="15" w:type="dxa"/>
            </w:tcMar>
            <w:vAlign w:val="center"/>
          </w:tcPr>
          <w:p>
            <w:pPr>
              <w:pStyle w:val="67"/>
              <w:widowControl/>
              <w:spacing w:line="276" w:lineRule="auto"/>
              <w:ind w:firstLine="0" w:firstLineChars="0"/>
              <w:rPr>
                <w:rFonts w:hint="default" w:ascii="宋体" w:hAnsi="宋体" w:cs="宋体" w:eastAsiaTheme="minorEastAsia"/>
                <w:sz w:val="24"/>
                <w:lang w:val="en-US" w:eastAsia="zh-CN"/>
              </w:rPr>
            </w:pPr>
            <w:r>
              <w:rPr>
                <w:rFonts w:hint="eastAsia" w:ascii="宋体" w:hAnsi="宋体" w:eastAsia="宋体"/>
                <w:szCs w:val="21"/>
                <w:lang w:val="en-US" w:eastAsia="zh-CN"/>
              </w:rPr>
              <w:t>关于档案管理项目中对涉及档案进行有效保管，对档案内容进行保密，最大程度保障项目中档案的安全，</w:t>
            </w:r>
            <w:r>
              <w:rPr>
                <w:rFonts w:hint="eastAsia" w:ascii="宋体" w:hAnsi="宋体" w:eastAsia="宋体"/>
                <w:szCs w:val="21"/>
              </w:rPr>
              <w:t>本项满分</w:t>
            </w:r>
            <w:r>
              <w:rPr>
                <w:rFonts w:ascii="宋体" w:hAnsi="宋体" w:eastAsia="宋体"/>
                <w:szCs w:val="21"/>
              </w:rPr>
              <w:t>10</w:t>
            </w:r>
            <w:r>
              <w:rPr>
                <w:rFonts w:hint="eastAsia" w:ascii="宋体" w:hAnsi="宋体" w:eastAsia="宋体"/>
                <w:szCs w:val="21"/>
              </w:rPr>
              <w:t>分。</w:t>
            </w:r>
          </w:p>
        </w:tc>
        <w:tc>
          <w:tcPr>
            <w:tcW w:w="644" w:type="dxa"/>
            <w:tcMar>
              <w:top w:w="15" w:type="dxa"/>
              <w:left w:w="15" w:type="dxa"/>
              <w:bottom w:w="15" w:type="dxa"/>
              <w:right w:w="15" w:type="dxa"/>
            </w:tcMar>
            <w:vAlign w:val="center"/>
          </w:tcPr>
          <w:p>
            <w:pPr>
              <w:pStyle w:val="67"/>
              <w:widowControl/>
              <w:spacing w:line="360" w:lineRule="auto"/>
              <w:ind w:firstLine="0" w:firstLineChars="0"/>
              <w:jc w:val="center"/>
              <w:rPr>
                <w:rFonts w:hint="default" w:ascii="宋体" w:hAnsi="宋体" w:cs="宋体" w:eastAsiaTheme="minorEastAsia"/>
                <w:sz w:val="24"/>
                <w:lang w:val="en-US" w:eastAsia="zh-CN"/>
              </w:rPr>
            </w:pPr>
            <w:r>
              <w:rPr>
                <w:rFonts w:hint="eastAsia" w:ascii="宋体" w:hAnsi="宋体" w:cs="宋体"/>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289" w:type="dxa"/>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eastAsiaTheme="minorEastAsia"/>
                <w:kern w:val="2"/>
                <w:sz w:val="24"/>
                <w:szCs w:val="24"/>
                <w:lang w:val="en-US" w:eastAsia="zh-CN" w:bidi="ar-SA"/>
              </w:rPr>
            </w:pPr>
            <w:r>
              <w:rPr>
                <w:rFonts w:hint="eastAsia" w:ascii="宋体" w:hAnsi="宋体" w:cs="宋体"/>
                <w:kern w:val="0"/>
                <w:sz w:val="24"/>
              </w:rPr>
              <w:t>合计</w:t>
            </w:r>
          </w:p>
        </w:tc>
        <w:tc>
          <w:tcPr>
            <w:tcW w:w="1427" w:type="dxa"/>
            <w:tcMar>
              <w:top w:w="15" w:type="dxa"/>
              <w:left w:w="15" w:type="dxa"/>
              <w:bottom w:w="15" w:type="dxa"/>
              <w:right w:w="15" w:type="dxa"/>
            </w:tcMar>
            <w:vAlign w:val="center"/>
          </w:tcPr>
          <w:p>
            <w:pPr>
              <w:pStyle w:val="67"/>
              <w:widowControl/>
              <w:spacing w:line="360" w:lineRule="auto"/>
              <w:ind w:firstLine="0" w:firstLineChars="0"/>
              <w:rPr>
                <w:rFonts w:ascii="宋体" w:hAnsi="宋体" w:cs="宋体" w:eastAsiaTheme="minorEastAsia"/>
                <w:kern w:val="2"/>
                <w:sz w:val="24"/>
                <w:szCs w:val="24"/>
                <w:lang w:val="en-US" w:eastAsia="zh-CN" w:bidi="ar-SA"/>
              </w:rPr>
            </w:pPr>
          </w:p>
        </w:tc>
        <w:tc>
          <w:tcPr>
            <w:tcW w:w="6095" w:type="dxa"/>
            <w:tcMar>
              <w:top w:w="15" w:type="dxa"/>
              <w:left w:w="15" w:type="dxa"/>
              <w:bottom w:w="15" w:type="dxa"/>
              <w:right w:w="15" w:type="dxa"/>
            </w:tcMar>
            <w:vAlign w:val="center"/>
          </w:tcPr>
          <w:p>
            <w:pPr>
              <w:pStyle w:val="67"/>
              <w:widowControl/>
              <w:spacing w:line="276" w:lineRule="auto"/>
              <w:ind w:firstLine="0" w:firstLineChars="0"/>
              <w:rPr>
                <w:rFonts w:ascii="宋体" w:hAnsi="宋体" w:cs="宋体" w:eastAsiaTheme="minorEastAsia"/>
                <w:kern w:val="2"/>
                <w:sz w:val="24"/>
                <w:szCs w:val="24"/>
                <w:lang w:val="en-US" w:eastAsia="zh-CN" w:bidi="ar-SA"/>
              </w:rPr>
            </w:pPr>
          </w:p>
        </w:tc>
        <w:tc>
          <w:tcPr>
            <w:tcW w:w="644" w:type="dxa"/>
            <w:tcMar>
              <w:top w:w="15" w:type="dxa"/>
              <w:left w:w="15" w:type="dxa"/>
              <w:bottom w:w="15" w:type="dxa"/>
              <w:right w:w="15" w:type="dxa"/>
            </w:tcMar>
            <w:vAlign w:val="center"/>
          </w:tcPr>
          <w:p>
            <w:pPr>
              <w:pStyle w:val="67"/>
              <w:widowControl/>
              <w:spacing w:line="360" w:lineRule="auto"/>
              <w:ind w:firstLine="0" w:firstLineChars="0"/>
              <w:jc w:val="center"/>
              <w:rPr>
                <w:rFonts w:hint="eastAsia" w:ascii="宋体" w:hAnsi="宋体" w:cs="宋体" w:eastAsiaTheme="minorEastAsia"/>
                <w:kern w:val="2"/>
                <w:sz w:val="24"/>
                <w:szCs w:val="24"/>
                <w:lang w:val="en-US" w:eastAsia="zh-CN" w:bidi="ar-SA"/>
              </w:rPr>
            </w:pPr>
            <w:r>
              <w:rPr>
                <w:rFonts w:hint="eastAsia" w:ascii="宋体" w:hAnsi="宋体" w:cs="宋体"/>
                <w:sz w:val="24"/>
              </w:rPr>
              <w:t>100</w:t>
            </w:r>
          </w:p>
        </w:tc>
      </w:tr>
    </w:tbl>
    <w:p>
      <w:pPr>
        <w:spacing w:line="288" w:lineRule="auto"/>
        <w:ind w:left="-2" w:leftChars="-1" w:firstLine="2"/>
        <w:rPr>
          <w:rFonts w:ascii="宋体" w:hAnsi="宋体" w:cs="宋体"/>
          <w:color w:val="000000"/>
          <w:kern w:val="0"/>
          <w:sz w:val="20"/>
          <w:szCs w:val="20"/>
        </w:rPr>
      </w:pPr>
      <w:r>
        <w:rPr>
          <w:rFonts w:hint="eastAsia" w:ascii="宋体" w:hAnsi="宋体" w:cs="宋体"/>
          <w:color w:val="000000"/>
          <w:kern w:val="0"/>
          <w:sz w:val="20"/>
          <w:szCs w:val="20"/>
        </w:rPr>
        <w:t>备注：</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1.涉及具体项目经验的，需提供符合要求项目的包含名称、有效期、签章等信息的合同复印件作为证明材料。</w:t>
      </w:r>
    </w:p>
    <w:p>
      <w:pPr>
        <w:spacing w:line="288" w:lineRule="auto"/>
        <w:rPr>
          <w:rFonts w:ascii="宋体" w:hAnsi="宋体"/>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w:t>
      </w:r>
      <w:r>
        <w:rPr>
          <w:rFonts w:hint="eastAsia" w:ascii="宋体" w:hAnsi="宋体" w:eastAsia="宋体"/>
          <w:szCs w:val="21"/>
        </w:rPr>
        <w:t>百分率、得分值小数点后保留二位，第三位四舍五入。</w:t>
      </w:r>
      <w:bookmarkStart w:id="125" w:name="_Toc265850581"/>
      <w:bookmarkStart w:id="126" w:name="_Toc264881861"/>
      <w:bookmarkStart w:id="127" w:name="_Toc234922356"/>
      <w:bookmarkStart w:id="128" w:name="_Toc95148190"/>
      <w:bookmarkStart w:id="129" w:name="_Toc74143849"/>
    </w:p>
    <w:p>
      <w:pPr>
        <w:pStyle w:val="63"/>
        <w:numPr>
          <w:ilvl w:val="1"/>
          <w:numId w:val="5"/>
        </w:numPr>
      </w:pPr>
      <w:bookmarkStart w:id="130" w:name="_Toc109031563"/>
      <w:r>
        <w:rPr>
          <w:rFonts w:hint="eastAsia"/>
        </w:rPr>
        <w:t>中标</w:t>
      </w:r>
      <w:bookmarkEnd w:id="125"/>
      <w:bookmarkEnd w:id="126"/>
      <w:bookmarkEnd w:id="127"/>
      <w:r>
        <w:rPr>
          <w:rFonts w:hint="eastAsia"/>
        </w:rPr>
        <w:t>及合同签订</w:t>
      </w:r>
      <w:bookmarkEnd w:id="128"/>
      <w:bookmarkEnd w:id="129"/>
      <w:bookmarkEnd w:id="130"/>
    </w:p>
    <w:p>
      <w:pPr>
        <w:pStyle w:val="35"/>
        <w:widowControl/>
        <w:numPr>
          <w:ilvl w:val="0"/>
          <w:numId w:val="17"/>
        </w:numPr>
      </w:pPr>
      <w:r>
        <w:rPr>
          <w:rFonts w:hint="eastAsia" w:cs="宋体"/>
        </w:rPr>
        <w:t>招标人根据谈判结果确定中标人，并通知中标人；招标人不承诺将合同授予报价最低的投标人。</w:t>
      </w:r>
    </w:p>
    <w:p>
      <w:pPr>
        <w:pStyle w:val="35"/>
        <w:widowControl/>
        <w:numPr>
          <w:ilvl w:val="0"/>
          <w:numId w:val="17"/>
        </w:numPr>
      </w:pPr>
      <w:r>
        <w:rPr>
          <w:rFonts w:hint="eastAsia" w:cs="宋体"/>
        </w:rPr>
        <w:t>本项目产生一个中标人。</w:t>
      </w:r>
    </w:p>
    <w:p>
      <w:pPr>
        <w:pStyle w:val="35"/>
        <w:widowControl/>
        <w:numPr>
          <w:ilvl w:val="0"/>
          <w:numId w:val="17"/>
        </w:numPr>
      </w:pPr>
      <w:r>
        <w:rPr>
          <w:rFonts w:hint="eastAsia" w:cs="宋体"/>
        </w:rPr>
        <w:t>招标人发送中标通知给中标人，中标人应及时与招标人联系，</w:t>
      </w:r>
      <w:r>
        <w:rPr>
          <w:rFonts w:hint="eastAsia" w:cs="宋体"/>
          <w:b/>
          <w:bCs/>
        </w:rPr>
        <w:t>在中标通知书发出之日起</w:t>
      </w:r>
      <w:r>
        <w:rPr>
          <w:rFonts w:cs="宋体"/>
          <w:b/>
          <w:bCs/>
        </w:rPr>
        <w:t>30</w:t>
      </w:r>
      <w:r>
        <w:rPr>
          <w:rFonts w:hint="eastAsia" w:cs="宋体"/>
          <w:b/>
          <w:bCs/>
        </w:rPr>
        <w:t>日内与项目实施单位签订合同。</w:t>
      </w:r>
      <w:r>
        <w:rPr>
          <w:rFonts w:hint="eastAsia" w:cs="宋体"/>
        </w:rPr>
        <w:t>如果中标人接到中标通知后，无不正当理由拒签合同、在签订合同时向招标人提出无理附加条件的，取消该投标人的入围资格，该投标人</w:t>
      </w:r>
      <w:r>
        <w:t>2</w:t>
      </w:r>
      <w:r>
        <w:rPr>
          <w:rFonts w:hint="eastAsia" w:cs="宋体"/>
        </w:rPr>
        <w:t>年不得参与中国重型汽车集团有限公司及其关联公司发布的招投标项目。</w:t>
      </w:r>
    </w:p>
    <w:p>
      <w:pPr>
        <w:pStyle w:val="35"/>
        <w:widowControl/>
        <w:numPr>
          <w:ilvl w:val="0"/>
          <w:numId w:val="17"/>
        </w:numPr>
      </w:pPr>
      <w:r>
        <w:rPr>
          <w:rFonts w:hint="eastAsia" w:cs="宋体"/>
        </w:rPr>
        <w:t>中标人应当按照合同约定的履约责任，在保证质量的前提下完成中标项目，不得将中标项目转包或分包给他人，否则视为违约，招标人有权解除合同。</w:t>
      </w:r>
    </w:p>
    <w:p>
      <w:pPr>
        <w:pStyle w:val="35"/>
        <w:widowControl/>
        <w:numPr>
          <w:ilvl w:val="0"/>
          <w:numId w:val="17"/>
        </w:numPr>
      </w:pPr>
      <w:r>
        <w:rPr>
          <w:rFonts w:hint="eastAsia" w:cs="宋体"/>
        </w:rPr>
        <w:t>在履行合同过程中，中标人由于履行义务的能力或信用有严重缺陷，招标人有权取消其中标资格，招标人将从中标候选单位中依序重新确定中标人，或重新组织招标。</w:t>
      </w:r>
    </w:p>
    <w:p>
      <w:pPr>
        <w:pStyle w:val="63"/>
        <w:numPr>
          <w:ilvl w:val="1"/>
          <w:numId w:val="5"/>
        </w:numPr>
      </w:pPr>
      <w:bookmarkStart w:id="131" w:name="_Toc109031564"/>
      <w:bookmarkStart w:id="132" w:name="_Toc74143850"/>
      <w:bookmarkStart w:id="133" w:name="_Toc95148191"/>
      <w:r>
        <w:rPr>
          <w:rFonts w:hint="eastAsia"/>
        </w:rPr>
        <w:t>废标</w:t>
      </w:r>
      <w:bookmarkEnd w:id="131"/>
      <w:bookmarkEnd w:id="132"/>
      <w:bookmarkEnd w:id="133"/>
    </w:p>
    <w:p>
      <w:pPr>
        <w:spacing w:line="520" w:lineRule="exact"/>
        <w:ind w:right="2" w:firstLine="480" w:firstLineChars="200"/>
        <w:rPr>
          <w:rFonts w:ascii="Times New Roman" w:hAnsi="Times New Roman" w:cs="Times New Roman"/>
          <w:sz w:val="24"/>
          <w:szCs w:val="22"/>
        </w:rPr>
      </w:pPr>
      <w:r>
        <w:rPr>
          <w:rFonts w:ascii="Times New Roman" w:hAnsi="Times New Roman" w:eastAsia="宋体" w:cs="Times New Roman"/>
          <w:sz w:val="24"/>
          <w:szCs w:val="22"/>
        </w:rPr>
        <w:t>1</w:t>
      </w:r>
      <w:r>
        <w:rPr>
          <w:rFonts w:hint="eastAsia" w:ascii="Times New Roman" w:hAnsi="Times New Roman" w:eastAsia="宋体" w:cs="Times New Roman"/>
          <w:sz w:val="24"/>
          <w:szCs w:val="22"/>
          <w:lang w:eastAsia="zh-CN"/>
        </w:rPr>
        <w:t>.</w:t>
      </w:r>
      <w:r>
        <w:rPr>
          <w:rFonts w:hint="eastAsia" w:ascii="Times New Roman" w:hAnsi="Times New Roman" w:eastAsia="宋体" w:cs="宋体"/>
          <w:sz w:val="24"/>
          <w:szCs w:val="22"/>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（1）投标人提供的有关资格、资质证明文件不合格、不真实或提供虚假投标材料；</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（2）投标人在报价有效期内撤回投标；</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（3）在整个评标过程中，投标人有企图影响评标结果公正性的任何活动；</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（4）投标人以任何方式诋毁其他投标人；</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（5）投标人串通投标；</w:t>
      </w:r>
    </w:p>
    <w:p>
      <w:pPr>
        <w:spacing w:line="520" w:lineRule="exact"/>
        <w:ind w:right="2" w:firstLine="480" w:firstLineChars="200"/>
        <w:rPr>
          <w:rFonts w:hint="eastAsia" w:ascii="宋体" w:hAnsi="Courier New" w:eastAsia="宋体" w:cs="宋体"/>
          <w:sz w:val="24"/>
          <w:szCs w:val="22"/>
        </w:rPr>
      </w:pPr>
      <w:r>
        <w:rPr>
          <w:rFonts w:hint="eastAsia" w:ascii="宋体" w:hAnsi="Courier New" w:eastAsia="宋体" w:cs="宋体"/>
          <w:sz w:val="24"/>
          <w:szCs w:val="22"/>
        </w:rPr>
        <w:t>（6）以他人名义投标或者以其他方式弄虚作假，骗取中标的；</w:t>
      </w:r>
    </w:p>
    <w:p>
      <w:pPr>
        <w:spacing w:line="520" w:lineRule="exact"/>
        <w:ind w:right="2" w:firstLine="480" w:firstLineChars="200"/>
        <w:rPr>
          <w:rFonts w:hint="eastAsia" w:ascii="宋体" w:hAnsi="Courier New" w:eastAsia="宋体" w:cs="宋体"/>
          <w:sz w:val="24"/>
          <w:szCs w:val="22"/>
          <w:lang w:val="en-US" w:eastAsia="zh-CN"/>
        </w:rPr>
      </w:pPr>
      <w:r>
        <w:rPr>
          <w:rFonts w:hint="eastAsia" w:ascii="宋体" w:hAnsi="Courier New" w:eastAsia="宋体" w:cs="宋体"/>
          <w:sz w:val="24"/>
          <w:szCs w:val="22"/>
          <w:lang w:eastAsia="zh-CN"/>
        </w:rPr>
        <w:t>（</w:t>
      </w:r>
      <w:r>
        <w:rPr>
          <w:rFonts w:hint="eastAsia" w:ascii="宋体" w:hAnsi="Courier New" w:eastAsia="宋体" w:cs="宋体"/>
          <w:sz w:val="24"/>
          <w:szCs w:val="22"/>
          <w:lang w:val="en-US" w:eastAsia="zh-CN"/>
        </w:rPr>
        <w:t>7</w:t>
      </w:r>
      <w:r>
        <w:rPr>
          <w:rFonts w:hint="eastAsia" w:ascii="宋体" w:hAnsi="Courier New" w:eastAsia="宋体" w:cs="宋体"/>
          <w:sz w:val="24"/>
          <w:szCs w:val="22"/>
          <w:lang w:eastAsia="zh-CN"/>
        </w:rPr>
        <w:t>）</w:t>
      </w:r>
      <w:r>
        <w:rPr>
          <w:rFonts w:hint="eastAsia" w:ascii="宋体" w:hAnsi="Courier New" w:eastAsia="宋体" w:cs="宋体"/>
          <w:sz w:val="24"/>
          <w:szCs w:val="22"/>
        </w:rPr>
        <w:t>投标人被举报、检举，并经招标方查实无误的</w:t>
      </w:r>
      <w:r>
        <w:rPr>
          <w:rFonts w:hint="eastAsia" w:ascii="宋体" w:hAnsi="Courier New" w:eastAsia="宋体" w:cs="宋体"/>
          <w:sz w:val="24"/>
          <w:szCs w:val="22"/>
          <w:lang w:val="en-US" w:eastAsia="zh-CN"/>
        </w:rPr>
        <w:t>;</w:t>
      </w:r>
    </w:p>
    <w:p>
      <w:pPr>
        <w:spacing w:line="520" w:lineRule="exact"/>
        <w:ind w:right="2" w:firstLine="480" w:firstLineChars="200"/>
        <w:rPr>
          <w:rFonts w:hint="eastAsia" w:ascii="宋体" w:hAnsi="Courier New" w:eastAsia="宋体" w:cs="宋体"/>
          <w:sz w:val="24"/>
          <w:szCs w:val="22"/>
          <w:lang w:eastAsia="zh-CN"/>
        </w:rPr>
      </w:pPr>
      <w:r>
        <w:rPr>
          <w:rFonts w:hint="eastAsia" w:ascii="宋体" w:hAnsi="Courier New" w:eastAsia="宋体" w:cs="宋体"/>
          <w:sz w:val="24"/>
          <w:szCs w:val="22"/>
        </w:rPr>
        <w:t>（</w:t>
      </w:r>
      <w:r>
        <w:rPr>
          <w:rFonts w:hint="eastAsia" w:ascii="宋体" w:hAnsi="Courier New" w:eastAsia="宋体" w:cs="宋体"/>
          <w:sz w:val="24"/>
          <w:szCs w:val="22"/>
          <w:lang w:val="en-US" w:eastAsia="zh-CN"/>
        </w:rPr>
        <w:t>8</w:t>
      </w:r>
      <w:r>
        <w:rPr>
          <w:rFonts w:hint="eastAsia" w:ascii="宋体" w:hAnsi="Courier New" w:eastAsia="宋体" w:cs="宋体"/>
          <w:sz w:val="24"/>
          <w:szCs w:val="22"/>
        </w:rPr>
        <w:t>）法律、法规规定的其他情况</w:t>
      </w:r>
      <w:r>
        <w:rPr>
          <w:rFonts w:hint="eastAsia" w:ascii="宋体" w:hAnsi="Courier New" w:eastAsia="宋体" w:cs="宋体"/>
          <w:sz w:val="24"/>
          <w:szCs w:val="22"/>
          <w:lang w:eastAsia="zh-CN"/>
        </w:rPr>
        <w:t>；</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w:t>
      </w:r>
      <w:r>
        <w:rPr>
          <w:rFonts w:hint="eastAsia" w:ascii="宋体" w:hAnsi="Courier New" w:eastAsia="宋体" w:cs="宋体"/>
          <w:sz w:val="24"/>
          <w:szCs w:val="22"/>
          <w:lang w:val="en-US" w:eastAsia="zh-CN"/>
        </w:rPr>
        <w:t>9</w:t>
      </w:r>
      <w:r>
        <w:rPr>
          <w:rFonts w:hint="eastAsia" w:ascii="宋体" w:hAnsi="Courier New" w:eastAsia="宋体" w:cs="宋体"/>
          <w:sz w:val="24"/>
          <w:szCs w:val="22"/>
        </w:rPr>
        <w:t>）投标人负责人为同一人或者存在控股、管理关系的不同单位。</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2</w:t>
      </w:r>
      <w:r>
        <w:rPr>
          <w:rFonts w:hint="eastAsia" w:ascii="宋体" w:hAnsi="Courier New" w:eastAsia="宋体" w:cs="宋体"/>
          <w:sz w:val="24"/>
          <w:szCs w:val="22"/>
          <w:lang w:eastAsia="zh-CN"/>
        </w:rPr>
        <w:t>.</w:t>
      </w:r>
      <w:r>
        <w:rPr>
          <w:rFonts w:hint="eastAsia" w:ascii="宋体" w:hAnsi="Courier New" w:eastAsia="宋体" w:cs="宋体"/>
          <w:sz w:val="24"/>
          <w:szCs w:val="22"/>
        </w:rPr>
        <w:t>出现下列情形之一，招标人有权否决所有投标人的投标，并终止招标</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（1）出现影响采购公正的违法、违规行为的；</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（2）评标委员会经评审，认为所有投标都不符合招标文件要求的；</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（3）因重大变故，采购任务取消的；</w:t>
      </w:r>
    </w:p>
    <w:p>
      <w:pPr>
        <w:spacing w:line="520" w:lineRule="exact"/>
        <w:ind w:right="2" w:firstLine="480" w:firstLineChars="200"/>
        <w:rPr>
          <w:rFonts w:ascii="宋体" w:hAnsi="Courier New" w:eastAsia="宋体" w:cs="宋体"/>
          <w:sz w:val="24"/>
          <w:szCs w:val="22"/>
        </w:rPr>
      </w:pPr>
      <w:r>
        <w:rPr>
          <w:rFonts w:hint="eastAsia" w:ascii="宋体" w:hAnsi="Courier New" w:eastAsia="宋体" w:cs="宋体"/>
          <w:sz w:val="24"/>
          <w:szCs w:val="22"/>
        </w:rPr>
        <w:t>（4）符合条件的投标人或者对招标文件做实质响应的投标人不足三家的；</w:t>
      </w:r>
    </w:p>
    <w:p>
      <w:pPr>
        <w:spacing w:line="520" w:lineRule="exact"/>
        <w:ind w:right="2" w:firstLine="480" w:firstLineChars="200"/>
        <w:rPr>
          <w:rFonts w:hint="eastAsia" w:ascii="宋体" w:hAnsi="Courier New" w:eastAsia="宋体" w:cs="宋体"/>
          <w:sz w:val="24"/>
          <w:szCs w:val="22"/>
        </w:rPr>
      </w:pPr>
      <w:r>
        <w:rPr>
          <w:rFonts w:hint="eastAsia" w:ascii="宋体" w:hAnsi="Courier New" w:eastAsia="宋体" w:cs="宋体"/>
          <w:sz w:val="24"/>
          <w:szCs w:val="22"/>
        </w:rPr>
        <w:t>（5）不同投标人的投标文件异常一致或者投标报价呈规律性差异。</w:t>
      </w:r>
    </w:p>
    <w:p>
      <w:pPr>
        <w:spacing w:line="520" w:lineRule="exact"/>
        <w:ind w:right="2" w:firstLine="480" w:firstLineChars="200"/>
        <w:rPr>
          <w:rFonts w:hint="eastAsia" w:cs="Arial" w:asciiTheme="minorEastAsia" w:hAnsiTheme="minorEastAsia"/>
          <w:color w:val="333333"/>
          <w:sz w:val="24"/>
          <w:shd w:val="clear" w:color="auto" w:fill="FFFFFF"/>
        </w:rPr>
      </w:pPr>
      <w:r>
        <w:rPr>
          <w:rFonts w:hint="eastAsia" w:ascii="宋体" w:hAnsi="Courier New" w:eastAsia="宋体" w:cs="宋体"/>
          <w:sz w:val="24"/>
          <w:szCs w:val="22"/>
          <w:lang w:val="en-US" w:eastAsia="zh-CN"/>
        </w:rPr>
        <w:t>3.</w:t>
      </w:r>
      <w:r>
        <w:rPr>
          <w:rFonts w:hint="eastAsia" w:ascii="宋体" w:hAnsi="Courier New" w:eastAsia="宋体" w:cs="宋体"/>
          <w:sz w:val="24"/>
          <w:szCs w:val="22"/>
          <w:lang w:eastAsia="zh-CN"/>
        </w:rPr>
        <w:t>解释权：本招标文件的最终解释权归招标人，当对一个问题有多种解释时以招标人的书面解释为准。招标文件未做须知明示，而又有相关法律、法规规定的，招标人对此所做解释以相关的法律、法规规定为依据。</w:t>
      </w:r>
    </w:p>
    <w:p>
      <w:pPr>
        <w:pStyle w:val="63"/>
        <w:numPr>
          <w:ilvl w:val="1"/>
          <w:numId w:val="5"/>
        </w:numPr>
      </w:pPr>
      <w:bookmarkStart w:id="134" w:name="_Toc109031565"/>
      <w:bookmarkStart w:id="135" w:name="_Toc95148192"/>
      <w:bookmarkStart w:id="136" w:name="_Toc74143851"/>
      <w:r>
        <w:rPr>
          <w:rFonts w:hint="eastAsia"/>
        </w:rPr>
        <w:t>瑕疵滞后发现的处理</w:t>
      </w:r>
      <w:bookmarkEnd w:id="134"/>
      <w:bookmarkEnd w:id="135"/>
      <w:bookmarkEnd w:id="136"/>
    </w:p>
    <w:p>
      <w:pPr>
        <w:spacing w:line="520" w:lineRule="exact"/>
        <w:ind w:right="2" w:firstLine="480"/>
        <w:rPr>
          <w:rFonts w:ascii="宋体" w:cs="宋体"/>
          <w:sz w:val="24"/>
          <w:szCs w:val="22"/>
        </w:rPr>
      </w:pPr>
      <w:r>
        <w:rPr>
          <w:rFonts w:hint="eastAsia" w:ascii="宋体" w:eastAsia="宋体" w:cs="宋体"/>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pPr>
        <w:pStyle w:val="63"/>
        <w:numPr>
          <w:ilvl w:val="1"/>
          <w:numId w:val="5"/>
        </w:numPr>
      </w:pPr>
      <w:bookmarkStart w:id="137" w:name="_Toc109031566"/>
      <w:bookmarkStart w:id="138" w:name="_Toc53753563"/>
      <w:bookmarkStart w:id="139" w:name="_Toc74143852"/>
      <w:bookmarkStart w:id="140" w:name="_Toc95148193"/>
      <w:r>
        <w:rPr>
          <w:rFonts w:hint="eastAsia"/>
        </w:rPr>
        <w:t>合同以双方最终签署的版本为准</w:t>
      </w:r>
      <w:bookmarkEnd w:id="137"/>
      <w:bookmarkEnd w:id="138"/>
      <w:bookmarkEnd w:id="139"/>
      <w:bookmarkEnd w:id="140"/>
    </w:p>
    <w:p>
      <w:pPr>
        <w:numPr>
          <w:ilvl w:val="255"/>
          <w:numId w:val="0"/>
        </w:numPr>
        <w:spacing w:line="520" w:lineRule="exact"/>
        <w:ind w:right="2"/>
        <w:rPr>
          <w:rFonts w:ascii="宋体" w:hAnsi="Courier New" w:eastAsia="宋体" w:cs="宋体"/>
          <w:sz w:val="24"/>
          <w:szCs w:val="22"/>
          <w:lang w:bidi="ar"/>
        </w:rPr>
      </w:pPr>
    </w:p>
    <w:p>
      <w:pPr>
        <w:spacing w:line="520" w:lineRule="exact"/>
        <w:ind w:right="2" w:firstLine="480"/>
        <w:rPr>
          <w:rFonts w:ascii="宋体" w:hAnsi="Courier New" w:eastAsia="宋体" w:cs="宋体"/>
          <w:sz w:val="24"/>
          <w:szCs w:val="22"/>
          <w:lang w:bidi="ar"/>
        </w:rPr>
      </w:pPr>
    </w:p>
    <w:p>
      <w:pPr>
        <w:spacing w:line="520" w:lineRule="exact"/>
        <w:ind w:right="2" w:firstLine="480" w:firstLineChars="200"/>
        <w:rPr>
          <w:rFonts w:ascii="宋体" w:hAnsi="Courier New" w:eastAsia="宋体" w:cs="宋体"/>
          <w:sz w:val="24"/>
          <w:szCs w:val="22"/>
          <w:lang w:bidi="ar"/>
        </w:rPr>
      </w:pPr>
    </w:p>
    <w:bookmarkEnd w:id="5"/>
    <w:p>
      <w:pPr>
        <w:pStyle w:val="33"/>
        <w:keepNext w:val="0"/>
        <w:widowControl/>
        <w:numPr>
          <w:ilvl w:val="0"/>
          <w:numId w:val="0"/>
        </w:numPr>
      </w:pPr>
      <w:bookmarkStart w:id="141" w:name="_Toc109031567"/>
      <w:bookmarkStart w:id="142" w:name="_Toc95148194"/>
      <w:bookmarkStart w:id="143" w:name="_Toc36829341"/>
      <w:r>
        <w:rPr>
          <w:rFonts w:hint="eastAsia" w:cs="宋体"/>
        </w:rPr>
        <w:t>技术及业务部分</w:t>
      </w:r>
      <w:bookmarkEnd w:id="141"/>
      <w:bookmarkEnd w:id="142"/>
    </w:p>
    <w:bookmarkEnd w:id="143"/>
    <w:p>
      <w:pPr>
        <w:pStyle w:val="33"/>
        <w:keepNext w:val="0"/>
        <w:widowControl/>
        <w:numPr>
          <w:ilvl w:val="0"/>
          <w:numId w:val="18"/>
        </w:numPr>
        <w:rPr>
          <w:rFonts w:cs="宋体"/>
        </w:rPr>
      </w:pPr>
      <w:bookmarkStart w:id="144" w:name="_Toc95148195"/>
      <w:bookmarkStart w:id="145" w:name="_Toc74143853"/>
      <w:bookmarkStart w:id="146" w:name="_Toc109031568"/>
      <w:r>
        <w:rPr>
          <w:rFonts w:cs="宋体"/>
        </w:rPr>
        <w:t>项目背景</w:t>
      </w:r>
      <w:bookmarkEnd w:id="144"/>
      <w:bookmarkEnd w:id="145"/>
      <w:bookmarkEnd w:id="146"/>
    </w:p>
    <w:p>
      <w:pPr>
        <w:spacing w:line="360" w:lineRule="auto"/>
        <w:ind w:firstLine="480" w:firstLineChars="200"/>
        <w:rPr>
          <w:rFonts w:hint="eastAsia" w:asciiTheme="minorEastAsia" w:hAnsiTheme="minorEastAsia"/>
          <w:sz w:val="24"/>
        </w:rPr>
      </w:pPr>
      <w:bookmarkStart w:id="147" w:name="_Toc67315530"/>
      <w:bookmarkStart w:id="148" w:name="_Toc95148196"/>
      <w:bookmarkStart w:id="149" w:name="_Toc74143854"/>
      <w:r>
        <w:rPr>
          <w:rFonts w:hint="eastAsia" w:asciiTheme="minorEastAsia" w:hAnsiTheme="minorEastAsia"/>
          <w:sz w:val="24"/>
        </w:rPr>
        <w:t>重汽汽车金融有限公司（以下简称公司）自2015年成立以来，以服务重汽集团产品销售为主责主业，实现贷款规模的高速发展。近年来，随着公司业务品种和规模的不断扩张，目前公司存放各类档案约</w:t>
      </w:r>
      <w:r>
        <w:rPr>
          <w:rFonts w:hint="eastAsia" w:asciiTheme="minorEastAsia" w:hAnsiTheme="minorEastAsia"/>
          <w:sz w:val="24"/>
          <w:lang w:val="en-US" w:eastAsia="zh-CN"/>
        </w:rPr>
        <w:t>41</w:t>
      </w:r>
      <w:r>
        <w:rPr>
          <w:rFonts w:hint="eastAsia" w:asciiTheme="minorEastAsia" w:hAnsiTheme="minorEastAsia"/>
          <w:sz w:val="24"/>
        </w:rPr>
        <w:t>万份，公司需负责档案的接收、核查、清点、上架、借取等工作</w:t>
      </w:r>
      <w:r>
        <w:rPr>
          <w:rFonts w:hint="eastAsia" w:asciiTheme="minorEastAsia" w:hAnsiTheme="minorEastAsia"/>
          <w:sz w:val="24"/>
          <w:lang w:eastAsia="zh-CN"/>
        </w:rPr>
        <w:t>，</w:t>
      </w:r>
      <w:r>
        <w:rPr>
          <w:rFonts w:hint="eastAsia" w:asciiTheme="minorEastAsia" w:hAnsiTheme="minorEastAsia"/>
          <w:sz w:val="24"/>
        </w:rPr>
        <w:t>公司档案管理压力逐年增大。</w:t>
      </w:r>
    </w:p>
    <w:p>
      <w:pPr>
        <w:spacing w:line="360" w:lineRule="auto"/>
        <w:ind w:firstLine="480" w:firstLineChars="200"/>
        <w:rPr>
          <w:rFonts w:asciiTheme="minorEastAsia" w:hAnsiTheme="minorEastAsia"/>
          <w:sz w:val="24"/>
        </w:rPr>
      </w:pPr>
      <w:r>
        <w:rPr>
          <w:rFonts w:hint="eastAsia" w:asciiTheme="minorEastAsia" w:hAnsiTheme="minorEastAsia"/>
          <w:sz w:val="24"/>
        </w:rPr>
        <w:t>上述工作有着工作难度小、技术含量低、占用时间长、人员流失率高的特点，为提升金融服务质效，更加有效地配置有限的人力资源，拟通过聘用专业的金融服务公司负责业务档案</w:t>
      </w:r>
      <w:r>
        <w:rPr>
          <w:rFonts w:hint="eastAsia" w:asciiTheme="minorEastAsia" w:hAnsiTheme="minorEastAsia"/>
          <w:sz w:val="24"/>
          <w:lang w:val="en-US" w:eastAsia="zh-CN"/>
        </w:rPr>
        <w:t>管理</w:t>
      </w:r>
      <w:r>
        <w:rPr>
          <w:rFonts w:hint="eastAsia" w:asciiTheme="minorEastAsia" w:hAnsiTheme="minorEastAsia"/>
          <w:sz w:val="24"/>
        </w:rPr>
        <w:t>项目。</w:t>
      </w:r>
    </w:p>
    <w:p>
      <w:pPr>
        <w:pStyle w:val="33"/>
        <w:keepNext w:val="0"/>
        <w:widowControl/>
        <w:numPr>
          <w:ilvl w:val="0"/>
          <w:numId w:val="18"/>
        </w:numPr>
        <w:rPr>
          <w:rFonts w:cs="宋体"/>
        </w:rPr>
      </w:pPr>
      <w:bookmarkStart w:id="150" w:name="_Toc109031569"/>
      <w:r>
        <w:rPr>
          <w:rFonts w:cs="宋体"/>
        </w:rPr>
        <w:t>项目目标</w:t>
      </w:r>
      <w:bookmarkEnd w:id="147"/>
      <w:bookmarkEnd w:id="148"/>
      <w:bookmarkEnd w:id="149"/>
      <w:bookmarkEnd w:id="150"/>
    </w:p>
    <w:p>
      <w:pPr>
        <w:pStyle w:val="34"/>
        <w:ind w:firstLine="480"/>
        <w:rPr>
          <w:rFonts w:asciiTheme="minorEastAsia" w:hAnsiTheme="minorEastAsia" w:eastAsiaTheme="minorEastAsia" w:cstheme="minorBidi"/>
          <w:szCs w:val="24"/>
        </w:rPr>
      </w:pPr>
      <w:r>
        <w:rPr>
          <w:rFonts w:asciiTheme="minorEastAsia" w:hAnsiTheme="minorEastAsia" w:eastAsiaTheme="minorEastAsia" w:cstheme="minorBidi"/>
          <w:szCs w:val="24"/>
        </w:rPr>
        <w:t>1.</w:t>
      </w:r>
      <w:r>
        <w:rPr>
          <w:rFonts w:hint="eastAsia" w:asciiTheme="minorEastAsia" w:hAnsiTheme="minorEastAsia" w:eastAsiaTheme="minorEastAsia" w:cstheme="minorBidi"/>
          <w:szCs w:val="24"/>
        </w:rPr>
        <w:t>档案的完善、整理，不仅提高了公司整体管理水平，也满足了监管部门对汽车金融公司管理的要求，同时对于公司风险防控，风险化解起到了重要作用。从长远看，对于公司的规范化发展、稳定成长也有着深远意义。</w:t>
      </w:r>
    </w:p>
    <w:p>
      <w:pPr>
        <w:pStyle w:val="34"/>
        <w:ind w:firstLine="480"/>
        <w:rPr>
          <w:rFonts w:asciiTheme="minorEastAsia" w:hAnsiTheme="minorEastAsia" w:eastAsiaTheme="minorEastAsia" w:cstheme="minorBidi"/>
          <w:szCs w:val="24"/>
        </w:rPr>
      </w:pPr>
      <w:r>
        <w:rPr>
          <w:rFonts w:asciiTheme="minorEastAsia" w:hAnsiTheme="minorEastAsia" w:eastAsiaTheme="minorEastAsia" w:cstheme="minorBidi"/>
          <w:szCs w:val="24"/>
        </w:rPr>
        <w:t>2.</w:t>
      </w:r>
      <w:r>
        <w:rPr>
          <w:rFonts w:hint="eastAsia" w:asciiTheme="minorEastAsia" w:hAnsiTheme="minorEastAsia" w:eastAsiaTheme="minorEastAsia" w:cstheme="minorBidi"/>
          <w:szCs w:val="24"/>
        </w:rPr>
        <w:t>公司现有存量档案数量庞大，整理工作需投入大量人力、物力。引入专业金融服务外包公司可节省公司专业档案管理人员的成本费用、定期培训的费用等，也可将人员从低附加值的日常事务性工作中解放出来，把时间、精力和资源集中起来，投入到具有高附加值的战略环节，集中公司内部优质资源，着力提高核心竞争力。</w:t>
      </w:r>
    </w:p>
    <w:p>
      <w:pPr>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结合公司现有发展状况，目前公司共有</w:t>
      </w:r>
      <w:r>
        <w:rPr>
          <w:rFonts w:hint="eastAsia" w:asciiTheme="minorEastAsia" w:hAnsiTheme="minorEastAsia"/>
          <w:sz w:val="24"/>
          <w:lang w:val="en-US" w:eastAsia="zh-CN"/>
        </w:rPr>
        <w:t>23</w:t>
      </w:r>
      <w:r>
        <w:rPr>
          <w:rFonts w:hint="eastAsia" w:asciiTheme="minorEastAsia" w:hAnsiTheme="minorEastAsia"/>
          <w:sz w:val="24"/>
        </w:rPr>
        <w:t>个业务部，随着公司业务量持续增长，累计贷款投放额已</w:t>
      </w:r>
      <w:r>
        <w:rPr>
          <w:rFonts w:hint="eastAsia" w:asciiTheme="minorEastAsia" w:hAnsiTheme="minorEastAsia"/>
          <w:sz w:val="24"/>
          <w:lang w:val="en-US" w:eastAsia="zh-CN"/>
        </w:rPr>
        <w:t>超950</w:t>
      </w:r>
      <w:r>
        <w:rPr>
          <w:rFonts w:hint="eastAsia" w:asciiTheme="minorEastAsia" w:hAnsiTheme="minorEastAsia"/>
          <w:sz w:val="24"/>
        </w:rPr>
        <w:t>亿元，渗透率已提升至</w:t>
      </w:r>
      <w:r>
        <w:rPr>
          <w:rFonts w:hint="eastAsia" w:asciiTheme="minorEastAsia" w:hAnsiTheme="minorEastAsia"/>
          <w:sz w:val="24"/>
          <w:lang w:val="en-US" w:eastAsia="zh-CN"/>
        </w:rPr>
        <w:t>45</w:t>
      </w:r>
      <w:r>
        <w:rPr>
          <w:rFonts w:asciiTheme="minorEastAsia" w:hAnsiTheme="minorEastAsia"/>
          <w:sz w:val="24"/>
        </w:rPr>
        <w:t>%</w:t>
      </w:r>
      <w:r>
        <w:rPr>
          <w:rFonts w:hint="eastAsia" w:asciiTheme="minorEastAsia" w:hAnsiTheme="minorEastAsia"/>
          <w:sz w:val="24"/>
        </w:rPr>
        <w:t>以上，信贷业务档案数量也随着大幅增加。全国各业务部都相应出现档案整理人员不足、档案量堆积较多等困难。为提高档案管理时效，促进金融支持销售步伐，使业务一线全身心投入市场工作，进而实现提升集团车辆市场占用率目标。</w:t>
      </w:r>
      <w:r>
        <w:rPr>
          <w:rFonts w:asciiTheme="minorEastAsia" w:hAnsiTheme="minorEastAsia"/>
          <w:sz w:val="24"/>
        </w:rPr>
        <w:t xml:space="preserve"> </w:t>
      </w:r>
    </w:p>
    <w:p>
      <w:pPr>
        <w:pStyle w:val="34"/>
        <w:ind w:firstLine="480"/>
        <w:rPr>
          <w:rFonts w:asciiTheme="minorEastAsia" w:hAnsiTheme="minorEastAsia" w:eastAsiaTheme="minorEastAsia"/>
          <w:szCs w:val="24"/>
        </w:rPr>
      </w:pPr>
      <w:r>
        <w:rPr>
          <w:rFonts w:asciiTheme="minorEastAsia" w:hAnsiTheme="minorEastAsia" w:eastAsiaTheme="minorEastAsia" w:cstheme="minorBidi"/>
          <w:szCs w:val="24"/>
        </w:rPr>
        <w:t>4.</w:t>
      </w:r>
      <w:r>
        <w:rPr>
          <w:rFonts w:hint="eastAsia" w:asciiTheme="minorEastAsia" w:hAnsiTheme="minorEastAsia" w:eastAsiaTheme="minorEastAsia" w:cstheme="minorBidi"/>
          <w:szCs w:val="24"/>
        </w:rPr>
        <w:t>通过引入专业金融服务公司参与公司档案整理项目，降低公司档案整理成本，提高档案整理效率。专业金融服务公司依托其专业化、规模化的服务模式，高水平、高效率的管理手段，其成本远远低于公司自行进行档案整理，外包后的档案整理效率也会大幅提高。专业金融服务公司参与公司档案整理项目，可借助其在技术、专业人才等方面的优势，对公司档案管理的专业化、信息化、规范化建设有针对性地提出建议。</w:t>
      </w:r>
    </w:p>
    <w:p>
      <w:pPr>
        <w:pStyle w:val="33"/>
        <w:keepNext w:val="0"/>
        <w:widowControl/>
        <w:numPr>
          <w:ilvl w:val="0"/>
          <w:numId w:val="18"/>
        </w:numPr>
        <w:rPr>
          <w:rFonts w:ascii="宋体" w:hAnsi="宋体" w:cs="宋体"/>
          <w:szCs w:val="28"/>
        </w:rPr>
      </w:pPr>
      <w:bookmarkStart w:id="151" w:name="_Toc109031570"/>
      <w:bookmarkStart w:id="152" w:name="_Toc67315533"/>
      <w:bookmarkStart w:id="153" w:name="_Toc95148199"/>
      <w:bookmarkStart w:id="154" w:name="_Toc74143857"/>
      <w:r>
        <w:rPr>
          <w:rFonts w:ascii="宋体" w:hAnsi="宋体" w:cs="宋体"/>
          <w:szCs w:val="28"/>
        </w:rPr>
        <w:t>项目范围</w:t>
      </w:r>
      <w:bookmarkEnd w:id="151"/>
      <w:bookmarkEnd w:id="152"/>
      <w:bookmarkEnd w:id="153"/>
      <w:bookmarkEnd w:id="154"/>
    </w:p>
    <w:p>
      <w:pPr>
        <w:pStyle w:val="34"/>
        <w:ind w:firstLine="480"/>
      </w:pPr>
      <w:r>
        <w:rPr>
          <w:rFonts w:hint="eastAsia" w:asciiTheme="minorEastAsia" w:hAnsiTheme="minorEastAsia"/>
          <w:sz w:val="24"/>
        </w:rPr>
        <w:t>本项目范围涵盖档案管理业务外包项目业务模块，</w:t>
      </w:r>
      <w:r>
        <w:rPr>
          <w:rFonts w:hint="eastAsia" w:asciiTheme="minorEastAsia" w:hAnsiTheme="minorEastAsia"/>
          <w:sz w:val="24"/>
          <w:lang w:val="en-US" w:eastAsia="zh-CN"/>
        </w:rPr>
        <w:t>负责</w:t>
      </w:r>
      <w:r>
        <w:rPr>
          <w:rFonts w:hint="eastAsia" w:asciiTheme="minorEastAsia" w:hAnsiTheme="minorEastAsia"/>
          <w:sz w:val="24"/>
        </w:rPr>
        <w:t>公司</w:t>
      </w:r>
      <w:r>
        <w:rPr>
          <w:rFonts w:hint="eastAsia" w:asciiTheme="minorEastAsia" w:hAnsiTheme="minorEastAsia"/>
          <w:sz w:val="24"/>
          <w:lang w:val="en-US" w:eastAsia="zh-CN"/>
        </w:rPr>
        <w:t>全国范围内业务相关</w:t>
      </w:r>
      <w:r>
        <w:rPr>
          <w:rFonts w:hint="eastAsia" w:asciiTheme="minorEastAsia" w:hAnsiTheme="minorEastAsia"/>
          <w:sz w:val="24"/>
        </w:rPr>
        <w:t>档案</w:t>
      </w:r>
      <w:r>
        <w:rPr>
          <w:rFonts w:hint="eastAsia" w:asciiTheme="minorEastAsia" w:hAnsiTheme="minorEastAsia"/>
          <w:sz w:val="24"/>
          <w:lang w:val="en-US" w:eastAsia="zh-CN"/>
        </w:rPr>
        <w:t>的接收、核查、整改、清点、上架、借阅等相关</w:t>
      </w:r>
      <w:r>
        <w:rPr>
          <w:rFonts w:hint="eastAsia" w:asciiTheme="minorEastAsia" w:hAnsiTheme="minorEastAsia"/>
          <w:sz w:val="24"/>
        </w:rPr>
        <w:t>管理工作。</w:t>
      </w:r>
    </w:p>
    <w:p>
      <w:pPr>
        <w:pStyle w:val="33"/>
        <w:keepNext w:val="0"/>
        <w:widowControl/>
        <w:numPr>
          <w:ilvl w:val="0"/>
          <w:numId w:val="18"/>
        </w:numPr>
        <w:rPr>
          <w:rFonts w:ascii="宋体" w:hAnsi="宋体" w:cs="宋体"/>
          <w:szCs w:val="28"/>
        </w:rPr>
      </w:pPr>
      <w:bookmarkStart w:id="155" w:name="_Toc74143861"/>
      <w:bookmarkStart w:id="156" w:name="_Toc95148202"/>
      <w:bookmarkStart w:id="157" w:name="_Toc67315537"/>
      <w:bookmarkStart w:id="158" w:name="_Toc109031571"/>
      <w:r>
        <w:rPr>
          <w:rFonts w:ascii="宋体" w:hAnsi="宋体" w:cs="宋体"/>
          <w:szCs w:val="28"/>
        </w:rPr>
        <w:t>项目</w:t>
      </w:r>
      <w:bookmarkEnd w:id="155"/>
      <w:bookmarkEnd w:id="156"/>
      <w:bookmarkEnd w:id="157"/>
      <w:r>
        <w:rPr>
          <w:rFonts w:hint="eastAsia" w:ascii="宋体" w:hAnsi="宋体" w:cs="宋体"/>
          <w:szCs w:val="28"/>
        </w:rPr>
        <w:t>内容</w:t>
      </w:r>
      <w:bookmarkEnd w:id="158"/>
    </w:p>
    <w:p>
      <w:pPr>
        <w:spacing w:line="560" w:lineRule="exact"/>
        <w:rPr>
          <w:rFonts w:cs="Times New Roman" w:asciiTheme="minorEastAsia" w:hAnsiTheme="minorEastAsia"/>
          <w:sz w:val="24"/>
        </w:rPr>
      </w:pPr>
      <w:bookmarkStart w:id="159" w:name="_Toc95148210"/>
      <w:bookmarkStart w:id="160" w:name="_Toc67315565"/>
      <w:bookmarkStart w:id="161" w:name="_Toc109031572"/>
      <w:bookmarkStart w:id="162" w:name="_Toc74143869"/>
      <w:r>
        <w:rPr>
          <w:rFonts w:hint="eastAsia" w:cs="Times New Roman" w:asciiTheme="minorEastAsia" w:hAnsiTheme="minorEastAsia"/>
          <w:sz w:val="24"/>
        </w:rPr>
        <w:t xml:space="preserve">（1）档案资料的收集工作； </w:t>
      </w:r>
    </w:p>
    <w:p>
      <w:pPr>
        <w:spacing w:line="560" w:lineRule="exact"/>
        <w:rPr>
          <w:rFonts w:cs="Times New Roman" w:asciiTheme="minorEastAsia" w:hAnsiTheme="minorEastAsia"/>
          <w:sz w:val="24"/>
        </w:rPr>
      </w:pPr>
      <w:r>
        <w:rPr>
          <w:rFonts w:hint="eastAsia" w:cs="Times New Roman" w:asciiTheme="minorEastAsia" w:hAnsiTheme="minorEastAsia"/>
          <w:sz w:val="24"/>
        </w:rPr>
        <w:t xml:space="preserve">（2）档案资料的整理、检查、登记、反馈等工作； </w:t>
      </w:r>
    </w:p>
    <w:p>
      <w:pPr>
        <w:spacing w:line="560" w:lineRule="exact"/>
        <w:rPr>
          <w:rFonts w:cs="Times New Roman" w:asciiTheme="minorEastAsia" w:hAnsiTheme="minorEastAsia"/>
          <w:sz w:val="24"/>
        </w:rPr>
      </w:pPr>
      <w:r>
        <w:rPr>
          <w:rFonts w:hint="eastAsia" w:cs="Times New Roman" w:asciiTheme="minorEastAsia" w:hAnsiTheme="minorEastAsia"/>
          <w:sz w:val="24"/>
        </w:rPr>
        <w:t xml:space="preserve">（3）档案资料补充、修改、完善后的整理、归档工作； </w:t>
      </w:r>
    </w:p>
    <w:p>
      <w:pPr>
        <w:spacing w:line="560" w:lineRule="exact"/>
        <w:rPr>
          <w:rFonts w:cs="Times New Roman" w:asciiTheme="minorEastAsia" w:hAnsiTheme="minorEastAsia"/>
          <w:sz w:val="24"/>
        </w:rPr>
      </w:pPr>
      <w:r>
        <w:rPr>
          <w:rFonts w:hint="eastAsia" w:cs="Times New Roman" w:asciiTheme="minorEastAsia" w:hAnsiTheme="minorEastAsia"/>
          <w:sz w:val="24"/>
        </w:rPr>
        <w:t xml:space="preserve">（4）档案资料的上架、保管工作； </w:t>
      </w:r>
    </w:p>
    <w:p>
      <w:pPr>
        <w:spacing w:line="560" w:lineRule="exact"/>
        <w:rPr>
          <w:rFonts w:cs="Times New Roman" w:asciiTheme="minorEastAsia" w:hAnsiTheme="minorEastAsia"/>
          <w:sz w:val="24"/>
        </w:rPr>
      </w:pPr>
      <w:r>
        <w:rPr>
          <w:rFonts w:hint="eastAsia" w:cs="Times New Roman" w:asciiTheme="minorEastAsia" w:hAnsiTheme="minorEastAsia"/>
          <w:sz w:val="24"/>
        </w:rPr>
        <w:t>（5）档案室的巡查、卫生、</w:t>
      </w:r>
      <w:r>
        <w:rPr>
          <w:rFonts w:hint="eastAsia" w:cs="Times New Roman" w:asciiTheme="minorEastAsia" w:hAnsiTheme="minorEastAsia"/>
          <w:sz w:val="24"/>
          <w:lang w:val="en-US" w:eastAsia="zh-CN"/>
        </w:rPr>
        <w:t>九</w:t>
      </w:r>
      <w:r>
        <w:rPr>
          <w:rFonts w:hint="eastAsia" w:cs="Times New Roman" w:asciiTheme="minorEastAsia" w:hAnsiTheme="minorEastAsia"/>
          <w:sz w:val="24"/>
        </w:rPr>
        <w:t xml:space="preserve">防等工作； </w:t>
      </w:r>
    </w:p>
    <w:p>
      <w:pPr>
        <w:spacing w:line="560" w:lineRule="exact"/>
        <w:rPr>
          <w:rFonts w:hint="eastAsia" w:cs="Times New Roman" w:asciiTheme="minorEastAsia" w:hAnsiTheme="minorEastAsia"/>
          <w:sz w:val="24"/>
          <w:lang w:eastAsia="zh-CN"/>
        </w:rPr>
      </w:pPr>
      <w:r>
        <w:rPr>
          <w:rFonts w:hint="eastAsia" w:cs="Times New Roman" w:asciiTheme="minorEastAsia" w:hAnsiTheme="minorEastAsia"/>
          <w:sz w:val="24"/>
        </w:rPr>
        <w:t>（6）其他甲方要求的与档案管理相关的工作</w:t>
      </w:r>
      <w:r>
        <w:rPr>
          <w:rFonts w:hint="eastAsia" w:cs="Times New Roman" w:asciiTheme="minorEastAsia" w:hAnsiTheme="minorEastAsia"/>
          <w:sz w:val="24"/>
          <w:lang w:eastAsia="zh-CN"/>
        </w:rPr>
        <w:t>；</w:t>
      </w:r>
    </w:p>
    <w:p>
      <w:pPr>
        <w:spacing w:line="560" w:lineRule="exact"/>
        <w:rPr>
          <w:rFonts w:hint="eastAsia" w:cs="Times New Roman" w:asciiTheme="minorEastAsia" w:hAnsiTheme="minorEastAsia"/>
          <w:sz w:val="24"/>
          <w:lang w:val="en-US" w:eastAsia="zh-CN"/>
        </w:rPr>
      </w:pPr>
      <w:r>
        <w:rPr>
          <w:rFonts w:hint="eastAsia" w:cs="Times New Roman" w:asciiTheme="minorEastAsia" w:hAnsiTheme="minorEastAsia"/>
          <w:sz w:val="24"/>
          <w:lang w:eastAsia="zh-CN"/>
        </w:rPr>
        <w:t>（</w:t>
      </w:r>
      <w:r>
        <w:rPr>
          <w:rFonts w:hint="eastAsia" w:cs="Times New Roman" w:asciiTheme="minorEastAsia" w:hAnsiTheme="minorEastAsia"/>
          <w:sz w:val="24"/>
          <w:lang w:val="en-US" w:eastAsia="zh-CN"/>
        </w:rPr>
        <w:t>7</w:t>
      </w:r>
      <w:r>
        <w:rPr>
          <w:rFonts w:hint="eastAsia" w:cs="Times New Roman" w:asciiTheme="minorEastAsia" w:hAnsiTheme="minorEastAsia"/>
          <w:sz w:val="24"/>
          <w:lang w:eastAsia="zh-CN"/>
        </w:rPr>
        <w:t>）</w:t>
      </w:r>
      <w:r>
        <w:rPr>
          <w:rFonts w:hint="eastAsia" w:cs="Times New Roman" w:asciiTheme="minorEastAsia" w:hAnsiTheme="minorEastAsia"/>
          <w:sz w:val="24"/>
          <w:lang w:val="en-US" w:eastAsia="zh-CN"/>
        </w:rPr>
        <w:t>保单审核工作；</w:t>
      </w:r>
    </w:p>
    <w:p>
      <w:pPr>
        <w:spacing w:line="560" w:lineRule="exact"/>
        <w:rPr>
          <w:rFonts w:hint="eastAsia" w:cs="Times New Roman" w:asciiTheme="minorEastAsia" w:hAnsiTheme="minorEastAsia"/>
          <w:sz w:val="24"/>
          <w:lang w:val="en-US" w:eastAsia="zh-CN"/>
        </w:rPr>
      </w:pPr>
      <w:r>
        <w:rPr>
          <w:rFonts w:hint="eastAsia" w:cs="Times New Roman" w:asciiTheme="minorEastAsia" w:hAnsiTheme="minorEastAsia"/>
          <w:sz w:val="24"/>
          <w:lang w:val="en-US" w:eastAsia="zh-CN"/>
        </w:rPr>
        <w:t>（8）中登网登记审核工作；</w:t>
      </w:r>
    </w:p>
    <w:p>
      <w:pPr>
        <w:spacing w:line="560" w:lineRule="exact"/>
        <w:rPr>
          <w:rFonts w:hint="eastAsia" w:cs="Times New Roman" w:asciiTheme="minorEastAsia" w:hAnsiTheme="minorEastAsia"/>
          <w:sz w:val="24"/>
          <w:lang w:val="en-US" w:eastAsia="zh-CN"/>
        </w:rPr>
      </w:pPr>
      <w:r>
        <w:rPr>
          <w:rFonts w:hint="eastAsia" w:cs="Times New Roman" w:asciiTheme="minorEastAsia" w:hAnsiTheme="minorEastAsia"/>
          <w:sz w:val="24"/>
          <w:lang w:val="en-US" w:eastAsia="zh-CN"/>
        </w:rPr>
        <w:t>（9）根据档案资料情况联系全国经销商工作。</w:t>
      </w:r>
    </w:p>
    <w:p>
      <w:pPr>
        <w:spacing w:line="560" w:lineRule="exact"/>
        <w:rPr>
          <w:rFonts w:hint="default" w:cs="Times New Roman" w:asciiTheme="minorEastAsia" w:hAnsiTheme="minorEastAsia"/>
          <w:sz w:val="24"/>
          <w:lang w:val="en-US" w:eastAsia="zh-CN"/>
        </w:rPr>
      </w:pPr>
    </w:p>
    <w:p>
      <w:pPr>
        <w:pStyle w:val="33"/>
        <w:keepNext w:val="0"/>
        <w:widowControl/>
        <w:numPr>
          <w:ilvl w:val="0"/>
          <w:numId w:val="18"/>
        </w:numPr>
        <w:rPr>
          <w:rFonts w:ascii="宋体" w:hAnsi="宋体" w:cs="宋体"/>
          <w:szCs w:val="28"/>
        </w:rPr>
      </w:pPr>
      <w:r>
        <w:rPr>
          <w:rFonts w:hint="eastAsia" w:ascii="宋体" w:hAnsi="宋体" w:cs="宋体"/>
          <w:szCs w:val="28"/>
        </w:rPr>
        <w:t>项目建设计划</w:t>
      </w:r>
      <w:bookmarkEnd w:id="159"/>
      <w:bookmarkEnd w:id="160"/>
      <w:bookmarkEnd w:id="161"/>
      <w:bookmarkEnd w:id="162"/>
    </w:p>
    <w:p>
      <w:pPr>
        <w:pStyle w:val="12"/>
        <w:spacing w:line="360" w:lineRule="auto"/>
        <w:ind w:left="114" w:firstLine="420"/>
        <w:jc w:val="both"/>
        <w:rPr>
          <w:sz w:val="24"/>
          <w:szCs w:val="24"/>
        </w:rPr>
      </w:pPr>
      <w:bookmarkStart w:id="163" w:name="_Hlk102645387"/>
      <w:r>
        <w:rPr>
          <w:rFonts w:hint="eastAsia" w:asciiTheme="minorEastAsia" w:hAnsiTheme="minorEastAsia"/>
          <w:sz w:val="24"/>
        </w:rPr>
        <w:t>要求</w:t>
      </w:r>
      <w:r>
        <w:rPr>
          <w:rFonts w:hint="eastAsia" w:asciiTheme="minorEastAsia" w:hAnsiTheme="minorEastAsia"/>
          <w:b/>
          <w:bCs/>
          <w:sz w:val="24"/>
        </w:rPr>
        <w:t>最晚于</w:t>
      </w:r>
      <w:r>
        <w:rPr>
          <w:rFonts w:asciiTheme="minorEastAsia" w:hAnsiTheme="minorEastAsia"/>
          <w:b/>
          <w:bCs/>
          <w:sz w:val="24"/>
        </w:rPr>
        <w:t>202</w:t>
      </w:r>
      <w:r>
        <w:rPr>
          <w:rFonts w:hint="eastAsia" w:asciiTheme="minorEastAsia" w:hAnsiTheme="minorEastAsia"/>
          <w:b/>
          <w:bCs/>
          <w:sz w:val="24"/>
          <w:lang w:val="en-US" w:eastAsia="zh-CN"/>
        </w:rPr>
        <w:t>5</w:t>
      </w:r>
      <w:r>
        <w:rPr>
          <w:rFonts w:hint="eastAsia" w:asciiTheme="minorEastAsia" w:hAnsiTheme="minorEastAsia"/>
          <w:b/>
          <w:bCs/>
          <w:sz w:val="24"/>
        </w:rPr>
        <w:t>年</w:t>
      </w:r>
      <w:r>
        <w:rPr>
          <w:rFonts w:hint="eastAsia" w:asciiTheme="minorEastAsia" w:hAnsiTheme="minorEastAsia"/>
          <w:b/>
          <w:bCs/>
          <w:sz w:val="24"/>
          <w:lang w:val="en-US" w:eastAsia="zh-CN"/>
        </w:rPr>
        <w:t>1</w:t>
      </w:r>
      <w:r>
        <w:rPr>
          <w:rFonts w:hint="eastAsia" w:asciiTheme="minorEastAsia" w:hAnsiTheme="minorEastAsia"/>
          <w:b/>
          <w:bCs/>
          <w:sz w:val="24"/>
        </w:rPr>
        <w:t>月</w:t>
      </w:r>
      <w:r>
        <w:rPr>
          <w:rFonts w:hint="eastAsia" w:asciiTheme="minorEastAsia" w:hAnsiTheme="minorEastAsia"/>
          <w:b/>
          <w:bCs/>
          <w:sz w:val="24"/>
          <w:lang w:val="en-US" w:eastAsia="zh-CN"/>
        </w:rPr>
        <w:t>28</w:t>
      </w:r>
      <w:r>
        <w:rPr>
          <w:rFonts w:hint="eastAsia" w:asciiTheme="minorEastAsia" w:hAnsiTheme="minorEastAsia"/>
          <w:b/>
          <w:bCs/>
          <w:sz w:val="24"/>
        </w:rPr>
        <w:t>日前</w:t>
      </w:r>
      <w:bookmarkEnd w:id="163"/>
      <w:r>
        <w:rPr>
          <w:rFonts w:hint="eastAsia" w:asciiTheme="minorEastAsia" w:hAnsiTheme="minorEastAsia"/>
          <w:sz w:val="24"/>
        </w:rPr>
        <w:t>业务档案专项检查项目人员到位，步入正轨，正常开展业务。</w:t>
      </w:r>
    </w:p>
    <w:p>
      <w:pPr>
        <w:pStyle w:val="33"/>
        <w:keepNext w:val="0"/>
        <w:widowControl/>
        <w:numPr>
          <w:ilvl w:val="0"/>
          <w:numId w:val="18"/>
        </w:numPr>
        <w:rPr>
          <w:rFonts w:cs="宋体" w:asciiTheme="minorEastAsia" w:hAnsiTheme="minorEastAsia" w:eastAsiaTheme="minorEastAsia"/>
          <w:sz w:val="24"/>
          <w:szCs w:val="24"/>
        </w:rPr>
      </w:pPr>
      <w:bookmarkStart w:id="164" w:name="_Toc74143870"/>
      <w:bookmarkStart w:id="165" w:name="_Toc95148211"/>
      <w:bookmarkStart w:id="166" w:name="_Toc109031573"/>
      <w:r>
        <w:rPr>
          <w:rFonts w:cs="宋体" w:asciiTheme="minorEastAsia" w:hAnsiTheme="minorEastAsia" w:eastAsiaTheme="minorEastAsia"/>
          <w:sz w:val="24"/>
          <w:szCs w:val="24"/>
        </w:rPr>
        <w:t>投标文件格式</w:t>
      </w:r>
      <w:bookmarkEnd w:id="164"/>
      <w:bookmarkEnd w:id="165"/>
      <w:bookmarkEnd w:id="166"/>
    </w:p>
    <w:p>
      <w:pPr>
        <w:rPr>
          <w:rFonts w:eastAsia="黑体"/>
          <w:b/>
          <w:sz w:val="28"/>
          <w:szCs w:val="22"/>
        </w:rPr>
      </w:pPr>
      <w:r>
        <w:rPr>
          <w:rFonts w:hint="eastAsia" w:ascii="Calibri" w:hAnsi="Calibri" w:eastAsia="黑体" w:cs="黑体"/>
          <w:b/>
          <w:sz w:val="28"/>
          <w:szCs w:val="22"/>
        </w:rPr>
        <w:t>附件</w:t>
      </w:r>
      <w:r>
        <w:rPr>
          <w:rFonts w:ascii="Calibri" w:hAnsi="Calibri" w:eastAsia="黑体" w:cs="Times New Roman"/>
          <w:b/>
          <w:sz w:val="28"/>
          <w:szCs w:val="22"/>
        </w:rPr>
        <w:t>1</w:t>
      </w:r>
    </w:p>
    <w:p>
      <w:pPr>
        <w:jc w:val="center"/>
        <w:rPr>
          <w:rFonts w:eastAsia="黑体"/>
          <w:b/>
          <w:sz w:val="28"/>
          <w:szCs w:val="22"/>
        </w:rPr>
      </w:pPr>
      <w:bookmarkStart w:id="167" w:name="_Toc283368335"/>
      <w:bookmarkStart w:id="168" w:name="_Toc278876641"/>
      <w:bookmarkStart w:id="169" w:name="_Toc533251966"/>
      <w:bookmarkStart w:id="170" w:name="_Toc290401063"/>
      <w:r>
        <w:rPr>
          <w:rFonts w:hint="eastAsia" w:ascii="Calibri" w:hAnsi="Calibri" w:eastAsia="黑体" w:cs="黑体"/>
          <w:b/>
          <w:sz w:val="28"/>
          <w:szCs w:val="22"/>
        </w:rPr>
        <w:t>投标函</w:t>
      </w:r>
      <w:bookmarkEnd w:id="167"/>
      <w:bookmarkEnd w:id="168"/>
      <w:bookmarkEnd w:id="169"/>
      <w:bookmarkEnd w:id="170"/>
    </w:p>
    <w:p>
      <w:pPr>
        <w:tabs>
          <w:tab w:val="left" w:pos="720"/>
        </w:tabs>
        <w:spacing w:line="360" w:lineRule="auto"/>
        <w:ind w:right="3"/>
        <w:rPr>
          <w:rFonts w:ascii="宋体" w:hAnsi="宋体" w:eastAsia="宋体" w:cs="宋体"/>
          <w:sz w:val="24"/>
          <w:szCs w:val="22"/>
        </w:rPr>
      </w:pPr>
      <w:r>
        <w:rPr>
          <w:rFonts w:hint="eastAsia" w:ascii="宋体" w:hAnsi="宋体" w:eastAsia="宋体" w:cs="宋体"/>
          <w:sz w:val="24"/>
          <w:szCs w:val="22"/>
        </w:rPr>
        <w:t xml:space="preserve">致：重汽汽车金融有限公司              </w:t>
      </w:r>
    </w:p>
    <w:p>
      <w:pPr>
        <w:spacing w:before="156" w:beforeLines="50" w:line="360" w:lineRule="auto"/>
        <w:rPr>
          <w:rFonts w:ascii="宋体" w:hAnsi="宋体" w:eastAsia="宋体" w:cs="宋体"/>
          <w:sz w:val="24"/>
          <w:szCs w:val="22"/>
        </w:rPr>
      </w:pPr>
      <w:r>
        <w:rPr>
          <w:rFonts w:hint="eastAsia" w:ascii="宋体" w:hAnsi="宋体" w:eastAsia="宋体" w:cs="宋体"/>
          <w:sz w:val="24"/>
          <w:szCs w:val="22"/>
        </w:rPr>
        <w:t>根据贵司的招标函，本人代表投标人_____________（投标人名称）提交下述投标文件。</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rPr>
        <w:t>本人宣布同意如下：</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rPr>
        <w:t>1、所附《开标一览表》规定的</w:t>
      </w:r>
      <w:r>
        <w:rPr>
          <w:rFonts w:hint="eastAsia" w:ascii="宋体" w:hAnsi="宋体" w:eastAsia="宋体" w:cs="宋体"/>
          <w:sz w:val="24"/>
          <w:szCs w:val="22"/>
          <w:u w:val="single"/>
        </w:rPr>
        <w:t xml:space="preserve">            项目</w:t>
      </w:r>
      <w:r>
        <w:rPr>
          <w:rFonts w:hint="eastAsia" w:ascii="宋体" w:hAnsi="宋体" w:eastAsia="宋体" w:cs="宋体"/>
          <w:sz w:val="24"/>
          <w:szCs w:val="22"/>
        </w:rPr>
        <w:t>投标总价为：________________（人民币），____________________（大写）。</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rPr>
        <w:t>2、我方郑重承诺：投标人将全部满足招标文件中的各项实质性要求，若有与招标文件中有偏离的，已在《商务条款偏离表》或《技术规格、参数偏离表》中陈述。除了《商务条款偏离表》或《技术规格、参数偏离表》陈述的偏离外，如果发现投标文件中另有与招标文件中不一致的响应或没有响应，投标人同意招标人有权要求投标人按照招标文件的要求提供服务。投标人并同意按照招标文件的规定履行合同责任和义务。</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rPr>
        <w:t>3、我方已详细审查全部招标文件，包括修改文件（如有的话）以及全部参考资料和有关附件。我们完全理解并同意放弃对这方面有不明及误解的权利。</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rPr>
        <w:t>4、我方的投标自投标截止之日起有效期为</w:t>
      </w:r>
      <w:r>
        <w:rPr>
          <w:rFonts w:ascii="宋体" w:hAnsi="宋体" w:eastAsia="宋体" w:cs="宋体"/>
          <w:sz w:val="24"/>
          <w:szCs w:val="22"/>
        </w:rPr>
        <w:t>3</w:t>
      </w:r>
      <w:r>
        <w:rPr>
          <w:rFonts w:hint="eastAsia" w:ascii="宋体" w:hAnsi="宋体" w:eastAsia="宋体" w:cs="宋体"/>
          <w:sz w:val="24"/>
          <w:szCs w:val="22"/>
        </w:rPr>
        <w:t>0天。</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rPr>
        <w:t>5、我方同意提供按照贵方可能要求的与我方投标有关的一切数据或资料，理解贵方不一定要接受最低价的投标或收到的任何投标。</w:t>
      </w:r>
    </w:p>
    <w:p>
      <w:pPr>
        <w:spacing w:before="156" w:beforeLines="50" w:line="360" w:lineRule="auto"/>
        <w:ind w:firstLine="480" w:firstLineChars="200"/>
        <w:rPr>
          <w:rFonts w:ascii="宋体" w:hAnsi="宋体" w:eastAsia="宋体" w:cs="宋体"/>
          <w:sz w:val="24"/>
          <w:szCs w:val="22"/>
        </w:rPr>
      </w:pPr>
      <w:r>
        <w:rPr>
          <w:rFonts w:hint="eastAsia" w:ascii="宋体" w:hAnsi="宋体" w:eastAsia="宋体" w:cs="宋体"/>
          <w:sz w:val="24"/>
          <w:szCs w:val="22"/>
        </w:rPr>
        <w:t>6、与本投标有关的一切正式往来通讯请寄：</w:t>
      </w:r>
    </w:p>
    <w:p>
      <w:pPr>
        <w:tabs>
          <w:tab w:val="left" w:pos="720"/>
        </w:tabs>
        <w:spacing w:line="360" w:lineRule="auto"/>
        <w:ind w:right="3" w:firstLine="2640" w:firstLineChars="1100"/>
        <w:rPr>
          <w:rFonts w:ascii="宋体" w:hAnsi="宋体" w:eastAsia="宋体" w:cs="宋体"/>
          <w:sz w:val="24"/>
          <w:szCs w:val="22"/>
        </w:rPr>
      </w:pPr>
      <w:r>
        <w:rPr>
          <w:rFonts w:hint="eastAsia" w:ascii="宋体" w:hAnsi="宋体" w:eastAsia="宋体" w:cs="宋体"/>
          <w:sz w:val="24"/>
          <w:szCs w:val="22"/>
        </w:rPr>
        <w:t xml:space="preserve"> 投    标    人：          （公章）       </w:t>
      </w:r>
    </w:p>
    <w:p>
      <w:pPr>
        <w:spacing w:line="360" w:lineRule="auto"/>
        <w:ind w:right="-687" w:rightChars="-327" w:firstLine="2760" w:firstLineChars="1150"/>
        <w:rPr>
          <w:rFonts w:ascii="宋体" w:hAnsi="宋体" w:eastAsia="宋体" w:cs="宋体"/>
          <w:sz w:val="24"/>
          <w:szCs w:val="22"/>
        </w:rPr>
      </w:pPr>
      <w:r>
        <w:rPr>
          <w:rFonts w:hint="eastAsia" w:ascii="宋体" w:hAnsi="宋体" w:eastAsia="宋体" w:cs="宋体"/>
          <w:sz w:val="24"/>
          <w:szCs w:val="22"/>
        </w:rPr>
        <w:t xml:space="preserve">法定代表人或授权委托人： （签字或盖章） </w:t>
      </w:r>
    </w:p>
    <w:p>
      <w:pPr>
        <w:spacing w:line="360" w:lineRule="auto"/>
        <w:ind w:right="-687" w:rightChars="-327" w:firstLine="2760" w:firstLineChars="1150"/>
        <w:rPr>
          <w:rFonts w:ascii="宋体" w:hAnsi="宋体" w:eastAsia="宋体" w:cs="宋体"/>
          <w:sz w:val="24"/>
          <w:szCs w:val="22"/>
        </w:rPr>
      </w:pPr>
      <w:r>
        <w:rPr>
          <w:rFonts w:hint="eastAsia" w:ascii="宋体" w:hAnsi="宋体" w:eastAsia="宋体" w:cs="宋体"/>
          <w:sz w:val="24"/>
          <w:szCs w:val="22"/>
        </w:rPr>
        <w:t>日       期：         年      月      日</w:t>
      </w:r>
    </w:p>
    <w:p>
      <w:pPr>
        <w:rPr>
          <w:rFonts w:eastAsia="黑体"/>
        </w:rPr>
      </w:pPr>
      <w:r>
        <w:rPr>
          <w:rFonts w:ascii="Calibri" w:hAnsi="Calibri" w:eastAsia="宋体" w:cs="Times New Roman"/>
          <w:szCs w:val="22"/>
        </w:rPr>
        <w:br w:type="page"/>
      </w:r>
      <w:r>
        <w:rPr>
          <w:rFonts w:hint="eastAsia" w:ascii="Calibri" w:hAnsi="Calibri" w:eastAsia="黑体" w:cs="黑体"/>
          <w:b/>
          <w:sz w:val="28"/>
          <w:szCs w:val="22"/>
        </w:rPr>
        <w:t>附件</w:t>
      </w:r>
      <w:r>
        <w:rPr>
          <w:rFonts w:ascii="Calibri" w:hAnsi="Calibri" w:eastAsia="黑体" w:cs="Times New Roman"/>
          <w:b/>
          <w:sz w:val="28"/>
          <w:szCs w:val="22"/>
        </w:rPr>
        <w:t>2</w:t>
      </w:r>
    </w:p>
    <w:p>
      <w:pPr>
        <w:jc w:val="center"/>
        <w:rPr>
          <w:rFonts w:ascii="黑体" w:hAnsi="宋体" w:eastAsia="黑体" w:cs="黑体"/>
          <w:b/>
          <w:sz w:val="28"/>
          <w:szCs w:val="28"/>
        </w:rPr>
      </w:pPr>
      <w:r>
        <w:rPr>
          <w:rFonts w:hint="eastAsia" w:ascii="黑体" w:hAnsi="宋体" w:eastAsia="黑体" w:cs="黑体"/>
          <w:b/>
          <w:sz w:val="28"/>
          <w:szCs w:val="28"/>
        </w:rPr>
        <w:t>法定代表人授权委托书</w:t>
      </w:r>
    </w:p>
    <w:p>
      <w:pPr>
        <w:spacing w:line="360" w:lineRule="auto"/>
        <w:jc w:val="left"/>
        <w:rPr>
          <w:rFonts w:ascii="宋体" w:hAnsi="宋体" w:eastAsia="宋体" w:cs="宋体"/>
          <w:sz w:val="24"/>
          <w:szCs w:val="22"/>
        </w:rPr>
      </w:pPr>
      <w:r>
        <w:rPr>
          <w:rFonts w:hint="eastAsia" w:ascii="宋体" w:hAnsi="宋体" w:eastAsia="宋体" w:cs="宋体"/>
          <w:sz w:val="24"/>
          <w:szCs w:val="22"/>
        </w:rPr>
        <w:t>重汽汽车金融有限公司：</w:t>
      </w:r>
    </w:p>
    <w:p>
      <w:pPr>
        <w:spacing w:line="360" w:lineRule="auto"/>
        <w:ind w:firstLine="480" w:firstLineChars="200"/>
        <w:rPr>
          <w:rFonts w:ascii="宋体" w:hAnsi="宋体" w:eastAsia="宋体" w:cs="宋体"/>
          <w:sz w:val="24"/>
          <w:szCs w:val="22"/>
          <w:u w:val="single"/>
        </w:rPr>
      </w:pPr>
      <w:r>
        <w:rPr>
          <w:rFonts w:hint="eastAsia" w:ascii="宋体" w:hAnsi="宋体" w:eastAsia="宋体" w:cs="宋体"/>
          <w:sz w:val="24"/>
          <w:szCs w:val="22"/>
        </w:rPr>
        <w:t>我公司法定代表人</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授权委托</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rPr>
        <w:t>为其代理人，参加贵公司于</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年    月     </w:t>
      </w:r>
      <w:r>
        <w:rPr>
          <w:rFonts w:hint="eastAsia" w:ascii="宋体" w:hAnsi="宋体" w:eastAsia="宋体" w:cs="宋体"/>
          <w:sz w:val="24"/>
          <w:szCs w:val="22"/>
        </w:rPr>
        <w:t>日组织的项目采购活动，并全权代表我公司处理活动中的一切事宜。</w:t>
      </w:r>
    </w:p>
    <w:p>
      <w:pPr>
        <w:spacing w:line="360" w:lineRule="auto"/>
        <w:ind w:firstLine="480" w:firstLineChars="200"/>
        <w:jc w:val="left"/>
        <w:rPr>
          <w:rFonts w:ascii="宋体" w:hAnsi="宋体" w:eastAsia="宋体" w:cs="宋体"/>
          <w:sz w:val="24"/>
          <w:szCs w:val="22"/>
        </w:rPr>
      </w:pPr>
      <w:r>
        <w:rPr>
          <w:rFonts w:hint="eastAsia" w:ascii="宋体" w:hAnsi="宋体" w:eastAsia="宋体" w:cs="宋体"/>
          <w:sz w:val="24"/>
          <w:szCs w:val="22"/>
        </w:rPr>
        <w:t>本授权书自</w:t>
      </w:r>
      <w:r>
        <w:rPr>
          <w:rFonts w:hint="eastAsia" w:ascii="宋体" w:hAnsi="宋体" w:eastAsia="宋体" w:cs="宋体"/>
          <w:sz w:val="24"/>
          <w:szCs w:val="22"/>
          <w:u w:val="single"/>
        </w:rPr>
        <w:t xml:space="preserve"> </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年 </w:t>
      </w:r>
      <w:r>
        <w:rPr>
          <w:rFonts w:ascii="宋体" w:hAnsi="宋体" w:eastAsia="宋体" w:cs="宋体"/>
          <w:sz w:val="24"/>
          <w:szCs w:val="22"/>
          <w:u w:val="single"/>
        </w:rPr>
        <w:t xml:space="preserve">  </w:t>
      </w:r>
      <w:r>
        <w:rPr>
          <w:rFonts w:hint="eastAsia" w:ascii="宋体" w:hAnsi="宋体" w:eastAsia="宋体" w:cs="宋体"/>
          <w:sz w:val="24"/>
          <w:szCs w:val="22"/>
          <w:u w:val="single"/>
        </w:rPr>
        <w:t xml:space="preserve">月 </w:t>
      </w:r>
      <w:r>
        <w:rPr>
          <w:rFonts w:ascii="宋体" w:hAnsi="宋体" w:eastAsia="宋体" w:cs="宋体"/>
          <w:sz w:val="24"/>
          <w:szCs w:val="22"/>
          <w:u w:val="single"/>
        </w:rPr>
        <w:t xml:space="preserve">  </w:t>
      </w:r>
      <w:r>
        <w:rPr>
          <w:rFonts w:hint="eastAsia" w:ascii="宋体" w:hAnsi="宋体" w:eastAsia="宋体" w:cs="宋体"/>
          <w:sz w:val="24"/>
          <w:szCs w:val="22"/>
        </w:rPr>
        <w:t>日签字生效，特此声明。</w:t>
      </w:r>
    </w:p>
    <w:p>
      <w:pPr>
        <w:spacing w:line="360" w:lineRule="auto"/>
        <w:ind w:firstLine="480" w:firstLineChars="200"/>
        <w:jc w:val="left"/>
        <w:rPr>
          <w:rFonts w:ascii="宋体" w:hAnsi="宋体" w:eastAsia="宋体" w:cs="宋体"/>
          <w:sz w:val="24"/>
          <w:szCs w:val="22"/>
        </w:rPr>
      </w:pPr>
    </w:p>
    <w:p>
      <w:pPr>
        <w:spacing w:line="360" w:lineRule="auto"/>
        <w:jc w:val="left"/>
        <w:rPr>
          <w:rFonts w:ascii="宋体" w:hAnsi="宋体" w:eastAsia="宋体" w:cs="宋体"/>
          <w:sz w:val="24"/>
          <w:szCs w:val="22"/>
        </w:rPr>
      </w:pPr>
      <w:r>
        <w:rPr>
          <w:rFonts w:hint="eastAsia" w:ascii="宋体" w:hAnsi="宋体" w:eastAsia="宋体" w:cs="宋体"/>
          <w:sz w:val="24"/>
          <w:szCs w:val="22"/>
        </w:rPr>
        <w:t xml:space="preserve">竞标人名称（加盖公章）： </w:t>
      </w:r>
      <w:r>
        <w:rPr>
          <w:rFonts w:ascii="宋体" w:hAnsi="宋体" w:eastAsia="宋体" w:cs="宋体"/>
          <w:sz w:val="24"/>
          <w:szCs w:val="22"/>
        </w:rPr>
        <w:t xml:space="preserve">           </w:t>
      </w:r>
      <w:r>
        <w:rPr>
          <w:rFonts w:hint="eastAsia" w:ascii="宋体" w:hAnsi="宋体" w:eastAsia="宋体" w:cs="宋体"/>
          <w:sz w:val="24"/>
          <w:szCs w:val="22"/>
        </w:rPr>
        <w:t>日    期：</w:t>
      </w:r>
    </w:p>
    <w:p>
      <w:pPr>
        <w:spacing w:line="360" w:lineRule="auto"/>
        <w:jc w:val="left"/>
        <w:rPr>
          <w:rFonts w:ascii="宋体" w:hAnsi="宋体" w:eastAsia="宋体" w:cs="宋体"/>
          <w:sz w:val="24"/>
          <w:szCs w:val="22"/>
        </w:rPr>
      </w:pPr>
      <w:r>
        <w:rPr>
          <w:rFonts w:hint="eastAsia" w:ascii="宋体" w:hAnsi="宋体" w:eastAsia="宋体" w:cs="宋体"/>
          <w:sz w:val="24"/>
          <w:szCs w:val="22"/>
        </w:rPr>
        <w:t xml:space="preserve">法定代表人（签字或印章）： </w:t>
      </w:r>
      <w:r>
        <w:rPr>
          <w:rFonts w:ascii="宋体" w:hAnsi="宋体" w:eastAsia="宋体" w:cs="宋体"/>
          <w:sz w:val="24"/>
          <w:szCs w:val="22"/>
        </w:rPr>
        <w:t xml:space="preserve">        </w:t>
      </w:r>
      <w:r>
        <w:rPr>
          <w:rFonts w:hint="eastAsia" w:ascii="宋体" w:hAnsi="宋体" w:eastAsia="宋体" w:cs="宋体"/>
          <w:sz w:val="24"/>
          <w:szCs w:val="22"/>
        </w:rPr>
        <w:t xml:space="preserve"> 身份证号：</w:t>
      </w:r>
    </w:p>
    <w:p>
      <w:pPr>
        <w:spacing w:line="360" w:lineRule="auto"/>
        <w:ind w:firstLine="480" w:firstLineChars="200"/>
        <w:jc w:val="left"/>
        <w:rPr>
          <w:rFonts w:ascii="宋体" w:hAnsi="宋体" w:eastAsia="宋体" w:cs="宋体"/>
          <w:sz w:val="24"/>
          <w:szCs w:val="22"/>
        </w:rPr>
      </w:pPr>
    </w:p>
    <w:p>
      <w:pPr>
        <w:spacing w:line="360" w:lineRule="auto"/>
        <w:ind w:firstLine="482" w:firstLineChars="200"/>
        <w:jc w:val="left"/>
        <w:rPr>
          <w:rFonts w:ascii="宋体" w:hAnsi="宋体" w:eastAsia="宋体" w:cs="宋体"/>
          <w:sz w:val="24"/>
          <w:szCs w:val="22"/>
        </w:rPr>
      </w:pPr>
      <w:r>
        <w:rPr>
          <w:rFonts w:hint="eastAsia" w:ascii="宋体" w:hAnsi="宋体" w:eastAsia="宋体" w:cs="宋体"/>
          <w:b/>
          <w:sz w:val="24"/>
          <w:szCs w:val="22"/>
        </w:rPr>
        <w:t>附</w:t>
      </w:r>
      <w:r>
        <w:rPr>
          <w:rFonts w:hint="eastAsia" w:ascii="宋体" w:hAnsi="宋体" w:eastAsia="宋体" w:cs="宋体"/>
          <w:sz w:val="24"/>
          <w:szCs w:val="22"/>
        </w:rPr>
        <w:t xml:space="preserve">  授权代理人情况（附加盖竞标人公章的代理人身份证复印件）：</w:t>
      </w:r>
    </w:p>
    <w:p>
      <w:pPr>
        <w:spacing w:line="360" w:lineRule="auto"/>
        <w:ind w:firstLine="480" w:firstLineChars="200"/>
        <w:jc w:val="left"/>
        <w:rPr>
          <w:rFonts w:ascii="宋体" w:hAnsi="宋体" w:eastAsia="宋体" w:cs="宋体"/>
          <w:sz w:val="24"/>
          <w:szCs w:val="22"/>
        </w:rPr>
      </w:pPr>
      <w:r>
        <w:rPr>
          <w:rFonts w:hint="eastAsia" w:ascii="宋体" w:hAnsi="宋体" w:eastAsia="宋体" w:cs="宋体"/>
          <w:sz w:val="24"/>
          <w:szCs w:val="22"/>
        </w:rPr>
        <w:t xml:space="preserve">    姓名：    性别：</w:t>
      </w:r>
    </w:p>
    <w:p>
      <w:pPr>
        <w:spacing w:line="360" w:lineRule="auto"/>
        <w:ind w:firstLine="480" w:firstLineChars="200"/>
        <w:jc w:val="left"/>
        <w:rPr>
          <w:rFonts w:ascii="宋体" w:hAnsi="宋体" w:eastAsia="宋体" w:cs="宋体"/>
          <w:sz w:val="24"/>
          <w:szCs w:val="22"/>
        </w:rPr>
      </w:pPr>
      <w:r>
        <w:rPr>
          <w:rFonts w:hint="eastAsia" w:ascii="宋体" w:hAnsi="宋体" w:eastAsia="宋体" w:cs="宋体"/>
          <w:sz w:val="24"/>
          <w:szCs w:val="22"/>
        </w:rPr>
        <w:t xml:space="preserve">    年龄：    职务：</w:t>
      </w:r>
    </w:p>
    <w:p>
      <w:pPr>
        <w:spacing w:line="360" w:lineRule="auto"/>
        <w:ind w:firstLine="480" w:firstLineChars="200"/>
        <w:jc w:val="left"/>
        <w:rPr>
          <w:rFonts w:ascii="宋体" w:hAnsi="宋体" w:eastAsia="宋体" w:cs="宋体"/>
          <w:sz w:val="24"/>
          <w:szCs w:val="22"/>
        </w:rPr>
      </w:pPr>
      <w:r>
        <w:rPr>
          <w:rFonts w:hint="eastAsia" w:ascii="宋体" w:hAnsi="宋体" w:eastAsia="宋体" w:cs="宋体"/>
          <w:sz w:val="24"/>
          <w:szCs w:val="22"/>
        </w:rPr>
        <w:t xml:space="preserve">    联系电话：    手机：</w:t>
      </w:r>
    </w:p>
    <w:p>
      <w:pPr>
        <w:spacing w:line="360" w:lineRule="auto"/>
        <w:ind w:firstLine="480" w:firstLineChars="200"/>
        <w:jc w:val="left"/>
        <w:rPr>
          <w:rFonts w:ascii="宋体" w:hAnsi="宋体" w:eastAsia="宋体" w:cs="宋体"/>
          <w:sz w:val="24"/>
          <w:szCs w:val="22"/>
          <w:u w:val="single"/>
        </w:rPr>
      </w:pPr>
      <w:r>
        <w:rPr>
          <w:rFonts w:hint="eastAsia" w:ascii="宋体" w:hAnsi="宋体" w:eastAsia="宋体" w:cs="宋体"/>
          <w:sz w:val="24"/>
          <w:szCs w:val="22"/>
        </w:rPr>
        <w:t xml:space="preserve">    详细通信地址：</w:t>
      </w:r>
    </w:p>
    <w:p>
      <w:pPr>
        <w:spacing w:line="360" w:lineRule="auto"/>
        <w:ind w:firstLine="480" w:firstLineChars="200"/>
        <w:jc w:val="left"/>
        <w:rPr>
          <w:rFonts w:ascii="宋体" w:hAnsi="宋体" w:eastAsia="宋体" w:cs="宋体"/>
          <w:sz w:val="24"/>
          <w:szCs w:val="22"/>
        </w:rPr>
      </w:pPr>
    </w:p>
    <w:p>
      <w:pPr>
        <w:spacing w:line="360" w:lineRule="auto"/>
        <w:jc w:val="left"/>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r>
        <w:rPr>
          <w:rFonts w:hint="eastAsia" w:ascii="宋体" w:hAnsi="宋体" w:eastAsia="宋体" w:cs="宋体"/>
          <w:sz w:val="24"/>
          <w:szCs w:val="22"/>
        </w:rPr>
        <w:t>说明：</w:t>
      </w:r>
    </w:p>
    <w:p>
      <w:pPr>
        <w:spacing w:line="360" w:lineRule="auto"/>
        <w:rPr>
          <w:rFonts w:ascii="宋体" w:hAnsi="宋体" w:eastAsia="宋体" w:cs="宋体"/>
          <w:sz w:val="24"/>
          <w:szCs w:val="22"/>
        </w:rPr>
      </w:pPr>
      <w:r>
        <w:rPr>
          <w:rFonts w:hint="eastAsia" w:ascii="宋体" w:hAnsi="宋体" w:eastAsia="宋体" w:cs="宋体"/>
          <w:sz w:val="24"/>
          <w:szCs w:val="22"/>
        </w:rPr>
        <w:t>1、如法定代表人参加竞标的，竞标文件中不需提供法定代表人授权委托书，但必须提供法定代表人身份证复印件。</w:t>
      </w:r>
    </w:p>
    <w:p>
      <w:pPr>
        <w:spacing w:line="360" w:lineRule="auto"/>
        <w:rPr>
          <w:rFonts w:ascii="宋体" w:hAnsi="宋体" w:eastAsia="宋体" w:cs="宋体"/>
          <w:sz w:val="24"/>
          <w:szCs w:val="22"/>
        </w:rPr>
      </w:pPr>
      <w:r>
        <w:rPr>
          <w:rFonts w:hint="eastAsia" w:ascii="宋体" w:hAnsi="宋体" w:eastAsia="宋体" w:cs="宋体"/>
          <w:sz w:val="24"/>
          <w:szCs w:val="22"/>
        </w:rPr>
        <w:t>2、如委托代理人参加竞标的，竞标文件中必须提供法定代表人授权委托书和委托代理人的身份证复印件。</w:t>
      </w:r>
    </w:p>
    <w:p>
      <w:pPr>
        <w:rPr>
          <w:rFonts w:eastAsia="黑体"/>
          <w:b/>
          <w:sz w:val="28"/>
          <w:szCs w:val="22"/>
        </w:rPr>
      </w:pPr>
      <w:r>
        <w:rPr>
          <w:rFonts w:ascii="Calibri" w:hAnsi="Calibri" w:eastAsia="宋体" w:cs="Times New Roman"/>
          <w:szCs w:val="22"/>
        </w:rPr>
        <w:br w:type="page"/>
      </w:r>
      <w:bookmarkStart w:id="171" w:name="_Toc386297882"/>
      <w:r>
        <w:rPr>
          <w:rFonts w:hint="eastAsia" w:ascii="Calibri" w:hAnsi="Calibri" w:eastAsia="黑体" w:cs="黑体"/>
          <w:b/>
          <w:sz w:val="28"/>
          <w:szCs w:val="22"/>
        </w:rPr>
        <w:t>附件</w:t>
      </w:r>
      <w:r>
        <w:rPr>
          <w:rFonts w:ascii="Calibri" w:hAnsi="Calibri" w:eastAsia="黑体" w:cs="Times New Roman"/>
          <w:b/>
          <w:sz w:val="28"/>
          <w:szCs w:val="22"/>
        </w:rPr>
        <w:t>3</w:t>
      </w:r>
    </w:p>
    <w:p>
      <w:pPr>
        <w:jc w:val="center"/>
        <w:rPr>
          <w:sz w:val="32"/>
          <w:szCs w:val="22"/>
        </w:rPr>
      </w:pPr>
      <w:r>
        <w:rPr>
          <w:rFonts w:hint="eastAsia" w:ascii="Calibri" w:hAnsi="Calibri" w:eastAsia="黑体" w:cs="黑体"/>
          <w:b/>
          <w:sz w:val="28"/>
          <w:szCs w:val="22"/>
        </w:rPr>
        <w:t>竞标人资格证明文件</w:t>
      </w:r>
      <w:bookmarkEnd w:id="171"/>
    </w:p>
    <w:p>
      <w:pPr>
        <w:spacing w:line="360" w:lineRule="auto"/>
        <w:rPr>
          <w:rFonts w:ascii="宋体" w:hAnsi="宋体" w:eastAsia="宋体" w:cs="宋体"/>
          <w:sz w:val="24"/>
          <w:szCs w:val="22"/>
        </w:rPr>
      </w:pPr>
      <w:r>
        <w:rPr>
          <w:rFonts w:hint="eastAsia" w:ascii="宋体" w:hAnsi="宋体" w:eastAsia="宋体" w:cs="宋体"/>
          <w:sz w:val="24"/>
          <w:szCs w:val="22"/>
        </w:rPr>
        <w:t>重汽汽车金融有限公司：</w:t>
      </w:r>
    </w:p>
    <w:p>
      <w:pPr>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贵公司组织的</w:t>
      </w:r>
      <w:r>
        <w:rPr>
          <w:rFonts w:ascii="宋体" w:hAnsi="宋体" w:eastAsia="宋体" w:cs="宋体"/>
          <w:sz w:val="24"/>
          <w:szCs w:val="22"/>
          <w:u w:val="single"/>
        </w:rPr>
        <w:t xml:space="preserve">                </w:t>
      </w:r>
      <w:r>
        <w:rPr>
          <w:rFonts w:hint="eastAsia" w:ascii="宋体" w:hAnsi="宋体" w:eastAsia="宋体" w:cs="宋体"/>
          <w:sz w:val="24"/>
          <w:szCs w:val="22"/>
        </w:rPr>
        <w:t>项目谈判采购活动，我公司愿意参加，并证明提交的下列文件、证明和陈述均是准确的、真实的。若与真实情况不符，我公司愿意承担由此而产生的一切后果。</w:t>
      </w:r>
    </w:p>
    <w:p>
      <w:pPr>
        <w:numPr>
          <w:ilvl w:val="0"/>
          <w:numId w:val="19"/>
        </w:numPr>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工商营业执照副本复印件（加盖公章）。</w:t>
      </w:r>
    </w:p>
    <w:p>
      <w:pPr>
        <w:numPr>
          <w:ilvl w:val="0"/>
          <w:numId w:val="19"/>
        </w:numPr>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竞标人认为有必要提供的其他证明文件（加盖公章）。</w:t>
      </w:r>
    </w:p>
    <w:p>
      <w:pPr>
        <w:spacing w:line="360" w:lineRule="auto"/>
        <w:rPr>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rFonts w:ascii="宋体" w:hAnsi="宋体" w:eastAsia="宋体" w:cs="宋体"/>
          <w:sz w:val="24"/>
          <w:szCs w:val="22"/>
        </w:rPr>
      </w:pPr>
    </w:p>
    <w:p>
      <w:pPr>
        <w:spacing w:line="360" w:lineRule="auto"/>
        <w:rPr>
          <w:sz w:val="24"/>
          <w:szCs w:val="22"/>
        </w:rPr>
      </w:pPr>
    </w:p>
    <w:p>
      <w:pPr>
        <w:spacing w:line="360" w:lineRule="auto"/>
        <w:rPr>
          <w:sz w:val="24"/>
          <w:szCs w:val="22"/>
        </w:rPr>
      </w:pPr>
    </w:p>
    <w:p>
      <w:pPr>
        <w:spacing w:line="360" w:lineRule="auto"/>
        <w:rPr>
          <w:sz w:val="24"/>
        </w:rPr>
      </w:pPr>
      <w:r>
        <w:rPr>
          <w:rFonts w:ascii="Calibri" w:hAnsi="Calibri" w:eastAsia="宋体" w:cs="Times New Roman"/>
          <w:sz w:val="24"/>
          <w:szCs w:val="22"/>
        </w:rPr>
        <w:br w:type="textWrapping"/>
      </w:r>
      <w:r>
        <w:rPr>
          <w:rFonts w:hint="eastAsia" w:ascii="Calibri" w:hAnsi="Calibri" w:eastAsia="宋体" w:cs="宋体"/>
          <w:sz w:val="24"/>
        </w:rPr>
        <w:t>竞标人名称：（加盖公章）</w:t>
      </w:r>
    </w:p>
    <w:p>
      <w:pPr>
        <w:spacing w:line="360" w:lineRule="auto"/>
        <w:rPr>
          <w:sz w:val="24"/>
        </w:rPr>
      </w:pPr>
      <w:r>
        <w:rPr>
          <w:rFonts w:hint="eastAsia" w:ascii="Calibri" w:hAnsi="Calibri" w:eastAsia="宋体" w:cs="宋体"/>
          <w:sz w:val="24"/>
        </w:rPr>
        <w:t>法定代表人或其代理人：（签字）</w:t>
      </w:r>
    </w:p>
    <w:p>
      <w:pPr>
        <w:spacing w:line="360" w:lineRule="auto"/>
        <w:rPr>
          <w:rFonts w:ascii="黑体" w:hAnsi="Calibri" w:eastAsia="黑体" w:cs="黑体"/>
          <w:sz w:val="30"/>
          <w:szCs w:val="22"/>
        </w:rPr>
      </w:pPr>
    </w:p>
    <w:p>
      <w:pPr>
        <w:widowControl/>
        <w:jc w:val="left"/>
        <w:rPr>
          <w:rFonts w:eastAsia="黑体"/>
          <w:b/>
          <w:sz w:val="28"/>
          <w:szCs w:val="22"/>
        </w:rPr>
      </w:pPr>
      <w:r>
        <w:rPr>
          <w:rFonts w:hint="eastAsia" w:ascii="宋体" w:hAnsi="宋体" w:eastAsia="宋体" w:cs="Times New Roman"/>
          <w:sz w:val="24"/>
          <w:szCs w:val="22"/>
        </w:rPr>
        <w:br w:type="page"/>
      </w:r>
      <w:r>
        <w:rPr>
          <w:rFonts w:hint="eastAsia" w:ascii="Calibri" w:hAnsi="Calibri" w:eastAsia="黑体" w:cs="黑体"/>
          <w:b/>
          <w:sz w:val="28"/>
          <w:szCs w:val="22"/>
        </w:rPr>
        <w:t>附件</w:t>
      </w:r>
      <w:r>
        <w:rPr>
          <w:rFonts w:ascii="Calibri" w:hAnsi="Calibri" w:eastAsia="黑体" w:cs="Times New Roman"/>
          <w:b/>
          <w:sz w:val="28"/>
          <w:szCs w:val="22"/>
        </w:rPr>
        <w:t>4</w:t>
      </w:r>
    </w:p>
    <w:p>
      <w:pPr>
        <w:widowControl/>
        <w:jc w:val="center"/>
        <w:rPr>
          <w:rFonts w:eastAsia="黑体"/>
          <w:b/>
          <w:sz w:val="28"/>
          <w:szCs w:val="22"/>
        </w:rPr>
      </w:pPr>
      <w:r>
        <w:rPr>
          <w:rFonts w:hint="eastAsia" w:ascii="Calibri" w:hAnsi="Calibri" w:eastAsia="黑体" w:cs="黑体"/>
          <w:b/>
          <w:sz w:val="28"/>
          <w:szCs w:val="22"/>
        </w:rPr>
        <w:t>开标一览表</w:t>
      </w:r>
    </w:p>
    <w:p>
      <w:pPr>
        <w:spacing w:before="6"/>
        <w:ind w:right="88"/>
        <w:jc w:val="left"/>
        <w:rPr>
          <w:rFonts w:ascii="宋体" w:hAnsi="宋体" w:eastAsia="宋体" w:cs="宋体"/>
          <w:color w:val="000000"/>
          <w:sz w:val="24"/>
          <w:u w:val="single"/>
        </w:rPr>
      </w:pPr>
      <w:r>
        <w:rPr>
          <w:rFonts w:hint="eastAsia" w:ascii="宋体" w:hAnsi="宋体" w:eastAsia="宋体" w:cs="宋体"/>
          <w:color w:val="000000"/>
          <w:sz w:val="24"/>
        </w:rPr>
        <w:t>项目名称：</w:t>
      </w:r>
    </w:p>
    <w:p>
      <w:pPr>
        <w:spacing w:before="6"/>
        <w:ind w:right="88"/>
        <w:jc w:val="left"/>
        <w:rPr>
          <w:rFonts w:ascii="宋体" w:hAnsi="宋体" w:eastAsia="宋体" w:cs="宋体"/>
          <w:color w:val="000000"/>
          <w:sz w:val="24"/>
          <w:u w:val="single"/>
        </w:rPr>
      </w:pPr>
      <w:r>
        <w:rPr>
          <w:rFonts w:hint="eastAsia" w:ascii="宋体" w:hAnsi="宋体" w:eastAsia="宋体" w:cs="宋体"/>
          <w:color w:val="000000"/>
          <w:sz w:val="24"/>
        </w:rPr>
        <w:t>投标人名称（公章）：</w:t>
      </w:r>
    </w:p>
    <w:p>
      <w:pPr>
        <w:spacing w:before="6"/>
        <w:ind w:right="88"/>
        <w:jc w:val="left"/>
        <w:rPr>
          <w:rFonts w:ascii="宋体" w:hAnsi="宋体" w:eastAsia="宋体" w:cs="宋体"/>
          <w:color w:val="000000"/>
          <w:sz w:val="24"/>
          <w:u w:val="single"/>
        </w:rPr>
      </w:pPr>
      <w:r>
        <w:rPr>
          <w:rFonts w:hint="eastAsia" w:ascii="Calibri" w:hAnsi="Calibri" w:eastAsia="宋体" w:cs="宋体"/>
          <w:sz w:val="24"/>
        </w:rPr>
        <w:t>投标人代表签字：</w:t>
      </w:r>
    </w:p>
    <w:p>
      <w:pPr>
        <w:spacing w:before="62"/>
        <w:ind w:right="88"/>
        <w:jc w:val="right"/>
        <w:rPr>
          <w:rFonts w:ascii="宋体" w:hAnsi="宋体" w:eastAsia="宋体" w:cs="宋体"/>
          <w:color w:val="000000"/>
          <w:sz w:val="24"/>
        </w:rPr>
      </w:pPr>
      <w:r>
        <w:rPr>
          <w:rFonts w:hint="eastAsia" w:ascii="宋体" w:hAnsi="宋体" w:eastAsia="宋体" w:cs="宋体"/>
          <w:color w:val="000000"/>
          <w:sz w:val="24"/>
        </w:rPr>
        <w:t>价格单位：元</w:t>
      </w:r>
    </w:p>
    <w:tbl>
      <w:tblPr>
        <w:tblStyle w:val="24"/>
        <w:tblW w:w="7512" w:type="dxa"/>
        <w:jc w:val="center"/>
        <w:tblLayout w:type="fixed"/>
        <w:tblCellMar>
          <w:top w:w="0" w:type="dxa"/>
          <w:left w:w="108" w:type="dxa"/>
          <w:bottom w:w="0" w:type="dxa"/>
          <w:right w:w="108" w:type="dxa"/>
        </w:tblCellMar>
      </w:tblPr>
      <w:tblGrid>
        <w:gridCol w:w="2552"/>
        <w:gridCol w:w="4960"/>
      </w:tblGrid>
      <w:tr>
        <w:tblPrEx>
          <w:tblCellMar>
            <w:top w:w="0" w:type="dxa"/>
            <w:left w:w="108" w:type="dxa"/>
            <w:bottom w:w="0" w:type="dxa"/>
            <w:right w:w="108" w:type="dxa"/>
          </w:tblCellMar>
        </w:tblPrEx>
        <w:trPr>
          <w:trHeight w:val="748" w:hRule="atLeast"/>
          <w:jc w:val="center"/>
        </w:trPr>
        <w:tc>
          <w:tcPr>
            <w:tcW w:w="2552" w:type="dxa"/>
            <w:tcBorders>
              <w:top w:val="single" w:color="000000" w:sz="12" w:space="0"/>
              <w:left w:val="single" w:color="auto" w:sz="4"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项目名称</w:t>
            </w:r>
          </w:p>
        </w:tc>
        <w:tc>
          <w:tcPr>
            <w:tcW w:w="4960" w:type="dxa"/>
            <w:tcBorders>
              <w:top w:val="single" w:color="000000" w:sz="12" w:space="0"/>
              <w:left w:val="nil"/>
              <w:bottom w:val="single" w:color="000000" w:sz="8" w:space="0"/>
              <w:right w:val="single" w:color="000000" w:sz="12"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投标总价</w:t>
            </w:r>
          </w:p>
        </w:tc>
      </w:tr>
      <w:tr>
        <w:tblPrEx>
          <w:tblCellMar>
            <w:top w:w="0" w:type="dxa"/>
            <w:left w:w="108" w:type="dxa"/>
            <w:bottom w:w="0" w:type="dxa"/>
            <w:right w:w="108" w:type="dxa"/>
          </w:tblCellMar>
        </w:tblPrEx>
        <w:trPr>
          <w:trHeight w:val="748" w:hRule="atLeast"/>
          <w:jc w:val="center"/>
        </w:trPr>
        <w:tc>
          <w:tcPr>
            <w:tcW w:w="2552" w:type="dxa"/>
            <w:tcBorders>
              <w:top w:val="nil"/>
              <w:left w:val="single" w:color="auto" w:sz="4" w:space="0"/>
              <w:bottom w:val="single" w:color="000000" w:sz="8" w:space="0"/>
              <w:right w:val="single" w:color="000000" w:sz="8" w:space="0"/>
            </w:tcBorders>
            <w:shd w:val="clear" w:color="auto" w:fill="auto"/>
            <w:vAlign w:val="center"/>
          </w:tcPr>
          <w:p>
            <w:pPr>
              <w:jc w:val="center"/>
              <w:rPr>
                <w:rFonts w:hint="eastAsia" w:cs="宋体"/>
                <w:b/>
              </w:rPr>
            </w:pPr>
            <w:r>
              <w:rPr>
                <w:rFonts w:hint="eastAsia" w:cs="宋体"/>
                <w:b/>
              </w:rPr>
              <w:t>重汽汽车金融有限公司</w:t>
            </w:r>
          </w:p>
          <w:p>
            <w:pPr>
              <w:jc w:val="center"/>
              <w:rPr>
                <w:rFonts w:ascii="宋体" w:hAnsi="宋体" w:eastAsia="宋体" w:cs="宋体"/>
                <w:b/>
                <w:sz w:val="48"/>
                <w:szCs w:val="48"/>
                <w:lang w:bidi="ar"/>
              </w:rPr>
            </w:pPr>
            <w:r>
              <w:rPr>
                <w:rFonts w:hint="eastAsia" w:cs="宋体"/>
                <w:b/>
              </w:rPr>
              <w:t>档案管理项目</w:t>
            </w:r>
          </w:p>
        </w:tc>
        <w:tc>
          <w:tcPr>
            <w:tcW w:w="4960" w:type="dxa"/>
            <w:tcBorders>
              <w:top w:val="nil"/>
              <w:left w:val="nil"/>
              <w:bottom w:val="single" w:color="000000" w:sz="8" w:space="0"/>
              <w:right w:val="single" w:color="000000" w:sz="12" w:space="0"/>
            </w:tcBorders>
            <w:shd w:val="clear" w:color="auto" w:fill="auto"/>
            <w:vAlign w:val="center"/>
          </w:tcPr>
          <w:p>
            <w:pPr>
              <w:jc w:val="center"/>
              <w:rPr>
                <w:rFonts w:ascii="宋体" w:hAnsi="宋体" w:eastAsia="宋体" w:cs="宋体"/>
                <w:sz w:val="24"/>
              </w:rPr>
            </w:pPr>
          </w:p>
        </w:tc>
      </w:tr>
    </w:tbl>
    <w:p>
      <w:pPr>
        <w:pStyle w:val="12"/>
        <w:spacing w:before="48"/>
        <w:ind w:left="400" w:hanging="400"/>
        <w:rPr>
          <w:sz w:val="24"/>
          <w:szCs w:val="24"/>
        </w:rPr>
      </w:pPr>
    </w:p>
    <w:p>
      <w:pPr>
        <w:pStyle w:val="12"/>
        <w:spacing w:before="48"/>
        <w:ind w:left="400" w:hanging="400"/>
        <w:rPr>
          <w:rFonts w:ascii="宋体" w:hAnsi="宋体" w:cs="宋体"/>
          <w:spacing w:val="-1"/>
          <w:sz w:val="24"/>
          <w:szCs w:val="24"/>
        </w:rPr>
      </w:pPr>
      <w:r>
        <w:rPr>
          <w:rFonts w:hint="eastAsia" w:ascii="宋体" w:hAnsi="宋体" w:cs="宋体"/>
          <w:sz w:val="24"/>
          <w:szCs w:val="24"/>
        </w:rPr>
        <w:t>说明：</w:t>
      </w:r>
    </w:p>
    <w:p>
      <w:pPr>
        <w:pStyle w:val="12"/>
        <w:numPr>
          <w:ilvl w:val="0"/>
          <w:numId w:val="20"/>
        </w:numPr>
        <w:spacing w:before="48"/>
        <w:ind w:left="400" w:hanging="400"/>
        <w:rPr>
          <w:rFonts w:ascii="宋体" w:hAnsi="宋体" w:cs="宋体"/>
          <w:sz w:val="24"/>
          <w:szCs w:val="24"/>
        </w:rPr>
      </w:pPr>
      <w:r>
        <w:rPr>
          <w:rFonts w:hint="eastAsia" w:ascii="宋体" w:hAnsi="宋体" w:cs="宋体"/>
          <w:sz w:val="24"/>
          <w:szCs w:val="24"/>
        </w:rPr>
        <w:t>开标一览表中“投标总价”是指提供服务的全部费用的报价(含税)。</w:t>
      </w:r>
    </w:p>
    <w:p>
      <w:pPr>
        <w:pStyle w:val="12"/>
        <w:spacing w:before="48"/>
        <w:ind w:left="400" w:hanging="400"/>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、投标人严格按照规定的格式填写。</w:t>
      </w:r>
    </w:p>
    <w:p>
      <w:pPr>
        <w:rPr>
          <w:rFonts w:ascii="宋体" w:hAnsi="宋体" w:eastAsia="宋体" w:cs="宋体"/>
          <w:color w:val="000000"/>
          <w:sz w:val="24"/>
        </w:rPr>
      </w:pPr>
    </w:p>
    <w:p>
      <w:pPr>
        <w:spacing w:before="2"/>
        <w:rPr>
          <w:rFonts w:ascii="宋体" w:hAnsi="宋体" w:eastAsia="宋体" w:cs="宋体"/>
          <w:color w:val="000000"/>
        </w:rPr>
      </w:pPr>
    </w:p>
    <w:p>
      <w:pPr>
        <w:pStyle w:val="12"/>
        <w:spacing w:before="48"/>
        <w:ind w:left="400" w:hanging="400"/>
        <w:jc w:val="right"/>
        <w:rPr>
          <w:rFonts w:ascii="宋体" w:hAnsi="宋体" w:cs="宋体"/>
          <w:color w:val="000000"/>
          <w:sz w:val="24"/>
          <w:szCs w:val="24"/>
        </w:rPr>
      </w:pPr>
      <w:r>
        <w:rPr>
          <w:rFonts w:hint="eastAsia" w:ascii="宋体" w:hAnsi="宋体" w:cs="宋体"/>
          <w:color w:val="000000"/>
          <w:sz w:val="24"/>
          <w:szCs w:val="24"/>
        </w:rPr>
        <w:t>日期：  年 月  日</w:t>
      </w:r>
    </w:p>
    <w:p>
      <w:pPr>
        <w:rPr>
          <w:rFonts w:ascii="Calibri" w:hAnsi="Calibri" w:eastAsia="黑体" w:cs="黑体"/>
          <w:b/>
          <w:sz w:val="28"/>
          <w:szCs w:val="22"/>
        </w:rPr>
      </w:pPr>
    </w:p>
    <w:p>
      <w:pPr>
        <w:rPr>
          <w:rFonts w:ascii="Calibri" w:hAnsi="Calibri" w:eastAsia="黑体" w:cs="黑体"/>
          <w:b/>
          <w:sz w:val="28"/>
          <w:szCs w:val="22"/>
        </w:rPr>
      </w:pPr>
    </w:p>
    <w:p>
      <w:pPr>
        <w:rPr>
          <w:rFonts w:ascii="Calibri" w:hAnsi="Calibri" w:eastAsia="黑体" w:cs="黑体"/>
          <w:b/>
          <w:sz w:val="28"/>
          <w:szCs w:val="22"/>
        </w:rPr>
      </w:pPr>
    </w:p>
    <w:p>
      <w:pPr>
        <w:rPr>
          <w:rFonts w:ascii="Calibri" w:hAnsi="Calibri" w:eastAsia="黑体" w:cs="黑体"/>
          <w:b/>
          <w:sz w:val="28"/>
          <w:szCs w:val="22"/>
        </w:rPr>
      </w:pPr>
    </w:p>
    <w:p>
      <w:pPr>
        <w:rPr>
          <w:rFonts w:ascii="Calibri" w:hAnsi="Calibri" w:eastAsia="黑体" w:cs="黑体"/>
          <w:b/>
          <w:sz w:val="28"/>
          <w:szCs w:val="22"/>
        </w:rPr>
      </w:pPr>
    </w:p>
    <w:p>
      <w:pPr>
        <w:rPr>
          <w:rFonts w:ascii="Calibri" w:hAnsi="Calibri" w:eastAsia="黑体" w:cs="黑体"/>
          <w:b/>
          <w:sz w:val="28"/>
          <w:szCs w:val="22"/>
        </w:rPr>
      </w:pPr>
    </w:p>
    <w:p>
      <w:pPr>
        <w:rPr>
          <w:rFonts w:ascii="Calibri" w:hAnsi="Calibri" w:eastAsia="黑体" w:cs="黑体"/>
          <w:b/>
          <w:sz w:val="28"/>
          <w:szCs w:val="22"/>
        </w:rPr>
      </w:pPr>
    </w:p>
    <w:p>
      <w:pPr>
        <w:rPr>
          <w:rFonts w:ascii="Calibri" w:hAnsi="Calibri" w:eastAsia="黑体" w:cs="黑体"/>
          <w:b/>
          <w:sz w:val="28"/>
          <w:szCs w:val="22"/>
        </w:rPr>
      </w:pPr>
    </w:p>
    <w:p>
      <w:pPr>
        <w:rPr>
          <w:rFonts w:ascii="Calibri" w:hAnsi="Calibri" w:eastAsia="黑体" w:cs="黑体"/>
          <w:b/>
          <w:sz w:val="28"/>
          <w:szCs w:val="22"/>
        </w:rPr>
      </w:pPr>
    </w:p>
    <w:p>
      <w:pPr>
        <w:rPr>
          <w:rFonts w:ascii="Calibri" w:hAnsi="Calibri" w:eastAsia="黑体" w:cs="黑体"/>
          <w:b/>
          <w:sz w:val="28"/>
          <w:szCs w:val="22"/>
        </w:rPr>
      </w:pPr>
    </w:p>
    <w:p>
      <w:pPr>
        <w:rPr>
          <w:rFonts w:eastAsia="黑体"/>
          <w:b/>
          <w:sz w:val="28"/>
          <w:szCs w:val="22"/>
        </w:rPr>
      </w:pPr>
      <w:r>
        <w:rPr>
          <w:rFonts w:hint="eastAsia" w:ascii="Calibri" w:hAnsi="Calibri" w:eastAsia="黑体" w:cs="黑体"/>
          <w:b/>
          <w:sz w:val="28"/>
          <w:szCs w:val="22"/>
        </w:rPr>
        <w:t>附件</w:t>
      </w:r>
      <w:r>
        <w:rPr>
          <w:rFonts w:ascii="Calibri" w:hAnsi="Calibri" w:eastAsia="黑体" w:cs="Times New Roman"/>
          <w:b/>
          <w:sz w:val="28"/>
          <w:szCs w:val="22"/>
        </w:rPr>
        <w:t>5</w:t>
      </w:r>
    </w:p>
    <w:p>
      <w:pPr>
        <w:jc w:val="center"/>
        <w:rPr>
          <w:rFonts w:eastAsia="黑体"/>
          <w:b/>
          <w:sz w:val="28"/>
          <w:szCs w:val="22"/>
        </w:rPr>
      </w:pPr>
      <w:r>
        <w:rPr>
          <w:rFonts w:hint="eastAsia" w:ascii="Calibri" w:hAnsi="Calibri" w:eastAsia="黑体" w:cs="黑体"/>
          <w:b/>
          <w:sz w:val="28"/>
          <w:szCs w:val="22"/>
        </w:rPr>
        <w:t>商务条款偏离表</w:t>
      </w:r>
    </w:p>
    <w:p>
      <w:pPr>
        <w:rPr>
          <w:rFonts w:eastAsia="黑体"/>
          <w:b/>
          <w:sz w:val="22"/>
          <w:szCs w:val="22"/>
        </w:rPr>
      </w:pPr>
    </w:p>
    <w:tbl>
      <w:tblPr>
        <w:tblStyle w:val="2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9"/>
        <w:gridCol w:w="3060"/>
        <w:gridCol w:w="107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序号</w:t>
            </w:r>
          </w:p>
        </w:tc>
        <w:tc>
          <w:tcPr>
            <w:tcW w:w="4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招标文件条款</w:t>
            </w:r>
          </w:p>
        </w:tc>
        <w:tc>
          <w:tcPr>
            <w:tcW w:w="35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条款号</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条款内容</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条款号</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bl>
    <w:p>
      <w:pPr>
        <w:rPr>
          <w:rFonts w:ascii="宋体" w:hAnsi="宋体" w:eastAsia="宋体" w:cs="宋体"/>
          <w:sz w:val="24"/>
          <w:szCs w:val="22"/>
        </w:rPr>
      </w:pPr>
      <w:r>
        <w:rPr>
          <w:rFonts w:hint="eastAsia" w:ascii="宋体" w:hAnsi="宋体" w:eastAsia="宋体" w:cs="宋体"/>
          <w:sz w:val="24"/>
          <w:szCs w:val="22"/>
        </w:rPr>
        <w:t>投标人名称：                   投标人代表签字：            日期：</w:t>
      </w:r>
    </w:p>
    <w:p>
      <w:pPr>
        <w:rPr>
          <w:rFonts w:ascii="宋体" w:hAnsi="宋体" w:eastAsia="宋体" w:cs="宋体"/>
          <w:sz w:val="24"/>
          <w:szCs w:val="22"/>
        </w:rPr>
      </w:pPr>
      <w:r>
        <w:rPr>
          <w:rFonts w:hint="eastAsia" w:ascii="宋体" w:hAnsi="宋体" w:eastAsia="宋体" w:cs="宋体"/>
          <w:sz w:val="24"/>
          <w:szCs w:val="22"/>
        </w:rPr>
        <w:t>注：为避免歧义，无偏离也应要提报该表，并注明“无”字。如无该表则即使在其它部分已反映，将也被视为“无偏离”。</w:t>
      </w:r>
    </w:p>
    <w:p>
      <w:pPr>
        <w:rPr>
          <w:rFonts w:ascii="宋体" w:hAnsi="宋体" w:eastAsia="宋体" w:cs="宋体"/>
          <w:sz w:val="24"/>
          <w:szCs w:val="22"/>
        </w:rPr>
      </w:pPr>
    </w:p>
    <w:p>
      <w:pPr>
        <w:rPr>
          <w:rFonts w:ascii="Calibri" w:hAnsi="Calibri" w:eastAsia="黑体" w:cs="黑体"/>
          <w:b/>
          <w:sz w:val="28"/>
          <w:szCs w:val="22"/>
        </w:rPr>
      </w:pPr>
    </w:p>
    <w:p>
      <w:pPr>
        <w:rPr>
          <w:rFonts w:ascii="Calibri" w:hAnsi="Calibri" w:eastAsia="黑体" w:cs="黑体"/>
          <w:b/>
          <w:sz w:val="28"/>
          <w:szCs w:val="22"/>
        </w:rPr>
      </w:pPr>
    </w:p>
    <w:p>
      <w:pPr>
        <w:rPr>
          <w:rFonts w:eastAsia="黑体"/>
          <w:b/>
          <w:sz w:val="28"/>
          <w:szCs w:val="22"/>
        </w:rPr>
      </w:pPr>
      <w:r>
        <w:rPr>
          <w:rFonts w:hint="eastAsia" w:ascii="Calibri" w:hAnsi="Calibri" w:eastAsia="黑体" w:cs="黑体"/>
          <w:b/>
          <w:sz w:val="28"/>
          <w:szCs w:val="22"/>
        </w:rPr>
        <w:t>附件</w:t>
      </w:r>
      <w:r>
        <w:rPr>
          <w:rFonts w:hint="eastAsia" w:ascii="Calibri" w:hAnsi="Calibri" w:eastAsia="黑体" w:cs="Times New Roman"/>
          <w:b/>
          <w:sz w:val="28"/>
          <w:szCs w:val="22"/>
        </w:rPr>
        <w:t>6</w:t>
      </w:r>
    </w:p>
    <w:p>
      <w:pPr>
        <w:jc w:val="center"/>
        <w:rPr>
          <w:rFonts w:eastAsia="黑体"/>
          <w:b/>
          <w:sz w:val="28"/>
          <w:szCs w:val="22"/>
        </w:rPr>
      </w:pPr>
      <w:r>
        <w:rPr>
          <w:rFonts w:hint="eastAsia" w:ascii="Calibri" w:hAnsi="Calibri" w:eastAsia="黑体" w:cs="黑体"/>
          <w:b/>
          <w:sz w:val="28"/>
          <w:szCs w:val="22"/>
        </w:rPr>
        <w:t>技术规格、参数偏离表</w:t>
      </w:r>
    </w:p>
    <w:p>
      <w:pPr>
        <w:rPr>
          <w:rFonts w:ascii="宋体" w:hAnsi="宋体" w:eastAsia="宋体" w:cs="宋体"/>
          <w:sz w:val="24"/>
          <w:szCs w:val="22"/>
        </w:rPr>
      </w:pPr>
    </w:p>
    <w:tbl>
      <w:tblPr>
        <w:tblStyle w:val="2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2893"/>
        <w:gridCol w:w="1109"/>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序号</w:t>
            </w:r>
          </w:p>
        </w:tc>
        <w:tc>
          <w:tcPr>
            <w:tcW w:w="3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招标文件条款</w:t>
            </w:r>
          </w:p>
        </w:tc>
        <w:tc>
          <w:tcPr>
            <w:tcW w:w="3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条款号</w:t>
            </w: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条款内容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条款号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2"/>
              </w:rPr>
            </w:pPr>
            <w:r>
              <w:rPr>
                <w:rFonts w:hint="eastAsia" w:ascii="宋体" w:hAnsi="宋体" w:eastAsia="宋体" w:cs="宋体"/>
                <w:sz w:val="24"/>
                <w:szCs w:val="22"/>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2"/>
              </w:rPr>
            </w:pPr>
          </w:p>
        </w:tc>
      </w:tr>
    </w:tbl>
    <w:p>
      <w:pPr>
        <w:rPr>
          <w:sz w:val="24"/>
        </w:rPr>
      </w:pPr>
      <w:r>
        <w:rPr>
          <w:rFonts w:hint="eastAsia" w:ascii="Calibri" w:hAnsi="Calibri" w:eastAsia="宋体" w:cs="宋体"/>
          <w:sz w:val="24"/>
        </w:rPr>
        <w:t>投标人名称：投标人代表签字：日期：</w:t>
      </w:r>
    </w:p>
    <w:p>
      <w:pPr>
        <w:rPr>
          <w:sz w:val="24"/>
        </w:rPr>
      </w:pPr>
      <w:r>
        <w:rPr>
          <w:rFonts w:hint="eastAsia" w:ascii="Calibri" w:hAnsi="Calibri" w:eastAsia="宋体" w:cs="宋体"/>
          <w:sz w:val="24"/>
        </w:rPr>
        <w:t>注：为避免歧义，无偏离也应要提报该表，并注明“无”字。如无该表则即使在其它部分已反映，将也被视为“无偏离”。</w:t>
      </w:r>
    </w:p>
    <w:p>
      <w:pPr>
        <w:rPr>
          <w:rFonts w:ascii="宋体" w:hAnsi="宋体" w:eastAsia="宋体" w:cs="宋体"/>
          <w:sz w:val="24"/>
          <w:szCs w:val="22"/>
        </w:rPr>
      </w:pPr>
    </w:p>
    <w:p>
      <w:pPr>
        <w:pStyle w:val="14"/>
        <w:widowControl/>
        <w:spacing w:line="360" w:lineRule="auto"/>
        <w:ind w:left="820" w:hanging="400"/>
        <w:jc w:val="center"/>
        <w:rPr>
          <w:rFonts w:hint="default"/>
        </w:rPr>
      </w:pPr>
    </w:p>
    <w:p>
      <w:pPr>
        <w:rPr>
          <w:rFonts w:eastAsia="黑体"/>
          <w:b/>
          <w:sz w:val="28"/>
          <w:szCs w:val="22"/>
        </w:rPr>
      </w:pPr>
      <w:r>
        <w:rPr>
          <w:rFonts w:hint="eastAsia" w:ascii="Calibri" w:hAnsi="Calibri" w:eastAsia="黑体" w:cs="黑体"/>
          <w:b/>
          <w:sz w:val="28"/>
          <w:szCs w:val="22"/>
        </w:rPr>
        <w:t>附件</w:t>
      </w:r>
      <w:r>
        <w:rPr>
          <w:rFonts w:hint="eastAsia" w:ascii="Calibri" w:hAnsi="Calibri" w:eastAsia="黑体" w:cs="Times New Roman"/>
          <w:b/>
          <w:sz w:val="28"/>
          <w:szCs w:val="22"/>
        </w:rPr>
        <w:t>7</w:t>
      </w:r>
    </w:p>
    <w:p>
      <w:pPr>
        <w:jc w:val="center"/>
        <w:rPr>
          <w:rFonts w:eastAsia="黑体"/>
          <w:b/>
          <w:sz w:val="28"/>
          <w:szCs w:val="22"/>
        </w:rPr>
      </w:pPr>
      <w:r>
        <w:rPr>
          <w:rFonts w:hint="eastAsia" w:ascii="Calibri" w:hAnsi="Calibri" w:eastAsia="黑体" w:cs="黑体"/>
          <w:b/>
          <w:sz w:val="28"/>
          <w:szCs w:val="22"/>
        </w:rPr>
        <w:t>项目实施方案</w:t>
      </w:r>
    </w:p>
    <w:p>
      <w:pPr>
        <w:spacing w:line="360" w:lineRule="auto"/>
        <w:ind w:firstLine="480" w:firstLineChars="200"/>
        <w:rPr>
          <w:rFonts w:ascii="宋体" w:hAnsi="宋体" w:eastAsia="宋体" w:cs="宋体"/>
          <w:sz w:val="24"/>
          <w:szCs w:val="22"/>
        </w:rPr>
      </w:pPr>
    </w:p>
    <w:p>
      <w:pPr>
        <w:spacing w:line="360" w:lineRule="auto"/>
        <w:ind w:firstLine="480" w:firstLineChars="200"/>
        <w:rPr>
          <w:rFonts w:ascii="宋体" w:hAnsi="宋体" w:eastAsia="宋体" w:cs="宋体"/>
          <w:color w:val="000000"/>
          <w:kern w:val="0"/>
          <w:sz w:val="24"/>
          <w:szCs w:val="22"/>
          <w:lang w:val="zh-CN"/>
        </w:rPr>
      </w:pPr>
      <w:r>
        <w:rPr>
          <w:rFonts w:hint="eastAsia" w:ascii="宋体" w:hAnsi="宋体" w:eastAsia="宋体" w:cs="宋体"/>
          <w:color w:val="000000"/>
          <w:kern w:val="0"/>
          <w:sz w:val="24"/>
          <w:szCs w:val="22"/>
          <w:lang w:val="zh-CN"/>
        </w:rPr>
        <w:t>1.要求呈现完整实施方案，包括本项目的规划蓝图及本项目实施内容、实施计划、实施效果、项目实施保障、项目团队介绍等。</w:t>
      </w:r>
    </w:p>
    <w:p>
      <w:pPr>
        <w:spacing w:line="360" w:lineRule="auto"/>
        <w:ind w:firstLine="480" w:firstLineChars="200"/>
        <w:rPr>
          <w:rFonts w:ascii="宋体" w:hAnsi="宋体" w:eastAsia="宋体" w:cs="宋体"/>
          <w:sz w:val="24"/>
          <w:szCs w:val="22"/>
        </w:rPr>
      </w:pPr>
      <w:r>
        <w:rPr>
          <w:rFonts w:hint="eastAsia" w:ascii="宋体" w:hAnsi="宋体" w:eastAsia="宋体" w:cs="宋体"/>
          <w:color w:val="000000"/>
          <w:kern w:val="0"/>
          <w:sz w:val="24"/>
          <w:szCs w:val="22"/>
        </w:rPr>
        <w:t>2</w:t>
      </w:r>
      <w:r>
        <w:rPr>
          <w:rFonts w:hint="eastAsia" w:ascii="宋体" w:hAnsi="宋体" w:eastAsia="宋体" w:cs="宋体"/>
          <w:color w:val="000000"/>
          <w:kern w:val="0"/>
          <w:sz w:val="24"/>
          <w:szCs w:val="22"/>
          <w:lang w:eastAsia="zh-CN"/>
        </w:rPr>
        <w:t>.</w:t>
      </w:r>
      <w:r>
        <w:rPr>
          <w:rFonts w:hint="eastAsia" w:ascii="宋体" w:hAnsi="宋体" w:eastAsia="宋体" w:cs="宋体"/>
          <w:color w:val="000000"/>
          <w:kern w:val="0"/>
          <w:sz w:val="24"/>
          <w:szCs w:val="22"/>
          <w:lang w:val="zh-CN"/>
        </w:rPr>
        <w:t>实施方案不提供，按无效投标处理。</w:t>
      </w:r>
    </w:p>
    <w:p>
      <w:pPr>
        <w:ind w:left="570"/>
        <w:rPr>
          <w:rFonts w:ascii="宋体" w:hAnsi="宋体" w:eastAsia="宋体" w:cs="宋体"/>
          <w:sz w:val="24"/>
          <w:szCs w:val="22"/>
        </w:rPr>
      </w:pPr>
    </w:p>
    <w:p>
      <w:pPr>
        <w:ind w:left="570"/>
        <w:rPr>
          <w:rFonts w:ascii="宋体" w:hAnsi="宋体" w:eastAsia="宋体" w:cs="宋体"/>
          <w:sz w:val="24"/>
          <w:szCs w:val="22"/>
        </w:rPr>
      </w:pPr>
    </w:p>
    <w:p>
      <w:pPr>
        <w:ind w:left="570"/>
        <w:rPr>
          <w:rFonts w:ascii="宋体" w:hAnsi="宋体" w:eastAsia="宋体" w:cs="宋体"/>
          <w:sz w:val="24"/>
          <w:szCs w:val="22"/>
        </w:rPr>
      </w:pPr>
    </w:p>
    <w:p>
      <w:pPr>
        <w:ind w:left="570"/>
        <w:rPr>
          <w:rFonts w:ascii="宋体" w:hAnsi="宋体" w:eastAsia="宋体" w:cs="宋体"/>
          <w:sz w:val="24"/>
          <w:szCs w:val="22"/>
        </w:rPr>
      </w:pPr>
    </w:p>
    <w:p>
      <w:pPr>
        <w:ind w:left="570"/>
        <w:rPr>
          <w:rFonts w:ascii="宋体" w:hAnsi="宋体" w:eastAsia="宋体" w:cs="宋体"/>
          <w:sz w:val="24"/>
          <w:szCs w:val="22"/>
        </w:rPr>
      </w:pPr>
    </w:p>
    <w:p>
      <w:pPr>
        <w:ind w:left="570"/>
        <w:rPr>
          <w:rFonts w:ascii="宋体" w:hAnsi="宋体" w:eastAsia="宋体" w:cs="宋体"/>
          <w:b/>
          <w:bCs/>
          <w:sz w:val="24"/>
          <w:szCs w:val="22"/>
        </w:rPr>
      </w:pPr>
      <w:r>
        <w:rPr>
          <w:rFonts w:hint="eastAsia" w:ascii="宋体" w:hAnsi="宋体" w:eastAsia="宋体" w:cs="宋体"/>
          <w:b/>
          <w:bCs/>
          <w:sz w:val="24"/>
          <w:szCs w:val="22"/>
        </w:rPr>
        <w:t>重要说明：投标人应根据上述内容、要求自行编制。</w:t>
      </w:r>
    </w:p>
    <w:p>
      <w:pPr>
        <w:ind w:left="900"/>
        <w:rPr>
          <w:rFonts w:ascii="宋体" w:hAnsi="宋体"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spacing w:line="520" w:lineRule="exact"/>
        <w:ind w:right="2"/>
        <w:rPr>
          <w:rFonts w:ascii="宋体" w:hAnsi="Courier New" w:eastAsia="宋体" w:cs="宋体"/>
          <w:sz w:val="24"/>
          <w:szCs w:val="22"/>
        </w:rPr>
      </w:pPr>
    </w:p>
    <w:p>
      <w:pPr>
        <w:rPr>
          <w:rFonts w:ascii="宋体" w:hAnsi="Courier New" w:eastAsia="宋体" w:cs="宋体"/>
          <w:sz w:val="24"/>
          <w:szCs w:val="22"/>
        </w:rPr>
      </w:pPr>
    </w:p>
    <w:p>
      <w:pPr>
        <w:rPr>
          <w:rFonts w:eastAsia="黑体"/>
          <w:b/>
          <w:sz w:val="28"/>
          <w:szCs w:val="22"/>
        </w:rPr>
      </w:pPr>
      <w:r>
        <w:rPr>
          <w:rFonts w:hint="eastAsia" w:ascii="Calibri" w:hAnsi="Calibri" w:eastAsia="黑体" w:cs="黑体"/>
          <w:b/>
          <w:sz w:val="28"/>
          <w:szCs w:val="22"/>
        </w:rPr>
        <w:t>附件</w:t>
      </w:r>
      <w:r>
        <w:rPr>
          <w:rFonts w:hint="eastAsia" w:ascii="Calibri" w:hAnsi="Calibri" w:eastAsia="黑体" w:cs="Times New Roman"/>
          <w:b/>
          <w:sz w:val="28"/>
          <w:szCs w:val="22"/>
        </w:rPr>
        <w:t>8</w:t>
      </w:r>
    </w:p>
    <w:p>
      <w:pPr>
        <w:jc w:val="center"/>
        <w:rPr>
          <w:rFonts w:eastAsia="黑体"/>
          <w:b/>
          <w:sz w:val="28"/>
          <w:szCs w:val="22"/>
        </w:rPr>
      </w:pPr>
      <w:r>
        <w:rPr>
          <w:rFonts w:hint="eastAsia" w:ascii="Calibri" w:hAnsi="Calibri" w:eastAsia="黑体" w:cs="黑体"/>
          <w:b/>
          <w:sz w:val="28"/>
          <w:szCs w:val="22"/>
        </w:rPr>
        <w:t>投标报名表</w:t>
      </w:r>
    </w:p>
    <w:p>
      <w:pPr>
        <w:ind w:firstLine="120" w:firstLineChars="50"/>
        <w:rPr>
          <w:sz w:val="24"/>
          <w:szCs w:val="22"/>
        </w:rPr>
      </w:pPr>
      <w:r>
        <w:rPr>
          <w:rFonts w:hint="eastAsia" w:ascii="Calibri" w:hAnsi="Calibri" w:eastAsia="宋体" w:cs="宋体"/>
          <w:sz w:val="24"/>
          <w:szCs w:val="22"/>
        </w:rPr>
        <w:t>公章：</w:t>
      </w:r>
    </w:p>
    <w:tbl>
      <w:tblPr>
        <w:tblStyle w:val="2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344"/>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项目名称</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0" w:firstLineChars="200"/>
              <w:jc w:val="center"/>
              <w:rPr>
                <w:rFonts w:ascii="宋体" w:hAnsi="Courier New"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投标单位</w:t>
            </w:r>
          </w:p>
          <w:p>
            <w:pPr>
              <w:jc w:val="center"/>
              <w:rPr>
                <w:sz w:val="24"/>
                <w:szCs w:val="22"/>
              </w:rPr>
            </w:pPr>
            <w:r>
              <w:rPr>
                <w:rFonts w:hint="eastAsia" w:ascii="Calibri" w:hAnsi="Calibri" w:eastAsia="宋体" w:cs="宋体"/>
                <w:sz w:val="24"/>
                <w:szCs w:val="22"/>
              </w:rPr>
              <w:t>（全称）</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投标内容</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项目负责人</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联系电话</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公司电话</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p>
            <w:pPr>
              <w:jc w:val="center"/>
              <w:rPr>
                <w:sz w:val="24"/>
                <w:szCs w:val="22"/>
              </w:rPr>
            </w:pP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传真</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ascii="Calibri" w:hAnsi="Calibri" w:eastAsia="宋体" w:cs="Times New Roman"/>
                <w:sz w:val="24"/>
                <w:szCs w:val="22"/>
              </w:rPr>
              <w:t>E-mail</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报名时间</w:t>
            </w:r>
          </w:p>
        </w:tc>
        <w:tc>
          <w:tcPr>
            <w:tcW w:w="69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2"/>
              </w:rPr>
            </w:pPr>
            <w:r>
              <w:rPr>
                <w:rFonts w:hint="eastAsia" w:ascii="Calibri" w:hAnsi="Calibri" w:eastAsia="宋体" w:cs="宋体"/>
                <w:sz w:val="24"/>
                <w:szCs w:val="22"/>
              </w:rPr>
              <w:t>年月日</w:t>
            </w:r>
          </w:p>
        </w:tc>
      </w:tr>
    </w:tbl>
    <w:p>
      <w:pPr>
        <w:ind w:left="470" w:right="69" w:rightChars="33" w:hanging="470" w:hangingChars="196"/>
        <w:rPr>
          <w:rFonts w:ascii="宋体" w:hAnsi="宋体" w:eastAsia="宋体" w:cs="宋体"/>
          <w:sz w:val="24"/>
          <w:szCs w:val="22"/>
        </w:rPr>
      </w:pPr>
      <w:r>
        <w:rPr>
          <w:rFonts w:hint="eastAsia" w:ascii="宋体" w:hAnsi="宋体" w:eastAsia="宋体" w:cs="宋体"/>
          <w:sz w:val="24"/>
          <w:szCs w:val="22"/>
        </w:rPr>
        <w:t>注：请投标单位认真填写并加盖公章，并于规定时间前回传邮箱并打电话确认</w:t>
      </w:r>
    </w:p>
    <w:p>
      <w:pPr>
        <w:ind w:left="470" w:right="69" w:rightChars="33" w:hanging="470" w:hangingChars="196"/>
        <w:rPr>
          <w:rFonts w:ascii="宋体" w:hAnsi="宋体" w:eastAsia="宋体" w:cs="宋体"/>
          <w:sz w:val="24"/>
          <w:szCs w:val="22"/>
        </w:rPr>
      </w:pPr>
      <w:r>
        <w:rPr>
          <w:rFonts w:hint="eastAsia" w:ascii="宋体" w:hAnsi="宋体" w:eastAsia="宋体" w:cs="宋体"/>
          <w:sz w:val="24"/>
          <w:szCs w:val="22"/>
        </w:rPr>
        <w:t>0531-5806</w:t>
      </w:r>
      <w:r>
        <w:rPr>
          <w:rFonts w:ascii="宋体" w:hAnsi="宋体" w:eastAsia="宋体" w:cs="宋体"/>
          <w:sz w:val="24"/>
          <w:szCs w:val="22"/>
        </w:rPr>
        <w:t>2538</w:t>
      </w:r>
      <w:r>
        <w:rPr>
          <w:rFonts w:hint="eastAsia" w:ascii="宋体" w:hAnsi="宋体" w:eastAsia="宋体" w:cs="宋体"/>
          <w:sz w:val="24"/>
          <w:szCs w:val="22"/>
        </w:rPr>
        <w:t xml:space="preserve"> 李菁。</w:t>
      </w:r>
    </w:p>
    <w:p>
      <w:pPr>
        <w:pStyle w:val="34"/>
        <w:widowControl/>
        <w:ind w:firstLine="0" w:firstLineChars="0"/>
      </w:pPr>
    </w:p>
    <w:p/>
    <w:sectPr>
      <w:pgSz w:w="12242" w:h="15842"/>
      <w:pgMar w:top="1418" w:right="1752" w:bottom="1135" w:left="1418" w:header="737" w:footer="431" w:gutter="357"/>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23888"/>
    </w:sdtPr>
    <w:sdtContent>
      <w:sdt>
        <w:sdtPr>
          <w:id w:val="-861204125"/>
        </w:sdtPr>
        <w:sdtContent>
          <w:p>
            <w:pPr>
              <w:pStyle w:val="16"/>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31</w:t>
            </w:r>
            <w:r>
              <w:rPr>
                <w:b/>
                <w:bCs/>
                <w:sz w:val="24"/>
              </w:rPr>
              <w:fldChar w:fldCharType="end"/>
            </w:r>
          </w:p>
        </w:sdtContent>
      </w:sdt>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49A9E"/>
    <w:multiLevelType w:val="multilevel"/>
    <w:tmpl w:val="8AC49A9E"/>
    <w:lvl w:ilvl="0" w:tentative="0">
      <w:start w:val="1"/>
      <w:numFmt w:val="decimal"/>
      <w:pStyle w:val="33"/>
      <w:isLgl/>
      <w:suff w:val="space"/>
      <w:lvlText w:val="%1"/>
      <w:lvlJc w:val="left"/>
      <w:pPr>
        <w:ind w:left="2127" w:firstLine="0"/>
      </w:pPr>
      <w:rPr>
        <w:rFonts w:hint="eastAsia"/>
      </w:rPr>
    </w:lvl>
    <w:lvl w:ilvl="1" w:tentative="0">
      <w:start w:val="1"/>
      <w:numFmt w:val="decimal"/>
      <w:pStyle w:val="63"/>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图%1"/>
      <w:lvlJc w:val="center"/>
      <w:pPr>
        <w:ind w:left="0" w:firstLine="0"/>
      </w:pPr>
      <w:rPr>
        <w:rFonts w:hint="eastAsia"/>
      </w:rPr>
    </w:lvl>
    <w:lvl w:ilvl="8" w:tentative="0">
      <w:start w:val="1"/>
      <w:numFmt w:val="decimal"/>
      <w:isLgl/>
      <w:suff w:val="space"/>
      <w:lvlText w:val="%9表%1"/>
      <w:lvlJc w:val="center"/>
      <w:pPr>
        <w:ind w:left="0" w:firstLine="0"/>
      </w:pPr>
      <w:rPr>
        <w:rFonts w:hint="eastAsia"/>
      </w:rPr>
    </w:lvl>
  </w:abstractNum>
  <w:abstractNum w:abstractNumId="1">
    <w:nsid w:val="94608D78"/>
    <w:multiLevelType w:val="singleLevel"/>
    <w:tmpl w:val="94608D78"/>
    <w:lvl w:ilvl="0" w:tentative="0">
      <w:start w:val="1"/>
      <w:numFmt w:val="decimal"/>
      <w:suff w:val="nothing"/>
      <w:lvlText w:val="%1、"/>
      <w:lvlJc w:val="left"/>
    </w:lvl>
  </w:abstractNum>
  <w:abstractNum w:abstractNumId="2">
    <w:nsid w:val="9E0A6A31"/>
    <w:multiLevelType w:val="multilevel"/>
    <w:tmpl w:val="9E0A6A31"/>
    <w:lvl w:ilvl="0" w:tentative="0">
      <w:start w:val="1"/>
      <w:numFmt w:val="decimal"/>
      <w:pStyle w:val="35"/>
      <w:lvlText w:val="%1）"/>
      <w:lvlJc w:val="left"/>
      <w:pPr>
        <w:ind w:left="840" w:hanging="420"/>
      </w:pPr>
      <w:rPr>
        <w:rFonts w:hint="eastAsia" w:ascii="Times New Roman" w:hAnsi="Times New Roman" w:eastAsia="宋体" w:cs="Times New Roman"/>
        <w:b/>
      </w:rPr>
    </w:lvl>
    <w:lvl w:ilvl="1" w:tentative="0">
      <w:start w:val="1"/>
      <w:numFmt w:val="decimal"/>
      <w:lvlText w:val="%2)"/>
      <w:lvlJc w:val="left"/>
      <w:pPr>
        <w:tabs>
          <w:tab w:val="left" w:pos="1113"/>
        </w:tabs>
        <w:ind w:left="1113" w:hanging="420"/>
      </w:p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3">
    <w:nsid w:val="A494FB61"/>
    <w:multiLevelType w:val="multilevel"/>
    <w:tmpl w:val="A494FB61"/>
    <w:lvl w:ilvl="0" w:tentative="0">
      <w:start w:val="1"/>
      <w:numFmt w:val="decimal"/>
      <w:isLgl/>
      <w:suff w:val="space"/>
      <w:lvlText w:val="%1"/>
      <w:lvlJc w:val="left"/>
      <w:pPr>
        <w:ind w:left="0" w:firstLine="0"/>
      </w:pPr>
    </w:lvl>
    <w:lvl w:ilvl="1" w:tentative="0">
      <w:start w:val="1"/>
      <w:numFmt w:val="decimal"/>
      <w:isLgl/>
      <w:suff w:val="space"/>
      <w:lvlText w:val="%1.%2"/>
      <w:lvlJc w:val="left"/>
      <w:pPr>
        <w:ind w:left="0" w:firstLine="0"/>
        <w:textAlignment w:val="baseline"/>
      </w:pPr>
      <w:rPr>
        <w:rFonts w:ascii="Times New Roman" w:hAnsi="Times New Roman" w:cs="Times New Roman"/>
        <w:b w:val="0"/>
        <w:bCs w:val="0"/>
        <w:iCs w:val="0"/>
        <w:caps w:val="0"/>
        <w:strike w:val="0"/>
        <w:dstrike w:val="0"/>
        <w:vanish w:val="0"/>
        <w:spacing w:val="0"/>
        <w:position w:val="0"/>
        <w:u w:val="none"/>
      </w:rPr>
    </w:lvl>
    <w:lvl w:ilvl="2" w:tentative="0">
      <w:start w:val="1"/>
      <w:numFmt w:val="decimal"/>
      <w:isLgl/>
      <w:suff w:val="space"/>
      <w:lvlText w:val="%1.%2.%3"/>
      <w:lvlJc w:val="left"/>
      <w:pPr>
        <w:ind w:left="0" w:firstLine="0"/>
      </w:pPr>
    </w:lvl>
    <w:lvl w:ilvl="3" w:tentative="0">
      <w:start w:val="1"/>
      <w:numFmt w:val="decimal"/>
      <w:pStyle w:val="65"/>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4">
    <w:nsid w:val="B69BB3B5"/>
    <w:multiLevelType w:val="multilevel"/>
    <w:tmpl w:val="B69BB3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F173A9D4"/>
    <w:multiLevelType w:val="multilevel"/>
    <w:tmpl w:val="F173A9D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8"/>
    <w:multiLevelType w:val="multilevel"/>
    <w:tmpl w:val="00000008"/>
    <w:lvl w:ilvl="0" w:tentative="0">
      <w:start w:val="1"/>
      <w:numFmt w:val="decimal"/>
      <w:pStyle w:val="69"/>
      <w:lvlText w:val="%1)"/>
      <w:lvlJc w:val="left"/>
      <w:pPr>
        <w:ind w:left="846" w:hanging="420"/>
      </w:pPr>
    </w:lvl>
    <w:lvl w:ilvl="1" w:tentative="0">
      <w:start w:val="1"/>
      <w:numFmt w:val="decimal"/>
      <w:lvlText w:val="%2)"/>
      <w:lvlJc w:val="left"/>
      <w:pPr>
        <w:tabs>
          <w:tab w:val="left" w:pos="1113"/>
        </w:tabs>
        <w:ind w:left="1113" w:hanging="420"/>
      </w:pPr>
      <w:rPr>
        <w:rFonts w:hint="eastAsia"/>
      </w:r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7">
    <w:nsid w:val="03557F80"/>
    <w:multiLevelType w:val="multilevel"/>
    <w:tmpl w:val="03557F80"/>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16E34142"/>
    <w:multiLevelType w:val="multilevel"/>
    <w:tmpl w:val="16E3414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3876ECF"/>
    <w:multiLevelType w:val="multilevel"/>
    <w:tmpl w:val="23876ECF"/>
    <w:lvl w:ilvl="0" w:tentative="0">
      <w:start w:val="1"/>
      <w:numFmt w:val="decimal"/>
      <w:lvlText w:val="（%1）"/>
      <w:lvlJc w:val="left"/>
      <w:pPr>
        <w:tabs>
          <w:tab w:val="left" w:pos="692"/>
        </w:tabs>
        <w:ind w:left="692" w:hanging="720"/>
      </w:p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10">
    <w:nsid w:val="453715CD"/>
    <w:multiLevelType w:val="multilevel"/>
    <w:tmpl w:val="453715CD"/>
    <w:lvl w:ilvl="0" w:tentative="0">
      <w:start w:val="1"/>
      <w:numFmt w:val="decimal"/>
      <w:lvlText w:val="%1）"/>
      <w:lvlJc w:val="left"/>
      <w:pPr>
        <w:ind w:left="420" w:hanging="420"/>
      </w:pPr>
      <w:rPr>
        <w:rFonts w:hint="eastAsia" w:ascii="Times New Roman" w:hAnsi="Times New Roman" w:eastAsia="宋体" w:cs="Times New Roman"/>
        <w:b w:val="0"/>
        <w:bCs/>
      </w:rPr>
    </w:lvl>
    <w:lvl w:ilvl="1" w:tentative="0">
      <w:start w:val="1"/>
      <w:numFmt w:val="decimal"/>
      <w:lvlText w:val="%2)"/>
      <w:lvlJc w:val="left"/>
      <w:pPr>
        <w:tabs>
          <w:tab w:val="left" w:pos="693"/>
        </w:tabs>
        <w:ind w:left="693" w:hanging="420"/>
      </w:pPr>
    </w:lvl>
    <w:lvl w:ilvl="2" w:tentative="0">
      <w:start w:val="1"/>
      <w:numFmt w:val="lowerRoman"/>
      <w:lvlText w:val="%3."/>
      <w:lvlJc w:val="right"/>
      <w:pPr>
        <w:ind w:left="1113" w:hanging="420"/>
      </w:pPr>
    </w:lvl>
    <w:lvl w:ilvl="3" w:tentative="0">
      <w:start w:val="1"/>
      <w:numFmt w:val="decimal"/>
      <w:lvlText w:val="%4."/>
      <w:lvlJc w:val="left"/>
      <w:pPr>
        <w:ind w:left="1533" w:hanging="420"/>
      </w:pPr>
    </w:lvl>
    <w:lvl w:ilvl="4" w:tentative="0">
      <w:start w:val="1"/>
      <w:numFmt w:val="lowerLetter"/>
      <w:lvlText w:val="%5)"/>
      <w:lvlJc w:val="left"/>
      <w:pPr>
        <w:ind w:left="1953" w:hanging="420"/>
      </w:pPr>
    </w:lvl>
    <w:lvl w:ilvl="5" w:tentative="0">
      <w:start w:val="1"/>
      <w:numFmt w:val="lowerRoman"/>
      <w:lvlText w:val="%6."/>
      <w:lvlJc w:val="right"/>
      <w:pPr>
        <w:ind w:left="2373" w:hanging="420"/>
      </w:pPr>
    </w:lvl>
    <w:lvl w:ilvl="6" w:tentative="0">
      <w:start w:val="1"/>
      <w:numFmt w:val="decimal"/>
      <w:lvlText w:val="%7."/>
      <w:lvlJc w:val="left"/>
      <w:pPr>
        <w:ind w:left="2793" w:hanging="420"/>
      </w:pPr>
    </w:lvl>
    <w:lvl w:ilvl="7" w:tentative="0">
      <w:start w:val="1"/>
      <w:numFmt w:val="lowerLetter"/>
      <w:lvlText w:val="%8)"/>
      <w:lvlJc w:val="left"/>
      <w:pPr>
        <w:ind w:left="3213" w:hanging="420"/>
      </w:pPr>
    </w:lvl>
    <w:lvl w:ilvl="8" w:tentative="0">
      <w:start w:val="1"/>
      <w:numFmt w:val="lowerRoman"/>
      <w:lvlText w:val="%9."/>
      <w:lvlJc w:val="right"/>
      <w:pPr>
        <w:ind w:left="3633" w:hanging="420"/>
      </w:pPr>
    </w:lvl>
  </w:abstractNum>
  <w:abstractNum w:abstractNumId="11">
    <w:nsid w:val="4BC92AD0"/>
    <w:multiLevelType w:val="multilevel"/>
    <w:tmpl w:val="4BC92AD0"/>
    <w:lvl w:ilvl="0" w:tentative="0">
      <w:start w:val="1"/>
      <w:numFmt w:val="decimal"/>
      <w:lvlText w:val="%1)"/>
      <w:lvlJc w:val="left"/>
      <w:pPr>
        <w:tabs>
          <w:tab w:val="left" w:pos="87"/>
        </w:tabs>
        <w:ind w:left="357" w:firstLine="0"/>
      </w:pPr>
    </w:lvl>
    <w:lvl w:ilvl="1" w:tentative="0">
      <w:start w:val="1"/>
      <w:numFmt w:val="lowerLetter"/>
      <w:lvlText w:val="%2)"/>
      <w:lvlJc w:val="left"/>
      <w:pPr>
        <w:tabs>
          <w:tab w:val="left" w:pos="0"/>
        </w:tabs>
        <w:ind w:left="630" w:hanging="420"/>
      </w:pPr>
    </w:lvl>
    <w:lvl w:ilvl="2" w:tentative="0">
      <w:start w:val="1"/>
      <w:numFmt w:val="lowerRoman"/>
      <w:lvlText w:val="%3."/>
      <w:lvlJc w:val="right"/>
      <w:pPr>
        <w:tabs>
          <w:tab w:val="left" w:pos="0"/>
        </w:tabs>
        <w:ind w:left="1050" w:hanging="420"/>
      </w:pPr>
    </w:lvl>
    <w:lvl w:ilvl="3" w:tentative="0">
      <w:start w:val="1"/>
      <w:numFmt w:val="decimal"/>
      <w:lvlText w:val="%4."/>
      <w:lvlJc w:val="left"/>
      <w:pPr>
        <w:tabs>
          <w:tab w:val="left" w:pos="0"/>
        </w:tabs>
        <w:ind w:left="1470" w:hanging="420"/>
      </w:pPr>
    </w:lvl>
    <w:lvl w:ilvl="4" w:tentative="0">
      <w:start w:val="1"/>
      <w:numFmt w:val="lowerLetter"/>
      <w:lvlText w:val="%5)"/>
      <w:lvlJc w:val="left"/>
      <w:pPr>
        <w:tabs>
          <w:tab w:val="left" w:pos="0"/>
        </w:tabs>
        <w:ind w:left="1890" w:hanging="420"/>
      </w:pPr>
    </w:lvl>
    <w:lvl w:ilvl="5" w:tentative="0">
      <w:start w:val="1"/>
      <w:numFmt w:val="lowerRoman"/>
      <w:lvlText w:val="%6."/>
      <w:lvlJc w:val="right"/>
      <w:pPr>
        <w:tabs>
          <w:tab w:val="left" w:pos="0"/>
        </w:tabs>
        <w:ind w:left="2310" w:hanging="420"/>
      </w:pPr>
    </w:lvl>
    <w:lvl w:ilvl="6" w:tentative="0">
      <w:start w:val="1"/>
      <w:numFmt w:val="decimal"/>
      <w:lvlText w:val="%7."/>
      <w:lvlJc w:val="left"/>
      <w:pPr>
        <w:tabs>
          <w:tab w:val="left" w:pos="0"/>
        </w:tabs>
        <w:ind w:left="2730" w:hanging="420"/>
      </w:pPr>
    </w:lvl>
    <w:lvl w:ilvl="7" w:tentative="0">
      <w:start w:val="1"/>
      <w:numFmt w:val="lowerLetter"/>
      <w:lvlText w:val="%8)"/>
      <w:lvlJc w:val="left"/>
      <w:pPr>
        <w:tabs>
          <w:tab w:val="left" w:pos="0"/>
        </w:tabs>
        <w:ind w:left="3150" w:hanging="420"/>
      </w:pPr>
    </w:lvl>
    <w:lvl w:ilvl="8" w:tentative="0">
      <w:start w:val="1"/>
      <w:numFmt w:val="lowerRoman"/>
      <w:lvlText w:val="%9."/>
      <w:lvlJc w:val="right"/>
      <w:pPr>
        <w:tabs>
          <w:tab w:val="left" w:pos="0"/>
        </w:tabs>
        <w:ind w:left="3570" w:hanging="420"/>
      </w:pPr>
    </w:lvl>
  </w:abstractNum>
  <w:abstractNum w:abstractNumId="12">
    <w:nsid w:val="5A29D1C2"/>
    <w:multiLevelType w:val="multilevel"/>
    <w:tmpl w:val="5A29D1C2"/>
    <w:lvl w:ilvl="0" w:tentative="0">
      <w:start w:val="1"/>
      <w:numFmt w:val="decimal"/>
      <w:isLgl/>
      <w:suff w:val="space"/>
      <w:lvlText w:val="%1"/>
      <w:lvlJc w:val="left"/>
      <w:pPr>
        <w:ind w:left="0" w:firstLine="0"/>
      </w:pPr>
    </w:lvl>
    <w:lvl w:ilvl="1" w:tentative="0">
      <w:start w:val="1"/>
      <w:numFmt w:val="decimal"/>
      <w:isLgl/>
      <w:suff w:val="space"/>
      <w:lvlText w:val="%1.%2"/>
      <w:lvlJc w:val="left"/>
      <w:pPr>
        <w:ind w:left="1134" w:firstLine="0"/>
      </w:pPr>
    </w:lvl>
    <w:lvl w:ilvl="2" w:tentative="0">
      <w:start w:val="1"/>
      <w:numFmt w:val="decimal"/>
      <w:isLgl/>
      <w:suff w:val="space"/>
      <w:lvlText w:val="%1.%2.%3"/>
      <w:lvlJc w:val="left"/>
      <w:pPr>
        <w:ind w:left="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isLgl/>
      <w:suff w:val="space"/>
      <w:lvlText w:val="%1.%2.%3.%4.%5.%6.%7"/>
      <w:lvlJc w:val="left"/>
      <w:pPr>
        <w:ind w:left="0" w:firstLine="0"/>
      </w:pPr>
    </w:lvl>
    <w:lvl w:ilvl="7" w:tentative="0">
      <w:start w:val="1"/>
      <w:numFmt w:val="decimal"/>
      <w:isLgl/>
      <w:suff w:val="space"/>
      <w:lvlText w:val="图%1"/>
      <w:lvlJc w:val="center"/>
      <w:pPr>
        <w:ind w:left="0" w:firstLine="0"/>
      </w:pPr>
    </w:lvl>
    <w:lvl w:ilvl="8" w:tentative="0">
      <w:start w:val="1"/>
      <w:numFmt w:val="decimal"/>
      <w:isLgl/>
      <w:suff w:val="space"/>
      <w:lvlText w:val="表%1"/>
      <w:lvlJc w:val="center"/>
      <w:pPr>
        <w:ind w:left="0" w:firstLine="0"/>
      </w:pPr>
    </w:lvl>
  </w:abstractNum>
  <w:abstractNum w:abstractNumId="13">
    <w:nsid w:val="62354D31"/>
    <w:multiLevelType w:val="multilevel"/>
    <w:tmpl w:val="62354D31"/>
    <w:lvl w:ilvl="0" w:tentative="0">
      <w:start w:val="1"/>
      <w:numFmt w:val="decimal"/>
      <w:lvlText w:val="%1)"/>
      <w:lvlJc w:val="left"/>
      <w:pPr>
        <w:tabs>
          <w:tab w:val="left" w:pos="0"/>
        </w:tabs>
        <w:ind w:left="480" w:firstLine="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74132208"/>
    <w:multiLevelType w:val="singleLevel"/>
    <w:tmpl w:val="74132208"/>
    <w:lvl w:ilvl="0" w:tentative="0">
      <w:start w:val="1"/>
      <w:numFmt w:val="decimal"/>
      <w:suff w:val="nothing"/>
      <w:lvlText w:val="%1）"/>
      <w:lvlJc w:val="left"/>
    </w:lvl>
  </w:abstractNum>
  <w:abstractNum w:abstractNumId="15">
    <w:nsid w:val="7830C845"/>
    <w:multiLevelType w:val="multilevel"/>
    <w:tmpl w:val="7830C845"/>
    <w:lvl w:ilvl="0" w:tentative="0">
      <w:start w:val="1"/>
      <w:numFmt w:val="decimal"/>
      <w:lvlText w:val="%1）"/>
      <w:lvlJc w:val="left"/>
      <w:pPr>
        <w:ind w:left="420" w:hanging="420"/>
      </w:pPr>
      <w:rPr>
        <w:rFonts w:hint="eastAsia" w:ascii="Times New Roman" w:hAnsi="Times New Roman" w:eastAsia="宋体" w:cs="Times New Roman"/>
        <w:b w:val="0"/>
        <w:bCs/>
      </w:rPr>
    </w:lvl>
    <w:lvl w:ilvl="1" w:tentative="0">
      <w:start w:val="1"/>
      <w:numFmt w:val="decimal"/>
      <w:lvlText w:val="%2)"/>
      <w:lvlJc w:val="left"/>
      <w:pPr>
        <w:tabs>
          <w:tab w:val="left" w:pos="693"/>
        </w:tabs>
        <w:ind w:left="693" w:hanging="420"/>
      </w:pPr>
    </w:lvl>
    <w:lvl w:ilvl="2" w:tentative="0">
      <w:start w:val="1"/>
      <w:numFmt w:val="lowerRoman"/>
      <w:lvlText w:val="%3."/>
      <w:lvlJc w:val="right"/>
      <w:pPr>
        <w:ind w:left="1113" w:hanging="420"/>
      </w:pPr>
    </w:lvl>
    <w:lvl w:ilvl="3" w:tentative="0">
      <w:start w:val="1"/>
      <w:numFmt w:val="decimal"/>
      <w:lvlText w:val="%4."/>
      <w:lvlJc w:val="left"/>
      <w:pPr>
        <w:ind w:left="1533" w:hanging="420"/>
      </w:pPr>
    </w:lvl>
    <w:lvl w:ilvl="4" w:tentative="0">
      <w:start w:val="1"/>
      <w:numFmt w:val="lowerLetter"/>
      <w:lvlText w:val="%5)"/>
      <w:lvlJc w:val="left"/>
      <w:pPr>
        <w:ind w:left="1953" w:hanging="420"/>
      </w:pPr>
    </w:lvl>
    <w:lvl w:ilvl="5" w:tentative="0">
      <w:start w:val="1"/>
      <w:numFmt w:val="lowerRoman"/>
      <w:lvlText w:val="%6."/>
      <w:lvlJc w:val="right"/>
      <w:pPr>
        <w:ind w:left="2373" w:hanging="420"/>
      </w:pPr>
    </w:lvl>
    <w:lvl w:ilvl="6" w:tentative="0">
      <w:start w:val="1"/>
      <w:numFmt w:val="decimal"/>
      <w:lvlText w:val="%7."/>
      <w:lvlJc w:val="left"/>
      <w:pPr>
        <w:ind w:left="2793" w:hanging="420"/>
      </w:pPr>
    </w:lvl>
    <w:lvl w:ilvl="7" w:tentative="0">
      <w:start w:val="1"/>
      <w:numFmt w:val="lowerLetter"/>
      <w:lvlText w:val="%8)"/>
      <w:lvlJc w:val="left"/>
      <w:pPr>
        <w:ind w:left="3213" w:hanging="420"/>
      </w:pPr>
    </w:lvl>
    <w:lvl w:ilvl="8" w:tentative="0">
      <w:start w:val="1"/>
      <w:numFmt w:val="lowerRoman"/>
      <w:lvlText w:val="%9."/>
      <w:lvlJc w:val="right"/>
      <w:pPr>
        <w:ind w:left="3633" w:hanging="420"/>
      </w:pPr>
    </w:lvl>
  </w:abstractNum>
  <w:num w:numId="1">
    <w:abstractNumId w:val="0"/>
  </w:num>
  <w:num w:numId="2">
    <w:abstractNumId w:val="2"/>
  </w:num>
  <w:num w:numId="3">
    <w:abstractNumId w:val="3"/>
  </w:num>
  <w:num w:numId="4">
    <w:abstractNumId w:val="6"/>
  </w:num>
  <w:num w:numId="5">
    <w:abstractNumId w:val="8"/>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7"/>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2I3MGExMDliZmYyZTg2ZjRiZDU4NjI5OTMzNTAifQ=="/>
  </w:docVars>
  <w:rsids>
    <w:rsidRoot w:val="006C2C1D"/>
    <w:rsid w:val="00014621"/>
    <w:rsid w:val="00024A95"/>
    <w:rsid w:val="000271A1"/>
    <w:rsid w:val="00030B85"/>
    <w:rsid w:val="000524E2"/>
    <w:rsid w:val="00054D03"/>
    <w:rsid w:val="000646E5"/>
    <w:rsid w:val="00064954"/>
    <w:rsid w:val="0006721E"/>
    <w:rsid w:val="000724B6"/>
    <w:rsid w:val="00072ECC"/>
    <w:rsid w:val="00082773"/>
    <w:rsid w:val="000A0196"/>
    <w:rsid w:val="000A116F"/>
    <w:rsid w:val="000A6010"/>
    <w:rsid w:val="000A75AB"/>
    <w:rsid w:val="000B63DD"/>
    <w:rsid w:val="000C332D"/>
    <w:rsid w:val="000C37FC"/>
    <w:rsid w:val="000C6C9F"/>
    <w:rsid w:val="000D267C"/>
    <w:rsid w:val="000D369B"/>
    <w:rsid w:val="000E53AD"/>
    <w:rsid w:val="000E5A52"/>
    <w:rsid w:val="000E5E20"/>
    <w:rsid w:val="000E6712"/>
    <w:rsid w:val="000F2777"/>
    <w:rsid w:val="000F2A24"/>
    <w:rsid w:val="000F588E"/>
    <w:rsid w:val="000F6185"/>
    <w:rsid w:val="00101B94"/>
    <w:rsid w:val="00102348"/>
    <w:rsid w:val="00111060"/>
    <w:rsid w:val="0011618F"/>
    <w:rsid w:val="00117305"/>
    <w:rsid w:val="00121128"/>
    <w:rsid w:val="00136CBF"/>
    <w:rsid w:val="00141EA0"/>
    <w:rsid w:val="00155F2B"/>
    <w:rsid w:val="00157DFA"/>
    <w:rsid w:val="00167075"/>
    <w:rsid w:val="00171B2C"/>
    <w:rsid w:val="0017507C"/>
    <w:rsid w:val="00180092"/>
    <w:rsid w:val="001915FC"/>
    <w:rsid w:val="001961EF"/>
    <w:rsid w:val="001963AE"/>
    <w:rsid w:val="001A1E1E"/>
    <w:rsid w:val="001B4760"/>
    <w:rsid w:val="001C1C4E"/>
    <w:rsid w:val="001C2537"/>
    <w:rsid w:val="001C37B3"/>
    <w:rsid w:val="001C5BBE"/>
    <w:rsid w:val="001D4940"/>
    <w:rsid w:val="001E5D49"/>
    <w:rsid w:val="001F44E7"/>
    <w:rsid w:val="001F7DA6"/>
    <w:rsid w:val="00237C02"/>
    <w:rsid w:val="00251DC1"/>
    <w:rsid w:val="00253D86"/>
    <w:rsid w:val="0025727E"/>
    <w:rsid w:val="002667BA"/>
    <w:rsid w:val="0029257B"/>
    <w:rsid w:val="00292657"/>
    <w:rsid w:val="002B3B4D"/>
    <w:rsid w:val="002B6655"/>
    <w:rsid w:val="002C273E"/>
    <w:rsid w:val="002D4418"/>
    <w:rsid w:val="002E4622"/>
    <w:rsid w:val="002E6F3F"/>
    <w:rsid w:val="002F06A0"/>
    <w:rsid w:val="002F44FB"/>
    <w:rsid w:val="002F5C70"/>
    <w:rsid w:val="002F6188"/>
    <w:rsid w:val="00300082"/>
    <w:rsid w:val="0030206F"/>
    <w:rsid w:val="00303A1F"/>
    <w:rsid w:val="003115F1"/>
    <w:rsid w:val="0032121C"/>
    <w:rsid w:val="00321F6F"/>
    <w:rsid w:val="003266BF"/>
    <w:rsid w:val="003320D8"/>
    <w:rsid w:val="00333612"/>
    <w:rsid w:val="00334FBE"/>
    <w:rsid w:val="00345530"/>
    <w:rsid w:val="0035250F"/>
    <w:rsid w:val="0035290B"/>
    <w:rsid w:val="0036328F"/>
    <w:rsid w:val="00364DDC"/>
    <w:rsid w:val="0036589B"/>
    <w:rsid w:val="00391278"/>
    <w:rsid w:val="00395E6B"/>
    <w:rsid w:val="0039626B"/>
    <w:rsid w:val="003A540F"/>
    <w:rsid w:val="003B139A"/>
    <w:rsid w:val="003B54AD"/>
    <w:rsid w:val="003B7C55"/>
    <w:rsid w:val="003C391B"/>
    <w:rsid w:val="003D460C"/>
    <w:rsid w:val="003E24CC"/>
    <w:rsid w:val="003F1F01"/>
    <w:rsid w:val="003F6826"/>
    <w:rsid w:val="00403A6D"/>
    <w:rsid w:val="00407E72"/>
    <w:rsid w:val="00414F00"/>
    <w:rsid w:val="00421BFC"/>
    <w:rsid w:val="00450BE6"/>
    <w:rsid w:val="00451ADB"/>
    <w:rsid w:val="00451F0F"/>
    <w:rsid w:val="00461E05"/>
    <w:rsid w:val="00465C97"/>
    <w:rsid w:val="00473A28"/>
    <w:rsid w:val="00483295"/>
    <w:rsid w:val="00486E0E"/>
    <w:rsid w:val="00492879"/>
    <w:rsid w:val="004B135D"/>
    <w:rsid w:val="004B644E"/>
    <w:rsid w:val="004C1E2A"/>
    <w:rsid w:val="004E120D"/>
    <w:rsid w:val="004E66C5"/>
    <w:rsid w:val="004F746F"/>
    <w:rsid w:val="005016BD"/>
    <w:rsid w:val="005177E3"/>
    <w:rsid w:val="00521757"/>
    <w:rsid w:val="00537E38"/>
    <w:rsid w:val="00554ABF"/>
    <w:rsid w:val="00557548"/>
    <w:rsid w:val="00582AA5"/>
    <w:rsid w:val="0059435D"/>
    <w:rsid w:val="005A6542"/>
    <w:rsid w:val="005C3615"/>
    <w:rsid w:val="005C3895"/>
    <w:rsid w:val="005C6413"/>
    <w:rsid w:val="005C708B"/>
    <w:rsid w:val="005C74B1"/>
    <w:rsid w:val="005C778A"/>
    <w:rsid w:val="005D3CAF"/>
    <w:rsid w:val="005E06FF"/>
    <w:rsid w:val="005E15A8"/>
    <w:rsid w:val="005E4046"/>
    <w:rsid w:val="005F4F79"/>
    <w:rsid w:val="0060372B"/>
    <w:rsid w:val="00604125"/>
    <w:rsid w:val="00605323"/>
    <w:rsid w:val="00611F48"/>
    <w:rsid w:val="00617360"/>
    <w:rsid w:val="00617A98"/>
    <w:rsid w:val="00624713"/>
    <w:rsid w:val="00626450"/>
    <w:rsid w:val="00632534"/>
    <w:rsid w:val="006447C3"/>
    <w:rsid w:val="006460A4"/>
    <w:rsid w:val="0065438D"/>
    <w:rsid w:val="00675F00"/>
    <w:rsid w:val="006834DA"/>
    <w:rsid w:val="00687535"/>
    <w:rsid w:val="006960ED"/>
    <w:rsid w:val="006B7307"/>
    <w:rsid w:val="006C234C"/>
    <w:rsid w:val="006C2C1D"/>
    <w:rsid w:val="006D070B"/>
    <w:rsid w:val="006E3255"/>
    <w:rsid w:val="006E33F2"/>
    <w:rsid w:val="006E6124"/>
    <w:rsid w:val="006E7949"/>
    <w:rsid w:val="006F0451"/>
    <w:rsid w:val="006F3915"/>
    <w:rsid w:val="00703C94"/>
    <w:rsid w:val="007067B0"/>
    <w:rsid w:val="007153CD"/>
    <w:rsid w:val="0073485A"/>
    <w:rsid w:val="00734AE7"/>
    <w:rsid w:val="00745F9F"/>
    <w:rsid w:val="00750B2E"/>
    <w:rsid w:val="00753E1B"/>
    <w:rsid w:val="007564F0"/>
    <w:rsid w:val="00760F51"/>
    <w:rsid w:val="007677E6"/>
    <w:rsid w:val="00772278"/>
    <w:rsid w:val="00775A0D"/>
    <w:rsid w:val="00776606"/>
    <w:rsid w:val="00777D7D"/>
    <w:rsid w:val="00791631"/>
    <w:rsid w:val="007A2B72"/>
    <w:rsid w:val="007C0D6F"/>
    <w:rsid w:val="007C591E"/>
    <w:rsid w:val="007C5E3B"/>
    <w:rsid w:val="007C794D"/>
    <w:rsid w:val="007E76F0"/>
    <w:rsid w:val="007F290A"/>
    <w:rsid w:val="00800BF9"/>
    <w:rsid w:val="008010C0"/>
    <w:rsid w:val="00815E88"/>
    <w:rsid w:val="00817462"/>
    <w:rsid w:val="00821259"/>
    <w:rsid w:val="00834DEC"/>
    <w:rsid w:val="00845E2D"/>
    <w:rsid w:val="00847F64"/>
    <w:rsid w:val="00856E8D"/>
    <w:rsid w:val="00877FD1"/>
    <w:rsid w:val="00880896"/>
    <w:rsid w:val="008A4F34"/>
    <w:rsid w:val="008B226D"/>
    <w:rsid w:val="008C503A"/>
    <w:rsid w:val="008D0BE7"/>
    <w:rsid w:val="008D1299"/>
    <w:rsid w:val="008F263B"/>
    <w:rsid w:val="00905B9D"/>
    <w:rsid w:val="00906E46"/>
    <w:rsid w:val="0091543F"/>
    <w:rsid w:val="00923537"/>
    <w:rsid w:val="009576EF"/>
    <w:rsid w:val="00961C68"/>
    <w:rsid w:val="009647DA"/>
    <w:rsid w:val="009718F1"/>
    <w:rsid w:val="00975938"/>
    <w:rsid w:val="00984ECC"/>
    <w:rsid w:val="00990FC6"/>
    <w:rsid w:val="009946B4"/>
    <w:rsid w:val="009977CC"/>
    <w:rsid w:val="009A53AF"/>
    <w:rsid w:val="009D654C"/>
    <w:rsid w:val="009E2EB8"/>
    <w:rsid w:val="009E45A6"/>
    <w:rsid w:val="009E652F"/>
    <w:rsid w:val="009E7F35"/>
    <w:rsid w:val="009F0F5F"/>
    <w:rsid w:val="009F2784"/>
    <w:rsid w:val="00A0377C"/>
    <w:rsid w:val="00A064D6"/>
    <w:rsid w:val="00A11DAB"/>
    <w:rsid w:val="00A17B9F"/>
    <w:rsid w:val="00A21097"/>
    <w:rsid w:val="00A21AF7"/>
    <w:rsid w:val="00A34D09"/>
    <w:rsid w:val="00A50540"/>
    <w:rsid w:val="00A63DE4"/>
    <w:rsid w:val="00A76F85"/>
    <w:rsid w:val="00A8306E"/>
    <w:rsid w:val="00AB6A8B"/>
    <w:rsid w:val="00AC3C63"/>
    <w:rsid w:val="00AC46B4"/>
    <w:rsid w:val="00AD3CC5"/>
    <w:rsid w:val="00AD7BE5"/>
    <w:rsid w:val="00AE1695"/>
    <w:rsid w:val="00AF6CCF"/>
    <w:rsid w:val="00B00D9F"/>
    <w:rsid w:val="00B073E6"/>
    <w:rsid w:val="00B10566"/>
    <w:rsid w:val="00B1232A"/>
    <w:rsid w:val="00B16826"/>
    <w:rsid w:val="00B178EE"/>
    <w:rsid w:val="00B2237B"/>
    <w:rsid w:val="00B25F63"/>
    <w:rsid w:val="00B30B37"/>
    <w:rsid w:val="00B44E27"/>
    <w:rsid w:val="00B51E65"/>
    <w:rsid w:val="00B60834"/>
    <w:rsid w:val="00B61BE6"/>
    <w:rsid w:val="00B702B1"/>
    <w:rsid w:val="00B759B4"/>
    <w:rsid w:val="00B812F9"/>
    <w:rsid w:val="00B9472A"/>
    <w:rsid w:val="00BC608A"/>
    <w:rsid w:val="00BD0455"/>
    <w:rsid w:val="00BD2C2D"/>
    <w:rsid w:val="00BD5440"/>
    <w:rsid w:val="00BE5C6C"/>
    <w:rsid w:val="00C02E4E"/>
    <w:rsid w:val="00C1103B"/>
    <w:rsid w:val="00C120E7"/>
    <w:rsid w:val="00C14DAC"/>
    <w:rsid w:val="00C14FBD"/>
    <w:rsid w:val="00C24B46"/>
    <w:rsid w:val="00C30CCB"/>
    <w:rsid w:val="00C47BDF"/>
    <w:rsid w:val="00C606F5"/>
    <w:rsid w:val="00C62C21"/>
    <w:rsid w:val="00C76CAE"/>
    <w:rsid w:val="00C77F80"/>
    <w:rsid w:val="00C81E60"/>
    <w:rsid w:val="00C90128"/>
    <w:rsid w:val="00C976C3"/>
    <w:rsid w:val="00CA5DD2"/>
    <w:rsid w:val="00CB40FE"/>
    <w:rsid w:val="00CB6B70"/>
    <w:rsid w:val="00CC1D28"/>
    <w:rsid w:val="00CC6E39"/>
    <w:rsid w:val="00CF4914"/>
    <w:rsid w:val="00CF4C31"/>
    <w:rsid w:val="00CF6A9D"/>
    <w:rsid w:val="00D06816"/>
    <w:rsid w:val="00D1048F"/>
    <w:rsid w:val="00D104C3"/>
    <w:rsid w:val="00D11D26"/>
    <w:rsid w:val="00D16BDB"/>
    <w:rsid w:val="00D205EE"/>
    <w:rsid w:val="00D21FAD"/>
    <w:rsid w:val="00D243EE"/>
    <w:rsid w:val="00D30D3B"/>
    <w:rsid w:val="00D310B8"/>
    <w:rsid w:val="00D41D8C"/>
    <w:rsid w:val="00D45384"/>
    <w:rsid w:val="00D54C22"/>
    <w:rsid w:val="00D54D2C"/>
    <w:rsid w:val="00D60571"/>
    <w:rsid w:val="00D60E99"/>
    <w:rsid w:val="00D6265D"/>
    <w:rsid w:val="00D62A78"/>
    <w:rsid w:val="00D6706A"/>
    <w:rsid w:val="00D920ED"/>
    <w:rsid w:val="00DA48C7"/>
    <w:rsid w:val="00DB77B8"/>
    <w:rsid w:val="00DC6310"/>
    <w:rsid w:val="00DD2426"/>
    <w:rsid w:val="00DE63C8"/>
    <w:rsid w:val="00DF1392"/>
    <w:rsid w:val="00E0159E"/>
    <w:rsid w:val="00E05568"/>
    <w:rsid w:val="00E0564F"/>
    <w:rsid w:val="00E12937"/>
    <w:rsid w:val="00E144C1"/>
    <w:rsid w:val="00E37244"/>
    <w:rsid w:val="00E54A50"/>
    <w:rsid w:val="00E554C8"/>
    <w:rsid w:val="00E5679B"/>
    <w:rsid w:val="00E57283"/>
    <w:rsid w:val="00E628B1"/>
    <w:rsid w:val="00E6466A"/>
    <w:rsid w:val="00E75F53"/>
    <w:rsid w:val="00E7696B"/>
    <w:rsid w:val="00E86DE7"/>
    <w:rsid w:val="00EA7FAD"/>
    <w:rsid w:val="00EB315C"/>
    <w:rsid w:val="00EB6EA2"/>
    <w:rsid w:val="00EE18C9"/>
    <w:rsid w:val="00EE6B89"/>
    <w:rsid w:val="00EF01AE"/>
    <w:rsid w:val="00EF5654"/>
    <w:rsid w:val="00EF69F4"/>
    <w:rsid w:val="00F01DF4"/>
    <w:rsid w:val="00F20055"/>
    <w:rsid w:val="00F23410"/>
    <w:rsid w:val="00F26D30"/>
    <w:rsid w:val="00F350DC"/>
    <w:rsid w:val="00F41957"/>
    <w:rsid w:val="00F46078"/>
    <w:rsid w:val="00F628B9"/>
    <w:rsid w:val="00F62DF1"/>
    <w:rsid w:val="00F63F8C"/>
    <w:rsid w:val="00F86C3F"/>
    <w:rsid w:val="00F92303"/>
    <w:rsid w:val="00F95483"/>
    <w:rsid w:val="00FA0FF5"/>
    <w:rsid w:val="00FA2A8C"/>
    <w:rsid w:val="00FA6250"/>
    <w:rsid w:val="00FB081E"/>
    <w:rsid w:val="00FB4A2F"/>
    <w:rsid w:val="00FB57DB"/>
    <w:rsid w:val="00FC20A0"/>
    <w:rsid w:val="00FC60E7"/>
    <w:rsid w:val="00FD4777"/>
    <w:rsid w:val="00FF3E20"/>
    <w:rsid w:val="00FF4DF2"/>
    <w:rsid w:val="00FF4F7B"/>
    <w:rsid w:val="00FF75DD"/>
    <w:rsid w:val="02246C20"/>
    <w:rsid w:val="05826B03"/>
    <w:rsid w:val="0A5521CF"/>
    <w:rsid w:val="0C920489"/>
    <w:rsid w:val="126D3BE6"/>
    <w:rsid w:val="128A572B"/>
    <w:rsid w:val="15D24B1D"/>
    <w:rsid w:val="17AE239E"/>
    <w:rsid w:val="1DC37D43"/>
    <w:rsid w:val="1F224859"/>
    <w:rsid w:val="25723D56"/>
    <w:rsid w:val="27677A5C"/>
    <w:rsid w:val="2CD47487"/>
    <w:rsid w:val="2F536B07"/>
    <w:rsid w:val="2F6F4BFD"/>
    <w:rsid w:val="34321327"/>
    <w:rsid w:val="40F166C0"/>
    <w:rsid w:val="43251A01"/>
    <w:rsid w:val="4A1527B8"/>
    <w:rsid w:val="4BAA0F64"/>
    <w:rsid w:val="508A35A3"/>
    <w:rsid w:val="51B573C7"/>
    <w:rsid w:val="5487242E"/>
    <w:rsid w:val="55E838DF"/>
    <w:rsid w:val="59592D2E"/>
    <w:rsid w:val="5B114ED9"/>
    <w:rsid w:val="5B5F6287"/>
    <w:rsid w:val="5B8E2522"/>
    <w:rsid w:val="5C1D28CD"/>
    <w:rsid w:val="60DF10E3"/>
    <w:rsid w:val="6A7C09BC"/>
    <w:rsid w:val="73FD43E8"/>
    <w:rsid w:val="74E63A35"/>
    <w:rsid w:val="759A5673"/>
    <w:rsid w:val="79B5615A"/>
    <w:rsid w:val="7A41719B"/>
    <w:rsid w:val="7C9E6453"/>
    <w:rsid w:val="7F3541C2"/>
    <w:rsid w:val="7F447E9C"/>
    <w:rsid w:val="7FB9007F"/>
    <w:rsid w:val="DBE7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7"/>
    <w:qFormat/>
    <w:uiPriority w:val="9"/>
    <w:pPr>
      <w:keepNext/>
      <w:keepLines/>
      <w:spacing w:before="340" w:after="330" w:line="576" w:lineRule="auto"/>
      <w:outlineLvl w:val="0"/>
    </w:pPr>
    <w:rPr>
      <w:b/>
      <w:kern w:val="44"/>
      <w:sz w:val="44"/>
    </w:rPr>
  </w:style>
  <w:style w:type="paragraph" w:styleId="3">
    <w:name w:val="heading 2"/>
    <w:basedOn w:val="1"/>
    <w:next w:val="1"/>
    <w:link w:val="46"/>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40"/>
    <w:unhideWhenUsed/>
    <w:qFormat/>
    <w:uiPriority w:val="9"/>
    <w:pPr>
      <w:keepNext/>
      <w:keepLines/>
      <w:spacing w:before="260" w:after="260" w:line="413" w:lineRule="auto"/>
      <w:outlineLvl w:val="2"/>
    </w:pPr>
    <w:rPr>
      <w:b/>
      <w:sz w:val="32"/>
    </w:rPr>
  </w:style>
  <w:style w:type="paragraph" w:styleId="5">
    <w:name w:val="heading 4"/>
    <w:basedOn w:val="1"/>
    <w:next w:val="1"/>
    <w:link w:val="37"/>
    <w:semiHidden/>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49"/>
    <w:unhideWhenUsed/>
    <w:qFormat/>
    <w:uiPriority w:val="0"/>
    <w:pPr>
      <w:keepNext/>
      <w:keepLines/>
      <w:spacing w:before="280" w:after="290" w:line="372" w:lineRule="auto"/>
      <w:outlineLvl w:val="4"/>
    </w:pPr>
    <w:rPr>
      <w:b/>
      <w:sz w:val="28"/>
    </w:rPr>
  </w:style>
  <w:style w:type="paragraph" w:styleId="7">
    <w:name w:val="heading 6"/>
    <w:basedOn w:val="1"/>
    <w:next w:val="1"/>
    <w:link w:val="42"/>
    <w:semiHidden/>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48"/>
    <w:semiHidden/>
    <w:unhideWhenUsed/>
    <w:qFormat/>
    <w:uiPriority w:val="0"/>
    <w:pPr>
      <w:keepNext/>
      <w:keepLines/>
      <w:spacing w:before="240" w:after="64" w:line="317" w:lineRule="auto"/>
      <w:outlineLvl w:val="6"/>
    </w:pPr>
    <w:rPr>
      <w:b/>
      <w:sz w:val="24"/>
    </w:rPr>
  </w:style>
  <w:style w:type="paragraph" w:styleId="9">
    <w:name w:val="heading 8"/>
    <w:basedOn w:val="1"/>
    <w:next w:val="1"/>
    <w:link w:val="50"/>
    <w:semiHidden/>
    <w:unhideWhenUsed/>
    <w:qFormat/>
    <w:uiPriority w:val="0"/>
    <w:pPr>
      <w:keepNext/>
      <w:keepLines/>
      <w:spacing w:before="240" w:after="64" w:line="317" w:lineRule="auto"/>
      <w:outlineLvl w:val="7"/>
    </w:pPr>
    <w:rPr>
      <w:rFonts w:ascii="Arial" w:hAnsi="Arial" w:eastAsia="黑体"/>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Document Map"/>
    <w:basedOn w:val="1"/>
    <w:link w:val="41"/>
    <w:qFormat/>
    <w:uiPriority w:val="0"/>
    <w:pPr>
      <w:shd w:val="clear" w:color="auto" w:fill="000080"/>
    </w:pPr>
  </w:style>
  <w:style w:type="paragraph" w:styleId="11">
    <w:name w:val="annotation text"/>
    <w:basedOn w:val="1"/>
    <w:link w:val="51"/>
    <w:qFormat/>
    <w:uiPriority w:val="99"/>
    <w:pPr>
      <w:jc w:val="left"/>
    </w:pPr>
  </w:style>
  <w:style w:type="paragraph" w:styleId="12">
    <w:name w:val="Body Text"/>
    <w:basedOn w:val="1"/>
    <w:link w:val="52"/>
    <w:qFormat/>
    <w:uiPriority w:val="1"/>
    <w:pPr>
      <w:widowControl/>
      <w:overflowPunct w:val="0"/>
      <w:autoSpaceDE w:val="0"/>
      <w:autoSpaceDN w:val="0"/>
      <w:adjustRightInd w:val="0"/>
      <w:spacing w:before="120" w:after="120"/>
      <w:ind w:left="2520"/>
      <w:jc w:val="left"/>
    </w:pPr>
    <w:rPr>
      <w:rFonts w:ascii="Book Antiqua" w:hAnsi="Book Antiqua" w:eastAsia="宋体" w:cs="Times New Roman"/>
      <w:kern w:val="0"/>
      <w:sz w:val="20"/>
      <w:szCs w:val="20"/>
    </w:rPr>
  </w:style>
  <w:style w:type="paragraph" w:styleId="13">
    <w:name w:val="toc 3"/>
    <w:basedOn w:val="1"/>
    <w:next w:val="1"/>
    <w:qFormat/>
    <w:uiPriority w:val="39"/>
    <w:pPr>
      <w:ind w:left="420"/>
      <w:jc w:val="left"/>
    </w:pPr>
    <w:rPr>
      <w:rFonts w:ascii="Calibri" w:hAnsi="Calibri" w:eastAsia="宋体" w:cs="Times New Roman"/>
      <w:i/>
      <w:sz w:val="20"/>
      <w:szCs w:val="20"/>
    </w:rPr>
  </w:style>
  <w:style w:type="paragraph" w:styleId="14">
    <w:name w:val="Plain Text"/>
    <w:basedOn w:val="1"/>
    <w:link w:val="53"/>
    <w:qFormat/>
    <w:uiPriority w:val="0"/>
    <w:rPr>
      <w:rFonts w:hint="eastAsia" w:ascii="宋体" w:hAnsi="Courier New" w:eastAsia="宋体" w:cs="Times New Roman"/>
      <w:szCs w:val="21"/>
    </w:rPr>
  </w:style>
  <w:style w:type="paragraph" w:styleId="15">
    <w:name w:val="Balloon Text"/>
    <w:basedOn w:val="1"/>
    <w:link w:val="36"/>
    <w:qFormat/>
    <w:uiPriority w:val="99"/>
    <w:rPr>
      <w:sz w:val="18"/>
    </w:rPr>
  </w:style>
  <w:style w:type="paragraph" w:styleId="16">
    <w:name w:val="footer"/>
    <w:basedOn w:val="1"/>
    <w:link w:val="38"/>
    <w:qFormat/>
    <w:uiPriority w:val="99"/>
    <w:pPr>
      <w:tabs>
        <w:tab w:val="center" w:pos="4153"/>
        <w:tab w:val="right" w:pos="8306"/>
      </w:tabs>
      <w:snapToGrid w:val="0"/>
      <w:jc w:val="left"/>
    </w:pPr>
    <w:rPr>
      <w:sz w:val="18"/>
    </w:rPr>
  </w:style>
  <w:style w:type="paragraph" w:styleId="17">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before="120" w:after="120"/>
      <w:jc w:val="left"/>
    </w:pPr>
    <w:rPr>
      <w:rFonts w:ascii="Calibri" w:hAnsi="Calibri" w:eastAsia="宋体" w:cs="Times New Roman"/>
      <w:b/>
      <w:caps/>
      <w:sz w:val="20"/>
      <w:szCs w:val="20"/>
    </w:rPr>
  </w:style>
  <w:style w:type="paragraph" w:styleId="19">
    <w:name w:val="footnote text"/>
    <w:basedOn w:val="1"/>
    <w:link w:val="56"/>
    <w:qFormat/>
    <w:uiPriority w:val="0"/>
    <w:pPr>
      <w:snapToGrid w:val="0"/>
      <w:jc w:val="left"/>
    </w:pPr>
    <w:rPr>
      <w:sz w:val="18"/>
    </w:rPr>
  </w:style>
  <w:style w:type="paragraph" w:styleId="20">
    <w:name w:val="toc 2"/>
    <w:basedOn w:val="1"/>
    <w:next w:val="1"/>
    <w:qFormat/>
    <w:uiPriority w:val="39"/>
    <w:pPr>
      <w:ind w:left="210"/>
      <w:jc w:val="left"/>
    </w:pPr>
    <w:rPr>
      <w:rFonts w:ascii="Calibri" w:hAnsi="Calibri" w:eastAsia="宋体" w:cs="Times New Roman"/>
      <w:smallCaps/>
      <w:sz w:val="20"/>
      <w:szCs w:val="20"/>
    </w:rPr>
  </w:style>
  <w:style w:type="paragraph" w:styleId="21">
    <w:name w:val="Normal (Web)"/>
    <w:basedOn w:val="1"/>
    <w:qFormat/>
    <w:uiPriority w:val="99"/>
    <w:rPr>
      <w:rFonts w:ascii="Calibri" w:hAnsi="Calibri" w:eastAsia="宋体" w:cs="Times New Roman"/>
      <w:sz w:val="24"/>
      <w:szCs w:val="22"/>
    </w:rPr>
  </w:style>
  <w:style w:type="paragraph" w:styleId="22">
    <w:name w:val="Title"/>
    <w:basedOn w:val="1"/>
    <w:link w:val="39"/>
    <w:qFormat/>
    <w:uiPriority w:val="0"/>
    <w:pPr>
      <w:spacing w:before="240" w:after="60"/>
      <w:jc w:val="center"/>
      <w:outlineLvl w:val="0"/>
    </w:pPr>
    <w:rPr>
      <w:rFonts w:ascii="Arial" w:hAnsi="Arial"/>
      <w:b/>
      <w:sz w:val="32"/>
    </w:rPr>
  </w:style>
  <w:style w:type="paragraph" w:styleId="23">
    <w:name w:val="annotation subject"/>
    <w:basedOn w:val="11"/>
    <w:next w:val="11"/>
    <w:link w:val="57"/>
    <w:qFormat/>
    <w:uiPriority w:val="99"/>
    <w:rPr>
      <w:b/>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qFormat/>
    <w:uiPriority w:val="0"/>
    <w:rPr>
      <w:b/>
      <w:bCs/>
    </w:rPr>
  </w:style>
  <w:style w:type="character" w:styleId="28">
    <w:name w:val="FollowedHyperlink"/>
    <w:basedOn w:val="26"/>
    <w:qFormat/>
    <w:uiPriority w:val="0"/>
    <w:rPr>
      <w:color w:val="800080"/>
      <w:u w:val="single"/>
    </w:rPr>
  </w:style>
  <w:style w:type="character" w:styleId="29">
    <w:name w:val="Hyperlink"/>
    <w:basedOn w:val="26"/>
    <w:qFormat/>
    <w:uiPriority w:val="99"/>
    <w:rPr>
      <w:color w:val="0000FF"/>
      <w:u w:val="single"/>
    </w:rPr>
  </w:style>
  <w:style w:type="character" w:styleId="30">
    <w:name w:val="annotation reference"/>
    <w:basedOn w:val="26"/>
    <w:qFormat/>
    <w:uiPriority w:val="99"/>
    <w:rPr>
      <w:sz w:val="21"/>
      <w:szCs w:val="21"/>
    </w:rPr>
  </w:style>
  <w:style w:type="character" w:styleId="31">
    <w:name w:val="footnote reference"/>
    <w:basedOn w:val="26"/>
    <w:qFormat/>
    <w:uiPriority w:val="0"/>
    <w:rPr>
      <w:vertAlign w:val="superscript"/>
    </w:rPr>
  </w:style>
  <w:style w:type="character" w:customStyle="1" w:styleId="32">
    <w:name w:val="无间隔 字符"/>
    <w:basedOn w:val="26"/>
    <w:qFormat/>
    <w:uiPriority w:val="0"/>
    <w:rPr>
      <w:sz w:val="22"/>
      <w:szCs w:val="22"/>
    </w:rPr>
  </w:style>
  <w:style w:type="paragraph" w:customStyle="1" w:styleId="33">
    <w:name w:val="文档标题1"/>
    <w:basedOn w:val="2"/>
    <w:next w:val="34"/>
    <w:qFormat/>
    <w:uiPriority w:val="0"/>
    <w:pPr>
      <w:pageBreakBefore/>
      <w:numPr>
        <w:ilvl w:val="0"/>
        <w:numId w:val="1"/>
      </w:numPr>
      <w:pBdr>
        <w:top w:val="single" w:color="auto" w:sz="48" w:space="1"/>
      </w:pBdr>
      <w:spacing w:before="0" w:after="0" w:line="360" w:lineRule="auto"/>
    </w:pPr>
    <w:rPr>
      <w:rFonts w:ascii="Times New Roman" w:hAnsi="Times New Roman" w:eastAsia="宋体" w:cs="Times New Roman"/>
      <w:sz w:val="28"/>
      <w:szCs w:val="44"/>
    </w:rPr>
  </w:style>
  <w:style w:type="paragraph" w:customStyle="1" w:styleId="34">
    <w:name w:val="文档正文-1"/>
    <w:basedOn w:val="1"/>
    <w:qFormat/>
    <w:uiPriority w:val="0"/>
    <w:pPr>
      <w:spacing w:line="360" w:lineRule="auto"/>
      <w:ind w:firstLine="200" w:firstLineChars="200"/>
    </w:pPr>
    <w:rPr>
      <w:rFonts w:ascii="Times New Roman" w:hAnsi="Times New Roman" w:eastAsia="宋体" w:cs="Times New Roman"/>
      <w:sz w:val="24"/>
      <w:szCs w:val="22"/>
    </w:rPr>
  </w:style>
  <w:style w:type="paragraph" w:customStyle="1" w:styleId="35">
    <w:name w:val="文档正文一级标题"/>
    <w:basedOn w:val="34"/>
    <w:qFormat/>
    <w:uiPriority w:val="0"/>
    <w:pPr>
      <w:numPr>
        <w:ilvl w:val="0"/>
        <w:numId w:val="2"/>
      </w:numPr>
      <w:ind w:firstLine="0" w:firstLineChars="0"/>
    </w:pPr>
  </w:style>
  <w:style w:type="character" w:customStyle="1" w:styleId="36">
    <w:name w:val="批注框文本 字符"/>
    <w:basedOn w:val="26"/>
    <w:link w:val="15"/>
    <w:qFormat/>
    <w:uiPriority w:val="99"/>
    <w:rPr>
      <w:rFonts w:hint="default" w:ascii="Calibri" w:hAnsi="Calibri" w:eastAsia="宋体" w:cs="Times New Roman"/>
      <w:kern w:val="2"/>
      <w:sz w:val="18"/>
      <w:szCs w:val="24"/>
    </w:rPr>
  </w:style>
  <w:style w:type="character" w:customStyle="1" w:styleId="37">
    <w:name w:val="标题 4 字符"/>
    <w:basedOn w:val="26"/>
    <w:link w:val="5"/>
    <w:qFormat/>
    <w:uiPriority w:val="0"/>
    <w:rPr>
      <w:rFonts w:ascii="Arial" w:hAnsi="Arial" w:eastAsia="黑体" w:cs="Times New Roman"/>
      <w:b/>
      <w:kern w:val="2"/>
      <w:sz w:val="28"/>
      <w:szCs w:val="24"/>
    </w:rPr>
  </w:style>
  <w:style w:type="character" w:customStyle="1" w:styleId="38">
    <w:name w:val="页脚 字符"/>
    <w:basedOn w:val="26"/>
    <w:link w:val="16"/>
    <w:qFormat/>
    <w:uiPriority w:val="99"/>
    <w:rPr>
      <w:rFonts w:hint="default" w:ascii="Calibri" w:hAnsi="Calibri" w:eastAsia="宋体" w:cs="Times New Roman"/>
      <w:kern w:val="2"/>
      <w:sz w:val="18"/>
      <w:szCs w:val="24"/>
    </w:rPr>
  </w:style>
  <w:style w:type="character" w:customStyle="1" w:styleId="39">
    <w:name w:val="标题 字符"/>
    <w:basedOn w:val="26"/>
    <w:link w:val="22"/>
    <w:qFormat/>
    <w:uiPriority w:val="0"/>
    <w:rPr>
      <w:rFonts w:hint="default" w:ascii="Arial" w:hAnsi="Arial" w:eastAsia="宋体" w:cs="Times New Roman"/>
      <w:b/>
      <w:kern w:val="2"/>
      <w:sz w:val="32"/>
      <w:szCs w:val="24"/>
    </w:rPr>
  </w:style>
  <w:style w:type="character" w:customStyle="1" w:styleId="40">
    <w:name w:val="标题 3 字符"/>
    <w:basedOn w:val="26"/>
    <w:link w:val="4"/>
    <w:qFormat/>
    <w:uiPriority w:val="0"/>
    <w:rPr>
      <w:rFonts w:hint="default" w:ascii="Calibri" w:hAnsi="Calibri" w:eastAsia="宋体" w:cs="Times New Roman"/>
      <w:b/>
      <w:kern w:val="2"/>
      <w:sz w:val="32"/>
      <w:szCs w:val="24"/>
    </w:rPr>
  </w:style>
  <w:style w:type="character" w:customStyle="1" w:styleId="41">
    <w:name w:val="文档结构图 字符"/>
    <w:basedOn w:val="26"/>
    <w:link w:val="10"/>
    <w:qFormat/>
    <w:uiPriority w:val="0"/>
    <w:rPr>
      <w:rFonts w:hint="default" w:ascii="Calibri" w:hAnsi="Calibri" w:eastAsia="宋体" w:cs="Times New Roman"/>
      <w:kern w:val="2"/>
      <w:sz w:val="21"/>
      <w:szCs w:val="24"/>
      <w:shd w:val="clear" w:color="auto" w:fill="000080"/>
    </w:rPr>
  </w:style>
  <w:style w:type="character" w:customStyle="1" w:styleId="42">
    <w:name w:val="标题 6 字符"/>
    <w:basedOn w:val="26"/>
    <w:link w:val="7"/>
    <w:qFormat/>
    <w:uiPriority w:val="0"/>
    <w:rPr>
      <w:rFonts w:hint="default" w:ascii="Arial" w:hAnsi="Arial" w:eastAsia="黑体" w:cs="Times New Roman"/>
      <w:b/>
      <w:kern w:val="2"/>
      <w:sz w:val="24"/>
      <w:szCs w:val="24"/>
    </w:rPr>
  </w:style>
  <w:style w:type="character" w:customStyle="1" w:styleId="43">
    <w:name w:val="apple-converted-space"/>
    <w:basedOn w:val="26"/>
    <w:qFormat/>
    <w:uiPriority w:val="0"/>
  </w:style>
  <w:style w:type="character" w:customStyle="1" w:styleId="44">
    <w:name w:val="apple-style-span"/>
    <w:basedOn w:val="26"/>
    <w:qFormat/>
    <w:uiPriority w:val="0"/>
  </w:style>
  <w:style w:type="paragraph" w:customStyle="1" w:styleId="45">
    <w:name w:val="样式 标题 4 + 段前: 5 磅 段后: 5 磅 行距: 单倍行距"/>
    <w:basedOn w:val="5"/>
    <w:qFormat/>
    <w:uiPriority w:val="0"/>
    <w:pPr>
      <w:tabs>
        <w:tab w:val="left" w:pos="780"/>
        <w:tab w:val="left" w:pos="1680"/>
      </w:tabs>
      <w:adjustRightInd w:val="0"/>
      <w:spacing w:before="100" w:after="100"/>
      <w:ind w:left="780" w:leftChars="200" w:hanging="360" w:hangingChars="200"/>
      <w:jc w:val="left"/>
    </w:pPr>
    <w:rPr>
      <w:rFonts w:cs="Times New Roman"/>
      <w:kern w:val="0"/>
      <w:szCs w:val="20"/>
    </w:rPr>
  </w:style>
  <w:style w:type="character" w:customStyle="1" w:styleId="46">
    <w:name w:val="标题 2 字符"/>
    <w:basedOn w:val="26"/>
    <w:link w:val="3"/>
    <w:qFormat/>
    <w:uiPriority w:val="0"/>
    <w:rPr>
      <w:rFonts w:hint="default" w:ascii="Arial" w:hAnsi="Arial" w:eastAsia="黑体" w:cs="Times New Roman"/>
      <w:b/>
      <w:kern w:val="2"/>
      <w:sz w:val="32"/>
      <w:szCs w:val="24"/>
    </w:rPr>
  </w:style>
  <w:style w:type="character" w:customStyle="1" w:styleId="47">
    <w:name w:val="标题 1 字符"/>
    <w:basedOn w:val="26"/>
    <w:link w:val="2"/>
    <w:qFormat/>
    <w:uiPriority w:val="0"/>
    <w:rPr>
      <w:rFonts w:hint="default" w:ascii="Calibri" w:hAnsi="Calibri" w:eastAsia="宋体" w:cs="Times New Roman"/>
      <w:b/>
      <w:kern w:val="44"/>
      <w:sz w:val="44"/>
      <w:szCs w:val="24"/>
    </w:rPr>
  </w:style>
  <w:style w:type="character" w:customStyle="1" w:styleId="48">
    <w:name w:val="标题 7 字符"/>
    <w:basedOn w:val="26"/>
    <w:link w:val="8"/>
    <w:qFormat/>
    <w:uiPriority w:val="0"/>
    <w:rPr>
      <w:rFonts w:hint="default" w:ascii="Calibri" w:hAnsi="Calibri" w:eastAsia="宋体" w:cs="Times New Roman"/>
      <w:b/>
      <w:kern w:val="2"/>
      <w:sz w:val="24"/>
      <w:szCs w:val="24"/>
    </w:rPr>
  </w:style>
  <w:style w:type="character" w:customStyle="1" w:styleId="49">
    <w:name w:val="标题 5 字符"/>
    <w:basedOn w:val="26"/>
    <w:link w:val="6"/>
    <w:qFormat/>
    <w:uiPriority w:val="0"/>
    <w:rPr>
      <w:rFonts w:hint="default" w:ascii="Calibri" w:hAnsi="Calibri" w:eastAsia="宋体" w:cs="Times New Roman"/>
      <w:b/>
      <w:kern w:val="2"/>
      <w:sz w:val="28"/>
      <w:szCs w:val="24"/>
    </w:rPr>
  </w:style>
  <w:style w:type="character" w:customStyle="1" w:styleId="50">
    <w:name w:val="标题 8 字符"/>
    <w:basedOn w:val="26"/>
    <w:link w:val="9"/>
    <w:qFormat/>
    <w:uiPriority w:val="0"/>
    <w:rPr>
      <w:rFonts w:hint="default" w:ascii="Arial" w:hAnsi="Arial" w:eastAsia="黑体" w:cs="Times New Roman"/>
      <w:kern w:val="2"/>
      <w:sz w:val="24"/>
      <w:szCs w:val="24"/>
    </w:rPr>
  </w:style>
  <w:style w:type="character" w:customStyle="1" w:styleId="51">
    <w:name w:val="批注文字 字符"/>
    <w:basedOn w:val="26"/>
    <w:link w:val="11"/>
    <w:qFormat/>
    <w:uiPriority w:val="99"/>
    <w:rPr>
      <w:rFonts w:hint="default" w:ascii="Calibri" w:hAnsi="Calibri" w:eastAsia="宋体" w:cs="Times New Roman"/>
      <w:kern w:val="2"/>
      <w:sz w:val="21"/>
      <w:szCs w:val="24"/>
    </w:rPr>
  </w:style>
  <w:style w:type="character" w:customStyle="1" w:styleId="52">
    <w:name w:val="正文文本 字符"/>
    <w:basedOn w:val="26"/>
    <w:link w:val="12"/>
    <w:qFormat/>
    <w:uiPriority w:val="1"/>
    <w:rPr>
      <w:rFonts w:hint="default" w:ascii="Book Antiqua" w:hAnsi="Book Antiqua" w:eastAsia="宋体" w:cs="Book Antiqua"/>
    </w:rPr>
  </w:style>
  <w:style w:type="character" w:customStyle="1" w:styleId="53">
    <w:name w:val="纯文本 字符"/>
    <w:basedOn w:val="26"/>
    <w:link w:val="14"/>
    <w:qFormat/>
    <w:uiPriority w:val="0"/>
    <w:rPr>
      <w:rFonts w:hint="eastAsia" w:ascii="宋体" w:hAnsi="Courier New" w:eastAsia="宋体" w:cs="宋体"/>
      <w:kern w:val="2"/>
      <w:sz w:val="21"/>
      <w:szCs w:val="21"/>
    </w:rPr>
  </w:style>
  <w:style w:type="paragraph" w:customStyle="1" w:styleId="54">
    <w:name w:val="文档标题3"/>
    <w:basedOn w:val="4"/>
    <w:next w:val="34"/>
    <w:qFormat/>
    <w:uiPriority w:val="0"/>
    <w:pPr>
      <w:overflowPunct w:val="0"/>
      <w:autoSpaceDE w:val="0"/>
      <w:autoSpaceDN w:val="0"/>
      <w:adjustRightInd w:val="0"/>
      <w:spacing w:before="0" w:after="0" w:line="360" w:lineRule="auto"/>
    </w:pPr>
    <w:rPr>
      <w:rFonts w:ascii="Times New Roman" w:hAnsi="Times New Roman" w:eastAsia="宋体" w:cs="Times New Roman"/>
      <w:sz w:val="28"/>
      <w:szCs w:val="32"/>
    </w:rPr>
  </w:style>
  <w:style w:type="character" w:customStyle="1" w:styleId="55">
    <w:name w:val="页眉 字符"/>
    <w:basedOn w:val="26"/>
    <w:link w:val="17"/>
    <w:qFormat/>
    <w:uiPriority w:val="99"/>
    <w:rPr>
      <w:rFonts w:hint="default" w:ascii="Calibri" w:hAnsi="Calibri" w:eastAsia="宋体" w:cs="Times New Roman"/>
      <w:kern w:val="2"/>
      <w:sz w:val="18"/>
      <w:szCs w:val="24"/>
    </w:rPr>
  </w:style>
  <w:style w:type="character" w:customStyle="1" w:styleId="56">
    <w:name w:val="脚注文本 字符"/>
    <w:basedOn w:val="26"/>
    <w:link w:val="19"/>
    <w:qFormat/>
    <w:uiPriority w:val="0"/>
    <w:rPr>
      <w:rFonts w:hint="default" w:ascii="Calibri" w:hAnsi="Calibri" w:eastAsia="宋体" w:cs="Times New Roman"/>
      <w:kern w:val="2"/>
      <w:sz w:val="18"/>
      <w:szCs w:val="24"/>
    </w:rPr>
  </w:style>
  <w:style w:type="character" w:customStyle="1" w:styleId="57">
    <w:name w:val="批注主题 字符"/>
    <w:basedOn w:val="51"/>
    <w:link w:val="23"/>
    <w:qFormat/>
    <w:uiPriority w:val="99"/>
    <w:rPr>
      <w:rFonts w:hint="default" w:ascii="Calibri" w:hAnsi="Calibri" w:eastAsia="宋体" w:cs="Times New Roman"/>
      <w:b/>
      <w:kern w:val="2"/>
      <w:sz w:val="21"/>
      <w:szCs w:val="24"/>
    </w:rPr>
  </w:style>
  <w:style w:type="character" w:customStyle="1" w:styleId="58">
    <w:name w:val="tlid-translation"/>
    <w:basedOn w:val="26"/>
    <w:qFormat/>
    <w:uiPriority w:val="0"/>
  </w:style>
  <w:style w:type="paragraph" w:customStyle="1" w:styleId="59">
    <w:name w:val="样式 标题 2 + 宋体 五号 非加粗 黑色"/>
    <w:basedOn w:val="3"/>
    <w:qFormat/>
    <w:uiPriority w:val="0"/>
    <w:pPr>
      <w:spacing w:line="416" w:lineRule="atLeast"/>
      <w:jc w:val="left"/>
    </w:pPr>
    <w:rPr>
      <w:rFonts w:cs="Times New Roman"/>
      <w:color w:val="000000"/>
      <w:kern w:val="0"/>
      <w:sz w:val="21"/>
      <w:szCs w:val="32"/>
    </w:rPr>
  </w:style>
  <w:style w:type="character" w:customStyle="1" w:styleId="60">
    <w:name w:val="style61"/>
    <w:basedOn w:val="26"/>
    <w:qFormat/>
    <w:uiPriority w:val="0"/>
  </w:style>
  <w:style w:type="character" w:customStyle="1" w:styleId="61">
    <w:name w:val="COFCO_1.1 Char"/>
    <w:basedOn w:val="26"/>
    <w:qFormat/>
    <w:uiPriority w:val="0"/>
    <w:rPr>
      <w:rFonts w:hint="eastAsia" w:ascii="华文细黑" w:hAnsi="华文细黑" w:eastAsia="华文细黑" w:cs="宋体"/>
      <w:b/>
      <w:color w:val="000000"/>
      <w:sz w:val="24"/>
      <w:szCs w:val="22"/>
    </w:rPr>
  </w:style>
  <w:style w:type="character" w:customStyle="1" w:styleId="62">
    <w:name w:val="正文文本 Char"/>
    <w:basedOn w:val="26"/>
    <w:qFormat/>
    <w:uiPriority w:val="0"/>
    <w:rPr>
      <w:kern w:val="2"/>
      <w:sz w:val="21"/>
      <w:szCs w:val="22"/>
    </w:rPr>
  </w:style>
  <w:style w:type="paragraph" w:customStyle="1" w:styleId="63">
    <w:name w:val="文档标题2"/>
    <w:basedOn w:val="3"/>
    <w:next w:val="34"/>
    <w:link w:val="64"/>
    <w:qFormat/>
    <w:uiPriority w:val="0"/>
    <w:pPr>
      <w:numPr>
        <w:ilvl w:val="1"/>
        <w:numId w:val="1"/>
      </w:numPr>
      <w:spacing w:before="0" w:after="0" w:line="360" w:lineRule="auto"/>
      <w:jc w:val="left"/>
    </w:pPr>
    <w:rPr>
      <w:rFonts w:ascii="Times New Roman" w:hAnsi="Times New Roman" w:eastAsia="宋体" w:cs="Times New Roman"/>
      <w:sz w:val="28"/>
      <w:szCs w:val="32"/>
    </w:rPr>
  </w:style>
  <w:style w:type="character" w:customStyle="1" w:styleId="64">
    <w:name w:val="文档标题2 Char"/>
    <w:basedOn w:val="26"/>
    <w:link w:val="63"/>
    <w:qFormat/>
    <w:uiPriority w:val="0"/>
    <w:rPr>
      <w:rFonts w:ascii="Times New Roman" w:hAnsi="Times New Roman" w:eastAsia="宋体" w:cs="Times New Roman"/>
      <w:b/>
      <w:kern w:val="2"/>
      <w:sz w:val="28"/>
      <w:szCs w:val="32"/>
    </w:rPr>
  </w:style>
  <w:style w:type="paragraph" w:customStyle="1" w:styleId="65">
    <w:name w:val="文档标题4"/>
    <w:basedOn w:val="5"/>
    <w:next w:val="34"/>
    <w:qFormat/>
    <w:uiPriority w:val="0"/>
    <w:pPr>
      <w:numPr>
        <w:ilvl w:val="3"/>
        <w:numId w:val="3"/>
      </w:numPr>
      <w:pBdr>
        <w:bottom w:val="single" w:color="auto" w:sz="2" w:space="1"/>
      </w:pBdr>
    </w:pPr>
    <w:rPr>
      <w:rFonts w:ascii="Times New Roman" w:hAnsi="Times New Roman" w:eastAsia="宋体" w:cs="Times New Roman"/>
      <w:szCs w:val="28"/>
    </w:rPr>
  </w:style>
  <w:style w:type="paragraph" w:customStyle="1" w:styleId="66">
    <w:name w:val="Table Paragraph"/>
    <w:basedOn w:val="1"/>
    <w:qFormat/>
    <w:uiPriority w:val="1"/>
    <w:rPr>
      <w:rFonts w:ascii="Calibri" w:hAnsi="Calibri" w:eastAsia="宋体" w:cs="Times New Roman"/>
      <w:szCs w:val="22"/>
    </w:rPr>
  </w:style>
  <w:style w:type="paragraph" w:styleId="67">
    <w:name w:val="List Paragraph"/>
    <w:basedOn w:val="1"/>
    <w:link w:val="68"/>
    <w:qFormat/>
    <w:uiPriority w:val="34"/>
    <w:pPr>
      <w:ind w:firstLine="420" w:firstLineChars="200"/>
    </w:pPr>
  </w:style>
  <w:style w:type="character" w:customStyle="1" w:styleId="68">
    <w:name w:val="列表段落 字符"/>
    <w:link w:val="67"/>
    <w:qFormat/>
    <w:uiPriority w:val="34"/>
    <w:rPr>
      <w:rFonts w:asciiTheme="minorHAnsi" w:hAnsiTheme="minorHAnsi" w:eastAsiaTheme="minorEastAsia" w:cstheme="minorBidi"/>
      <w:kern w:val="2"/>
      <w:sz w:val="21"/>
      <w:szCs w:val="24"/>
    </w:rPr>
  </w:style>
  <w:style w:type="paragraph" w:customStyle="1" w:styleId="69">
    <w:name w:val="潍柴文档正文一级标题"/>
    <w:basedOn w:val="1"/>
    <w:qFormat/>
    <w:uiPriority w:val="0"/>
    <w:pPr>
      <w:numPr>
        <w:ilvl w:val="0"/>
        <w:numId w:val="4"/>
      </w:numPr>
      <w:spacing w:line="360" w:lineRule="auto"/>
    </w:pPr>
    <w:rPr>
      <w:rFonts w:ascii="Times New Roman" w:hAnsi="Times New Roman" w:eastAsia="宋体" w:cs="Times New Roman"/>
      <w:sz w:val="24"/>
      <w:szCs w:val="22"/>
    </w:rPr>
  </w:style>
  <w:style w:type="character" w:customStyle="1" w:styleId="70">
    <w:name w:val="*正文 Char Char"/>
    <w:link w:val="71"/>
    <w:qFormat/>
    <w:locked/>
    <w:uiPriority w:val="0"/>
    <w:rPr>
      <w:rFonts w:ascii="宋体" w:hAnsi="宋体"/>
      <w:kern w:val="2"/>
      <w:sz w:val="24"/>
      <w:szCs w:val="24"/>
    </w:rPr>
  </w:style>
  <w:style w:type="paragraph" w:customStyle="1" w:styleId="71">
    <w:name w:val="*正文"/>
    <w:basedOn w:val="1"/>
    <w:link w:val="70"/>
    <w:qFormat/>
    <w:uiPriority w:val="0"/>
    <w:pPr>
      <w:spacing w:line="360" w:lineRule="auto"/>
      <w:ind w:firstLine="200" w:firstLineChars="200"/>
    </w:pPr>
    <w:rPr>
      <w:rFonts w:ascii="宋体" w:hAnsi="宋体" w:eastAsia="等线" w:cs="等线"/>
      <w:sz w:val="24"/>
    </w:rPr>
  </w:style>
  <w:style w:type="paragraph" w:customStyle="1" w:styleId="72">
    <w:name w:val="msolistparagraph"/>
    <w:basedOn w:val="1"/>
    <w:qFormat/>
    <w:uiPriority w:val="0"/>
    <w:pPr>
      <w:widowControl/>
      <w:spacing w:after="160" w:line="254" w:lineRule="auto"/>
      <w:ind w:left="720"/>
      <w:contextualSpacing/>
      <w:jc w:val="left"/>
    </w:pPr>
    <w:rPr>
      <w:rFonts w:ascii="Calibri" w:hAnsi="Calibri" w:eastAsia="宋体" w:cs="Times New Roman"/>
      <w:kern w:val="0"/>
      <w:sz w:val="22"/>
      <w:szCs w:val="22"/>
    </w:rPr>
  </w:style>
  <w:style w:type="paragraph" w:customStyle="1" w:styleId="73">
    <w:name w:val="列出段落1"/>
    <w:basedOn w:val="1"/>
    <w:qFormat/>
    <w:uiPriority w:val="34"/>
    <w:pPr>
      <w:ind w:firstLine="420" w:firstLineChars="200"/>
    </w:pPr>
    <w:rPr>
      <w:rFonts w:ascii="Calibri" w:hAnsi="Calibri" w:eastAsia="宋体" w:cs="Times New Roman"/>
      <w:szCs w:val="22"/>
    </w:rPr>
  </w:style>
  <w:style w:type="character" w:customStyle="1" w:styleId="74">
    <w:name w:val="未处理的提及1"/>
    <w:basedOn w:val="26"/>
    <w:semiHidden/>
    <w:unhideWhenUsed/>
    <w:qFormat/>
    <w:uiPriority w:val="99"/>
    <w:rPr>
      <w:color w:val="605E5C"/>
      <w:shd w:val="clear" w:color="auto" w:fill="E1DFDD"/>
    </w:rPr>
  </w:style>
  <w:style w:type="paragraph" w:customStyle="1" w:styleId="7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lang w:eastAsia="en-US"/>
    </w:rPr>
  </w:style>
  <w:style w:type="paragraph" w:customStyle="1" w:styleId="76">
    <w:name w:val="潍柴文档正文"/>
    <w:basedOn w:val="1"/>
    <w:link w:val="77"/>
    <w:qFormat/>
    <w:uiPriority w:val="0"/>
    <w:pPr>
      <w:spacing w:line="360" w:lineRule="auto"/>
      <w:ind w:firstLine="200" w:firstLineChars="200"/>
    </w:pPr>
    <w:rPr>
      <w:rFonts w:ascii="Times New Roman" w:hAnsi="Times New Roman" w:eastAsia="宋体" w:cs="Times New Roman"/>
      <w:sz w:val="24"/>
      <w:szCs w:val="22"/>
    </w:rPr>
  </w:style>
  <w:style w:type="character" w:customStyle="1" w:styleId="77">
    <w:name w:val="潍柴文档正文 Char"/>
    <w:link w:val="76"/>
    <w:qFormat/>
    <w:uiPriority w:val="0"/>
    <w:rPr>
      <w:rFonts w:ascii="Times New Roman" w:hAnsi="Times New Roman" w:eastAsia="宋体" w:cs="Times New Roman"/>
      <w:kern w:val="2"/>
      <w:sz w:val="24"/>
      <w:szCs w:val="22"/>
    </w:rPr>
  </w:style>
  <w:style w:type="paragraph" w:customStyle="1" w:styleId="78">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7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80">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8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1ACD3-24C2-48E7-B9ED-A11EFDF1D63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32</Pages>
  <Words>9737</Words>
  <Characters>10040</Characters>
  <Lines>93</Lines>
  <Paragraphs>26</Paragraphs>
  <TotalTime>147</TotalTime>
  <ScaleCrop>false</ScaleCrop>
  <LinksUpToDate>false</LinksUpToDate>
  <CharactersWithSpaces>10592</CharactersWithSpaces>
  <Application>WPS Office_11.1.0.11116_F1E327BC-269C-435d-A152-05C5408002CA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2022-02-07T17:34:00Z</dcterms:created>
  <dc:creator>陈茂圣</dc:creator>
  <cp:lastModifiedBy>高鹏</cp:lastModifiedBy>
  <cp:lastPrinted>2022-07-14T14:52:00Z</cp:lastPrinted>
  <dcterms:modified xsi:type="dcterms:W3CDTF">2025-01-06T07:41:27Z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A7F0F6735E67473A9072673CDD8E77C6</vt:lpwstr>
  </property>
</Properties>
</file>