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rPr>
          <w:rFonts w:hint="eastAsia" w:ascii="Calibri" w:hAnsi="宋体" w:eastAsia="宋体" w:cs="Times New Roman"/>
          <w:b/>
          <w:bCs/>
          <w:color w:val="000000"/>
          <w:spacing w:val="-8"/>
          <w:sz w:val="48"/>
          <w:szCs w:val="44"/>
          <w:lang w:eastAsia="zh-CN"/>
        </w:rPr>
      </w:pPr>
      <w:bookmarkStart w:id="0" w:name="OLE_LINK31"/>
      <w:bookmarkStart w:id="1" w:name="OLE_LINK30"/>
    </w:p>
    <w:p>
      <w:pPr>
        <w:pStyle w:val="20"/>
        <w:rPr>
          <w:rFonts w:hint="eastAsia" w:ascii="Calibri" w:hAnsi="宋体" w:eastAsia="宋体" w:cs="Times New Roman"/>
          <w:b/>
          <w:bCs/>
          <w:color w:val="000000"/>
          <w:spacing w:val="-8"/>
          <w:sz w:val="48"/>
          <w:szCs w:val="44"/>
          <w:lang w:eastAsia="zh-CN"/>
        </w:rPr>
      </w:pPr>
    </w:p>
    <w:p>
      <w:pPr>
        <w:pStyle w:val="20"/>
        <w:rPr>
          <w:rFonts w:hint="eastAsia" w:ascii="Calibri" w:hAnsi="宋体" w:eastAsia="宋体" w:cs="Times New Roman"/>
          <w:b/>
          <w:bCs/>
          <w:color w:val="000000"/>
          <w:spacing w:val="-8"/>
          <w:sz w:val="48"/>
          <w:szCs w:val="44"/>
          <w:lang w:eastAsia="zh-CN"/>
        </w:rPr>
      </w:pPr>
    </w:p>
    <w:p>
      <w:pPr>
        <w:pStyle w:val="20"/>
        <w:rPr>
          <w:rFonts w:hint="eastAsia" w:ascii="Calibri" w:hAnsi="宋体" w:eastAsia="宋体" w:cs="Times New Roman"/>
          <w:b/>
          <w:bCs/>
          <w:color w:val="000000"/>
          <w:spacing w:val="-8"/>
          <w:sz w:val="48"/>
          <w:szCs w:val="44"/>
          <w:lang w:eastAsia="zh-CN"/>
        </w:rPr>
      </w:pPr>
    </w:p>
    <w:p>
      <w:pPr>
        <w:pStyle w:val="20"/>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济南车桥公司前轮毂总成手动装配线</w:t>
      </w:r>
    </w:p>
    <w:p>
      <w:pPr>
        <w:pStyle w:val="20"/>
        <w:jc w:val="center"/>
        <w:rPr>
          <w:rFonts w:hint="eastAsia"/>
          <w:lang w:eastAsia="zh-CN"/>
        </w:rPr>
      </w:pPr>
      <w:r>
        <w:rPr>
          <w:rFonts w:hint="eastAsia" w:ascii="Calibri" w:hAnsi="宋体" w:eastAsia="宋体" w:cs="Times New Roman"/>
          <w:b/>
          <w:bCs/>
          <w:color w:val="000000"/>
          <w:spacing w:val="-8"/>
          <w:sz w:val="48"/>
          <w:szCs w:val="44"/>
          <w:lang w:eastAsia="zh-CN"/>
        </w:rPr>
        <w:t>能力提升技改项目</w:t>
      </w: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0"/>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12</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7"/>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0"/>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济南车桥公司前轮毂总成手动装配线能力提升技改项目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color w:val="auto"/>
                <w:sz w:val="24"/>
                <w:szCs w:val="24"/>
                <w:highlight w:val="yellow"/>
                <w:u w:val="single"/>
                <w:lang w:val="en-US" w:eastAsia="zh-CN"/>
              </w:rPr>
              <w:t>CGZX2024110242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color w:val="auto"/>
                <w:sz w:val="24"/>
                <w:szCs w:val="24"/>
                <w:highlight w:val="yellow"/>
                <w:u w:val="single"/>
                <w:lang w:val="en-US" w:eastAsia="zh-CN"/>
              </w:rPr>
              <w:t>：新增2台压力机和1台前轮毂总成ABS齿圈综合检测机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lang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w:t>
            </w:r>
            <w:r>
              <w:rPr>
                <w:rFonts w:hint="eastAsia" w:ascii="宋体" w:hAnsi="宋体" w:eastAsia="宋体" w:cs="宋体"/>
                <w:sz w:val="24"/>
                <w:szCs w:val="24"/>
                <w:highlight w:val="none"/>
                <w:u w:val="none"/>
              </w:rPr>
              <w:t>市</w:t>
            </w:r>
            <w:r>
              <w:rPr>
                <w:rFonts w:hint="eastAsia" w:ascii="宋体" w:hAnsi="宋体" w:eastAsia="宋体" w:cs="宋体"/>
                <w:sz w:val="24"/>
                <w:szCs w:val="24"/>
                <w:highlight w:val="none"/>
                <w:u w:val="none"/>
                <w:lang w:val="en-US" w:eastAsia="zh-CN"/>
              </w:rPr>
              <w:t>历城区</w:t>
            </w:r>
            <w:r>
              <w:rPr>
                <w:rFonts w:hint="eastAsia" w:ascii="宋体" w:hAnsi="宋体" w:eastAsia="宋体" w:cs="宋体"/>
                <w:sz w:val="24"/>
                <w:szCs w:val="24"/>
                <w:highlight w:val="none"/>
                <w:u w:val="none"/>
              </w:rPr>
              <w:t>华奥</w:t>
            </w:r>
            <w:r>
              <w:rPr>
                <w:rFonts w:hint="eastAsia" w:ascii="宋体" w:hAnsi="宋体" w:eastAsia="宋体" w:cs="宋体"/>
                <w:sz w:val="24"/>
                <w:szCs w:val="24"/>
                <w:highlight w:val="none"/>
                <w:u w:val="single"/>
              </w:rPr>
              <w:t>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商务</w:t>
            </w:r>
            <w:r>
              <w:rPr>
                <w:rFonts w:hint="eastAsia" w:ascii="宋体" w:hAnsi="宋体" w:eastAsia="宋体" w:cs="宋体"/>
                <w:b/>
                <w:snapToGrid w:val="0"/>
                <w:kern w:val="0"/>
                <w:sz w:val="24"/>
                <w:szCs w:val="24"/>
                <w:highlight w:val="yellow"/>
              </w:rPr>
              <w:t>联系人：</w:t>
            </w:r>
            <w:r>
              <w:rPr>
                <w:rFonts w:hint="eastAsia" w:ascii="宋体" w:hAnsi="宋体" w:eastAsia="宋体" w:cs="宋体"/>
                <w:bCs/>
                <w:snapToGrid w:val="0"/>
                <w:kern w:val="0"/>
                <w:sz w:val="24"/>
                <w:szCs w:val="24"/>
                <w:highlight w:val="yellow"/>
                <w:lang w:val="en-US" w:eastAsia="zh-CN"/>
              </w:rPr>
              <w:t>赵翊旭</w:t>
            </w:r>
          </w:p>
          <w:p>
            <w:pPr>
              <w:pStyle w:val="20"/>
              <w:ind w:firstLine="482" w:firstLineChars="200"/>
              <w:rPr>
                <w:rFonts w:hint="default"/>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Cs/>
                <w:snapToGrid w:val="0"/>
                <w:kern w:val="0"/>
                <w:sz w:val="24"/>
                <w:szCs w:val="24"/>
                <w:highlight w:val="yellow"/>
                <w:lang w:val="en-US" w:eastAsia="zh-CN"/>
              </w:rPr>
              <w:t>15165052573</w:t>
            </w:r>
          </w:p>
          <w:p>
            <w:pPr>
              <w:ind w:firstLine="482" w:firstLineChars="200"/>
              <w:rPr>
                <w:rFonts w:hint="eastAsia" w:ascii="宋体" w:hAnsi="宋体" w:eastAsia="宋体" w:cs="宋体"/>
                <w:b/>
                <w:snapToGrid w:val="0"/>
                <w:kern w:val="0"/>
                <w:sz w:val="24"/>
                <w:szCs w:val="24"/>
                <w:highlight w:val="yellow"/>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Cs/>
                <w:snapToGrid w:val="0"/>
                <w:kern w:val="0"/>
                <w:sz w:val="24"/>
                <w:szCs w:val="24"/>
                <w:highlight w:val="yellow"/>
                <w:lang w:val="en-US" w:eastAsia="zh-CN"/>
              </w:rPr>
              <w:t>zhaoyixu@sinotruk.com</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w:t>
            </w:r>
            <w:r>
              <w:rPr>
                <w:rFonts w:hint="eastAsia" w:ascii="宋体" w:hAnsi="宋体" w:eastAsia="宋体" w:cs="宋体"/>
                <w:b/>
                <w:snapToGrid w:val="0"/>
                <w:kern w:val="0"/>
                <w:sz w:val="24"/>
                <w:szCs w:val="24"/>
                <w:highlight w:val="yellow"/>
              </w:rPr>
              <w:t>联系人：</w:t>
            </w:r>
            <w:r>
              <w:rPr>
                <w:rFonts w:hint="eastAsia" w:ascii="宋体" w:hAnsi="宋体" w:eastAsia="宋体" w:cs="宋体"/>
                <w:b w:val="0"/>
                <w:bCs/>
                <w:snapToGrid w:val="0"/>
                <w:kern w:val="0"/>
                <w:sz w:val="24"/>
                <w:szCs w:val="24"/>
                <w:highlight w:val="yellow"/>
                <w:lang w:eastAsia="zh-CN"/>
              </w:rPr>
              <w:t>雷鸣亚</w:t>
            </w:r>
          </w:p>
          <w:p>
            <w:pPr>
              <w:pStyle w:val="20"/>
              <w:ind w:firstLine="482" w:firstLineChars="200"/>
              <w:rPr>
                <w:rFonts w:hint="default"/>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Cs/>
                <w:snapToGrid w:val="0"/>
                <w:kern w:val="0"/>
                <w:sz w:val="24"/>
                <w:szCs w:val="24"/>
                <w:highlight w:val="yellow"/>
                <w:lang w:val="en-US" w:eastAsia="zh-CN"/>
              </w:rPr>
              <w:t>15165020772</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val="0"/>
                <w:bCs/>
                <w:snapToGrid w:val="0"/>
                <w:kern w:val="0"/>
                <w:sz w:val="24"/>
                <w:szCs w:val="24"/>
                <w:highlight w:val="yellow"/>
                <w:lang w:val="en-US" w:eastAsia="zh-CN"/>
              </w:rPr>
              <w:t>leimingya@sinotruk.com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20"/>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102</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bCs/>
                <w:color w:val="000000"/>
                <w:sz w:val="24"/>
                <w:szCs w:val="24"/>
                <w:highlight w:val="yellow"/>
                <w:u w:val="single"/>
                <w:lang w:val="en-US" w:eastAsia="zh-CN"/>
              </w:rPr>
              <w:t>150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0"/>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21</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20"/>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20"/>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20"/>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20"/>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20"/>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20"/>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20</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21</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12</w:t>
            </w:r>
            <w:r>
              <w:rPr>
                <w:rFonts w:hint="eastAsia" w:eastAsia="宋体" w:cs="宋体"/>
                <w:highlight w:val="yellow"/>
              </w:rPr>
              <w:t>月</w:t>
            </w:r>
            <w:r>
              <w:rPr>
                <w:rFonts w:hint="eastAsia" w:eastAsia="宋体" w:cs="宋体"/>
                <w:highlight w:val="yellow"/>
                <w:lang w:val="en-US" w:eastAsia="zh-CN"/>
              </w:rPr>
              <w:t>25</w:t>
            </w:r>
            <w:r>
              <w:rPr>
                <w:rFonts w:hint="eastAsia" w:eastAsia="宋体" w:cs="宋体"/>
                <w:highlight w:val="yellow"/>
              </w:rPr>
              <w:t>日</w:t>
            </w:r>
            <w:r>
              <w:rPr>
                <w:rFonts w:hint="eastAsia" w:eastAsia="宋体" w:cs="宋体"/>
                <w:highlight w:val="yellow"/>
                <w:lang w:val="en-US" w:eastAsia="zh-CN"/>
              </w:rPr>
              <w:t>17时00分00秒</w:t>
            </w:r>
          </w:p>
          <w:p>
            <w:pPr>
              <w:pStyle w:val="117"/>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2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2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hAnsi="宋体" w:eastAsia="宋体" w:cs="Times New Roman"/>
                <w:b w:val="0"/>
                <w:bCs w:val="0"/>
                <w:color w:val="000000"/>
                <w:sz w:val="24"/>
                <w:szCs w:val="24"/>
                <w:highlight w:val="yellow"/>
                <w:lang w:val="en-US" w:eastAsia="zh-CN"/>
              </w:rPr>
              <w:t>赵翊旭</w:t>
            </w:r>
            <w:r>
              <w:rPr>
                <w:rFonts w:hint="eastAsia" w:ascii="Times New Roman" w:hAnsi="Times New Roman" w:eastAsia="宋体" w:cs="Times New Roman"/>
                <w:b w:val="0"/>
                <w:bCs w:val="0"/>
                <w:color w:val="000000"/>
                <w:sz w:val="24"/>
                <w:szCs w:val="24"/>
                <w:highlight w:val="yellow"/>
                <w:lang w:val="en-US" w:eastAsia="zh-CN"/>
              </w:rPr>
              <w:t>/15165052573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0"/>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27</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20"/>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color w:val="auto"/>
                <w:sz w:val="24"/>
                <w:szCs w:val="24"/>
                <w:highlight w:val="yellow"/>
                <w:lang w:val="en-US" w:eastAsia="zh-CN"/>
              </w:rPr>
              <w:t>20000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b/>
                <w:bCs/>
                <w:sz w:val="24"/>
                <w:szCs w:val="24"/>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25</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27</w:t>
            </w:r>
            <w:bookmarkStart w:id="1529" w:name="_GoBack"/>
            <w:bookmarkEnd w:id="1529"/>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自合同签定生效之日起，180个日历日之内交货至供货地点。</w:t>
            </w:r>
          </w:p>
          <w:p>
            <w:pPr>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接续30个日历日之内安装调试完毕。</w:t>
            </w:r>
          </w:p>
          <w:p>
            <w:pPr>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接续30个日历日之内完成终验收。</w:t>
            </w:r>
          </w:p>
          <w:p>
            <w:pPr>
              <w:ind w:firstLine="480" w:firstLineChars="200"/>
              <w:rPr>
                <w:rFonts w:hAnsi="宋体" w:eastAsia="宋体" w:cs="宋体"/>
                <w:color w:val="000000"/>
                <w:sz w:val="24"/>
                <w:szCs w:val="24"/>
              </w:rPr>
            </w:pPr>
            <w:r>
              <w:rPr>
                <w:rFonts w:hint="eastAsia" w:ascii="宋体" w:hAnsi="宋体" w:eastAsia="宋体" w:cs="宋体"/>
                <w:color w:val="000000"/>
                <w:sz w:val="24"/>
                <w:szCs w:val="24"/>
                <w:highlight w:val="yellow"/>
                <w:lang w:val="en-US" w:eastAsia="zh-CN"/>
              </w:rPr>
              <w:t>安装调试工期超过20个日历日的，投标人应当随标书提供详细的工期计划。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keepNext w:val="0"/>
              <w:keepLines w:val="0"/>
              <w:widowControl/>
              <w:suppressLineNumbers w:val="0"/>
              <w:ind w:firstLine="482" w:firstLineChars="200"/>
              <w:jc w:val="left"/>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lang w:val="en-US" w:eastAsia="zh-CN"/>
              </w:rPr>
              <w:t>重汽(济南)车桥有限公司。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0"/>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highlight w:val="yellow"/>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（1）合同生效后, 卖方提交金额为合同含税价款</w:t>
            </w:r>
            <w:r>
              <w:rPr>
                <w:rFonts w:hint="eastAsia" w:ascii="宋体" w:hAnsi="宋体" w:eastAsia="宋体" w:cs="宋体"/>
                <w:b/>
                <w:bCs/>
                <w:color w:val="000000"/>
                <w:sz w:val="24"/>
                <w:szCs w:val="24"/>
                <w:highlight w:val="yellow"/>
              </w:rPr>
              <w:t>30%</w:t>
            </w:r>
            <w:r>
              <w:rPr>
                <w:rFonts w:hint="eastAsia" w:ascii="宋体" w:hAnsi="宋体" w:eastAsia="宋体" w:cs="宋体"/>
                <w:color w:val="000000"/>
                <w:sz w:val="24"/>
                <w:szCs w:val="24"/>
                <w:highlight w:val="yellow"/>
              </w:rPr>
              <w:t>的收据及合同全额30%增值税专用发票（税率为13 %，正本一份，复印件二份），经买方依照财务制度审核无误后【30】日后支付。</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（2）合同生效设备全部到齐无质量问题通过买方初步验收后, 卖方提交金额为合同含税价款</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highlight w:val="yellow"/>
              </w:rPr>
              <w:t>0%</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rPr>
              <w:t>0%增值税专用发票（税率为13 %，正本一份，复印件二份），经买方依照财务制度审核无误后【30】日后支付。</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（3）设备全部到齐无质量问题，经安装、调试最终验收合格后，卖方提交金额为合同含税价款</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highlight w:val="yellow"/>
              </w:rPr>
              <w:t>0 %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4</w:t>
            </w:r>
            <w:r>
              <w:rPr>
                <w:rFonts w:hint="eastAsia" w:ascii="宋体" w:hAnsi="宋体" w:eastAsia="宋体" w:cs="宋体"/>
                <w:color w:val="000000"/>
                <w:sz w:val="24"/>
                <w:szCs w:val="24"/>
                <w:highlight w:val="yellow"/>
              </w:rPr>
              <w:t>0%增值税专用发票（税率为13 %，正本一份，复印件二份）并附带该套合同设备最终验收报告的原件及其复印件两份，经买方依照财务制度审核无误后【30】日后支付。</w:t>
            </w:r>
          </w:p>
          <w:p>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rPr>
              <w:t>（3）合同含税总价款的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名称：中国重汽集团济南动力有限公司</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纳税人识别号：91370100787411873C</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开户行：中国银行章丘支行</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yellow"/>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4"/>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7"/>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20"/>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0"/>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hAnsi="宋体" w:eastAsia="宋体" w:cs="宋体"/>
          <w:color w:val="000000"/>
          <w:sz w:val="24"/>
          <w:szCs w:val="24"/>
          <w:highlight w:val="yellow"/>
          <w:lang w:eastAsia="zh-CN"/>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2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7"/>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627"/>
      <w:bookmarkStart w:id="7" w:name="_Toc33266914"/>
      <w:bookmarkStart w:id="8" w:name="_Toc33266950"/>
      <w:bookmarkStart w:id="9" w:name="_Toc33267001"/>
      <w:bookmarkStart w:id="10" w:name="_Toc33265653"/>
      <w:bookmarkStart w:id="11" w:name="_Toc33285487"/>
      <w:bookmarkStart w:id="12" w:name="_Toc33265752"/>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5753"/>
      <w:bookmarkStart w:id="15" w:name="_Toc33266628"/>
      <w:bookmarkStart w:id="16" w:name="_Toc33266915"/>
      <w:bookmarkStart w:id="17" w:name="_Toc33285489"/>
      <w:bookmarkStart w:id="18" w:name="_Toc33267002"/>
      <w:bookmarkStart w:id="19" w:name="_Toc33265654"/>
      <w:bookmarkStart w:id="20" w:name="_Toc395116634"/>
      <w:bookmarkStart w:id="21" w:name="_Toc33266951"/>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6"/>
      <w:bookmarkStart w:id="24" w:name="OLE_LINK29"/>
      <w:bookmarkStart w:id="25" w:name="OLE_LINK27"/>
      <w:bookmarkStart w:id="26" w:name="OLE_LINK25"/>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0"/>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20"/>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auto"/>
          <w:sz w:val="24"/>
          <w:szCs w:val="24"/>
          <w:highlight w:val="yellow"/>
        </w:rPr>
        <w:t>包括所代理品牌</w:t>
      </w:r>
      <w:r>
        <w:rPr>
          <w:rFonts w:hint="eastAsia" w:hAnsi="宋体" w:eastAsia="宋体" w:cs="宋体"/>
          <w:color w:val="auto"/>
          <w:sz w:val="24"/>
          <w:szCs w:val="24"/>
          <w:highlight w:val="yellow"/>
          <w:lang w:eastAsia="zh-CN"/>
        </w:rPr>
        <w:t>针对本项目唯一</w:t>
      </w:r>
      <w:r>
        <w:rPr>
          <w:rFonts w:hint="eastAsia" w:hAnsi="宋体" w:eastAsia="宋体" w:cs="宋体"/>
          <w:color w:val="auto"/>
          <w:sz w:val="24"/>
          <w:szCs w:val="24"/>
          <w:highlight w:val="yellow"/>
        </w:rPr>
        <w:t>的授权书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pPr>
        <w:pStyle w:val="20"/>
      </w:pPr>
    </w:p>
    <w:p>
      <w:pPr>
        <w:keepNext/>
        <w:keepLines/>
        <w:jc w:val="center"/>
        <w:outlineLvl w:val="0"/>
        <w:rPr>
          <w:rFonts w:ascii="Calibri" w:hAnsi="Calibri" w:eastAsia="宋体" w:cs="Times New Roman"/>
          <w:b/>
          <w:bCs/>
          <w:kern w:val="44"/>
          <w:sz w:val="36"/>
          <w:szCs w:val="44"/>
        </w:rPr>
      </w:pPr>
    </w:p>
    <w:p>
      <w:pPr>
        <w:spacing w:line="480" w:lineRule="exact"/>
        <w:ind w:firstLine="377" w:firstLineChars="118"/>
        <w:rPr>
          <w:rFonts w:ascii="仿宋" w:hAnsi="仿宋" w:eastAsia="仿宋" w:cs="仿宋"/>
          <w:sz w:val="32"/>
          <w:szCs w:val="32"/>
        </w:rPr>
      </w:pPr>
      <w:r>
        <w:rPr>
          <w:rFonts w:hint="eastAsia" w:ascii="仿宋" w:hAnsi="仿宋" w:eastAsia="仿宋" w:cs="仿宋"/>
          <w:sz w:val="32"/>
          <w:szCs w:val="32"/>
        </w:rPr>
        <w:t>项目名称：</w:t>
      </w:r>
      <w:r>
        <w:rPr>
          <w:rFonts w:hint="eastAsia" w:ascii="仿宋" w:hAnsi="仿宋" w:eastAsia="仿宋" w:cs="仿宋"/>
          <w:bCs/>
          <w:sz w:val="32"/>
          <w:szCs w:val="32"/>
          <w:u w:val="single"/>
        </w:rPr>
        <w:t xml:space="preserve"> 前轮毂手动装配线能力提升</w:t>
      </w:r>
      <w:r>
        <w:rPr>
          <w:rFonts w:hint="eastAsia" w:ascii="仿宋" w:hAnsi="仿宋" w:eastAsia="仿宋" w:cs="仿宋"/>
          <w:sz w:val="32"/>
          <w:szCs w:val="32"/>
          <w:u w:val="single"/>
        </w:rPr>
        <w:t xml:space="preserve"> </w:t>
      </w:r>
    </w:p>
    <w:p>
      <w:pPr>
        <w:spacing w:line="480" w:lineRule="exact"/>
        <w:ind w:firstLine="377" w:firstLineChars="118"/>
        <w:rPr>
          <w:rFonts w:ascii="仿宋" w:hAnsi="仿宋" w:eastAsia="仿宋" w:cs="仿宋"/>
          <w:sz w:val="32"/>
          <w:szCs w:val="32"/>
          <w:u w:val="single"/>
        </w:rPr>
      </w:pPr>
    </w:p>
    <w:p>
      <w:pPr>
        <w:spacing w:line="480" w:lineRule="exact"/>
        <w:ind w:firstLine="377" w:firstLineChars="118"/>
        <w:rPr>
          <w:rFonts w:ascii="仿宋" w:hAnsi="仿宋" w:eastAsia="仿宋" w:cs="仿宋"/>
          <w:sz w:val="32"/>
          <w:szCs w:val="32"/>
        </w:rPr>
      </w:pPr>
    </w:p>
    <w:p>
      <w:pPr>
        <w:spacing w:line="480" w:lineRule="exact"/>
        <w:ind w:firstLine="377" w:firstLineChars="118"/>
        <w:rPr>
          <w:rFonts w:ascii="仿宋" w:hAnsi="仿宋" w:eastAsia="仿宋" w:cs="仿宋"/>
          <w:sz w:val="32"/>
          <w:szCs w:val="32"/>
        </w:rPr>
      </w:pPr>
    </w:p>
    <w:p>
      <w:pPr>
        <w:spacing w:line="480" w:lineRule="exact"/>
        <w:ind w:firstLine="320" w:firstLineChars="100"/>
        <w:rPr>
          <w:rFonts w:ascii="仿宋" w:hAnsi="仿宋" w:eastAsia="仿宋" w:cs="仿宋"/>
          <w:sz w:val="32"/>
          <w:szCs w:val="32"/>
        </w:rPr>
      </w:pPr>
      <w:r>
        <w:rPr>
          <w:rFonts w:hint="eastAsia" w:ascii="仿宋" w:hAnsi="仿宋" w:eastAsia="仿宋" w:cs="仿宋"/>
          <w:sz w:val="32"/>
          <w:szCs w:val="32"/>
        </w:rPr>
        <w:t>货物名称：</w:t>
      </w:r>
      <w:r>
        <w:rPr>
          <w:rFonts w:hint="eastAsia" w:ascii="仿宋" w:hAnsi="仿宋" w:eastAsia="仿宋" w:cs="仿宋"/>
          <w:bCs/>
          <w:sz w:val="32"/>
          <w:szCs w:val="32"/>
          <w:u w:val="single"/>
        </w:rPr>
        <w:t>压力机和ABS齿圈综合检测机</w:t>
      </w:r>
    </w:p>
    <w:p>
      <w:pPr>
        <w:spacing w:line="480" w:lineRule="exact"/>
        <w:ind w:firstLine="377" w:firstLineChars="118"/>
        <w:rPr>
          <w:rFonts w:ascii="仿宋" w:hAnsi="仿宋" w:eastAsia="仿宋" w:cs="仿宋"/>
          <w:sz w:val="32"/>
          <w:szCs w:val="32"/>
          <w:u w:val="single"/>
        </w:rPr>
      </w:pPr>
    </w:p>
    <w:p>
      <w:pPr>
        <w:spacing w:line="480" w:lineRule="exact"/>
        <w:ind w:firstLine="377" w:firstLineChars="118"/>
        <w:rPr>
          <w:rFonts w:ascii="仿宋" w:hAnsi="仿宋" w:eastAsia="仿宋" w:cs="仿宋"/>
          <w:sz w:val="32"/>
          <w:szCs w:val="32"/>
          <w:u w:val="single"/>
        </w:rPr>
      </w:pPr>
    </w:p>
    <w:p>
      <w:pPr>
        <w:spacing w:line="480" w:lineRule="exact"/>
        <w:ind w:firstLine="377" w:firstLineChars="118"/>
        <w:rPr>
          <w:rFonts w:ascii="仿宋" w:hAnsi="仿宋" w:eastAsia="仿宋" w:cs="仿宋"/>
          <w:sz w:val="32"/>
          <w:szCs w:val="32"/>
          <w:u w:val="single"/>
        </w:rPr>
      </w:pPr>
    </w:p>
    <w:p>
      <w:pPr>
        <w:spacing w:line="480" w:lineRule="exact"/>
        <w:ind w:firstLine="377" w:firstLineChars="118"/>
        <w:rPr>
          <w:rFonts w:ascii="仿宋" w:hAnsi="仿宋" w:eastAsia="仿宋" w:cs="仿宋"/>
          <w:sz w:val="32"/>
          <w:szCs w:val="32"/>
          <w:u w:val="single"/>
        </w:rPr>
      </w:pPr>
    </w:p>
    <w:p>
      <w:pPr>
        <w:spacing w:line="480" w:lineRule="exact"/>
        <w:ind w:firstLine="377" w:firstLineChars="118"/>
        <w:rPr>
          <w:rFonts w:ascii="仿宋" w:hAnsi="仿宋" w:eastAsia="仿宋" w:cs="仿宋"/>
          <w:sz w:val="32"/>
          <w:szCs w:val="32"/>
          <w:u w:val="single"/>
        </w:rPr>
      </w:pPr>
    </w:p>
    <w:p>
      <w:pPr>
        <w:spacing w:line="480" w:lineRule="exact"/>
        <w:ind w:firstLine="377" w:firstLineChars="118"/>
        <w:rPr>
          <w:rFonts w:ascii="仿宋" w:hAnsi="仿宋" w:eastAsia="仿宋" w:cs="仿宋"/>
          <w:sz w:val="32"/>
          <w:szCs w:val="32"/>
          <w:u w:val="single"/>
        </w:rPr>
      </w:pPr>
    </w:p>
    <w:p>
      <w:pPr>
        <w:spacing w:line="480" w:lineRule="exact"/>
        <w:ind w:firstLine="377" w:firstLineChars="118"/>
        <w:rPr>
          <w:rFonts w:ascii="仿宋" w:hAnsi="仿宋" w:eastAsia="仿宋" w:cs="仿宋"/>
          <w:sz w:val="32"/>
          <w:szCs w:val="32"/>
          <w:u w:val="single"/>
        </w:rPr>
      </w:pPr>
    </w:p>
    <w:p>
      <w:pPr>
        <w:spacing w:line="480" w:lineRule="exact"/>
        <w:ind w:firstLine="377" w:firstLineChars="118"/>
        <w:rPr>
          <w:rFonts w:ascii="仿宋" w:hAnsi="仿宋" w:eastAsia="仿宋" w:cs="仿宋"/>
          <w:sz w:val="32"/>
          <w:szCs w:val="32"/>
          <w:u w:val="single"/>
        </w:rPr>
      </w:pPr>
    </w:p>
    <w:p>
      <w:pPr>
        <w:spacing w:line="480" w:lineRule="exact"/>
        <w:ind w:firstLine="377" w:firstLineChars="118"/>
        <w:rPr>
          <w:rFonts w:ascii="仿宋" w:hAnsi="仿宋" w:eastAsia="仿宋" w:cs="仿宋"/>
          <w:sz w:val="32"/>
          <w:szCs w:val="32"/>
          <w:u w:val="single"/>
        </w:rPr>
      </w:pPr>
    </w:p>
    <w:p>
      <w:pPr>
        <w:tabs>
          <w:tab w:val="left" w:pos="3675"/>
        </w:tabs>
        <w:spacing w:line="480" w:lineRule="exact"/>
        <w:ind w:firstLine="377" w:firstLineChars="118"/>
        <w:rPr>
          <w:rFonts w:ascii="仿宋" w:hAnsi="仿宋" w:eastAsia="仿宋" w:cs="仿宋"/>
          <w:sz w:val="32"/>
          <w:szCs w:val="32"/>
          <w:u w:val="single"/>
        </w:rPr>
      </w:pPr>
    </w:p>
    <w:p>
      <w:pPr>
        <w:tabs>
          <w:tab w:val="left" w:pos="3675"/>
        </w:tabs>
        <w:spacing w:line="480" w:lineRule="exact"/>
        <w:ind w:firstLine="377" w:firstLineChars="118"/>
        <w:rPr>
          <w:rFonts w:ascii="仿宋" w:hAnsi="仿宋" w:eastAsia="仿宋" w:cs="仿宋"/>
          <w:sz w:val="32"/>
          <w:szCs w:val="32"/>
        </w:rPr>
      </w:pPr>
    </w:p>
    <w:p>
      <w:pPr>
        <w:spacing w:line="480" w:lineRule="exact"/>
        <w:ind w:firstLine="377" w:firstLineChars="118"/>
        <w:rPr>
          <w:rFonts w:ascii="仿宋" w:hAnsi="仿宋" w:eastAsia="仿宋" w:cs="仿宋"/>
          <w:sz w:val="32"/>
          <w:szCs w:val="32"/>
        </w:rPr>
      </w:pPr>
    </w:p>
    <w:p>
      <w:pPr>
        <w:spacing w:line="480" w:lineRule="exact"/>
        <w:ind w:firstLine="377" w:firstLineChars="118"/>
        <w:jc w:val="center"/>
        <w:rPr>
          <w:rFonts w:ascii="仿宋" w:hAnsi="仿宋" w:eastAsia="仿宋" w:cs="仿宋"/>
          <w:sz w:val="32"/>
          <w:szCs w:val="32"/>
        </w:rPr>
      </w:pPr>
      <w:r>
        <w:rPr>
          <w:rFonts w:hint="eastAsia" w:ascii="仿宋" w:hAnsi="仿宋" w:eastAsia="仿宋" w:cs="仿宋"/>
          <w:sz w:val="32"/>
          <w:szCs w:val="32"/>
        </w:rPr>
        <w:t>项目单位技术负责人签名：</w:t>
      </w:r>
    </w:p>
    <w:p>
      <w:pPr>
        <w:spacing w:line="480" w:lineRule="exact"/>
        <w:ind w:firstLine="377" w:firstLineChars="118"/>
        <w:jc w:val="center"/>
        <w:rPr>
          <w:rFonts w:ascii="仿宋" w:hAnsi="仿宋" w:eastAsia="仿宋" w:cs="仿宋"/>
          <w:sz w:val="32"/>
          <w:szCs w:val="32"/>
        </w:rPr>
      </w:pPr>
    </w:p>
    <w:p>
      <w:pPr>
        <w:spacing w:line="480" w:lineRule="exact"/>
        <w:ind w:firstLine="377" w:firstLineChars="118"/>
        <w:jc w:val="center"/>
        <w:rPr>
          <w:rFonts w:ascii="仿宋" w:hAnsi="仿宋" w:eastAsia="仿宋" w:cs="仿宋"/>
          <w:sz w:val="32"/>
          <w:szCs w:val="32"/>
        </w:rPr>
      </w:pPr>
    </w:p>
    <w:p>
      <w:pPr>
        <w:spacing w:line="480" w:lineRule="exact"/>
        <w:ind w:firstLine="377" w:firstLineChars="118"/>
        <w:jc w:val="center"/>
        <w:rPr>
          <w:rFonts w:ascii="仿宋" w:hAnsi="仿宋" w:eastAsia="仿宋" w:cs="仿宋"/>
          <w:sz w:val="32"/>
          <w:szCs w:val="32"/>
        </w:rPr>
      </w:pPr>
      <w:r>
        <w:rPr>
          <w:rFonts w:hint="eastAsia" w:ascii="仿宋" w:hAnsi="仿宋" w:eastAsia="仿宋" w:cs="仿宋"/>
          <w:sz w:val="32"/>
          <w:szCs w:val="32"/>
        </w:rPr>
        <w:t>时间： 2024年11 月23 日</w:t>
      </w:r>
    </w:p>
    <w:p>
      <w:pPr>
        <w:spacing w:line="480" w:lineRule="exact"/>
        <w:ind w:firstLine="377" w:firstLineChars="118"/>
        <w:jc w:val="center"/>
        <w:rPr>
          <w:rFonts w:ascii="仿宋" w:hAnsi="仿宋" w:eastAsia="仿宋" w:cs="仿宋"/>
          <w:sz w:val="32"/>
          <w:szCs w:val="32"/>
        </w:rPr>
      </w:pPr>
    </w:p>
    <w:p>
      <w:pPr>
        <w:spacing w:line="480" w:lineRule="exact"/>
        <w:ind w:firstLine="377" w:firstLineChars="118"/>
        <w:jc w:val="center"/>
        <w:rPr>
          <w:rFonts w:ascii="仿宋" w:hAnsi="仿宋" w:eastAsia="仿宋" w:cs="仿宋"/>
          <w:sz w:val="32"/>
          <w:szCs w:val="32"/>
        </w:rPr>
      </w:pPr>
    </w:p>
    <w:p>
      <w:pPr>
        <w:spacing w:line="480" w:lineRule="exact"/>
        <w:rPr>
          <w:rFonts w:ascii="仿宋" w:hAnsi="仿宋" w:eastAsia="仿宋" w:cs="仿宋"/>
          <w:sz w:val="32"/>
          <w:szCs w:val="32"/>
        </w:rPr>
      </w:pPr>
    </w:p>
    <w:p>
      <w:pPr>
        <w:spacing w:line="480" w:lineRule="exact"/>
        <w:ind w:firstLine="377" w:firstLineChars="118"/>
        <w:jc w:val="center"/>
        <w:rPr>
          <w:rFonts w:ascii="仿宋" w:hAnsi="仿宋" w:eastAsia="仿宋" w:cs="仿宋"/>
          <w:sz w:val="32"/>
          <w:szCs w:val="32"/>
        </w:rPr>
      </w:pPr>
      <w:r>
        <w:rPr>
          <w:rFonts w:hint="eastAsia" w:ascii="仿宋" w:hAnsi="仿宋" w:eastAsia="仿宋" w:cs="仿宋"/>
          <w:sz w:val="32"/>
          <w:szCs w:val="32"/>
        </w:rPr>
        <w:t>（项目单位公章）</w:t>
      </w:r>
    </w:p>
    <w:p>
      <w:pPr>
        <w:spacing w:line="480" w:lineRule="exact"/>
        <w:ind w:firstLine="247" w:firstLineChars="118"/>
        <w:rPr>
          <w:rFonts w:ascii="仿宋" w:hAnsi="仿宋" w:eastAsia="仿宋" w:cs="仿宋"/>
          <w:i/>
          <w:iCs/>
        </w:rPr>
      </w:pPr>
      <w:r>
        <w:rPr>
          <w:rFonts w:hint="eastAsia" w:ascii="仿宋" w:hAnsi="仿宋" w:eastAsia="仿宋" w:cs="仿宋"/>
          <w:i/>
          <w:iCs/>
        </w:rPr>
        <w:t xml:space="preserve"> </w:t>
      </w:r>
    </w:p>
    <w:p>
      <w:pPr>
        <w:jc w:val="center"/>
        <w:rPr>
          <w:rFonts w:ascii="仿宋" w:hAnsi="仿宋" w:eastAsia="仿宋" w:cs="仿宋"/>
        </w:rPr>
        <w:sectPr>
          <w:headerReference r:id="rId9" w:type="default"/>
          <w:footerReference r:id="rId10" w:type="default"/>
          <w:pgSz w:w="11906" w:h="16838"/>
          <w:pgMar w:top="1383" w:right="1797" w:bottom="1440" w:left="1797" w:header="1021" w:footer="680" w:gutter="0"/>
          <w:pgNumType w:start="1" w:chapStyle="1"/>
          <w:cols w:space="720" w:num="1"/>
          <w:docGrid w:type="lines" w:linePitch="326" w:charSpace="0"/>
        </w:sectPr>
      </w:pPr>
    </w:p>
    <w:p>
      <w:pPr>
        <w:pStyle w:val="129"/>
        <w:spacing w:line="360" w:lineRule="auto"/>
        <w:jc w:val="center"/>
        <w:rPr>
          <w:rFonts w:ascii="仿宋" w:hAnsi="仿宋" w:eastAsia="仿宋"/>
          <w:b/>
          <w:bCs/>
          <w:color w:val="auto"/>
          <w:sz w:val="24"/>
          <w:szCs w:val="24"/>
        </w:rPr>
      </w:pPr>
      <w:bookmarkStart w:id="33" w:name="_Toc13605"/>
      <w:bookmarkStart w:id="34" w:name="_Toc32378"/>
      <w:bookmarkStart w:id="35" w:name="_Toc16358"/>
      <w:bookmarkStart w:id="36" w:name="_Toc4483"/>
      <w:bookmarkStart w:id="37" w:name="_Toc3372"/>
      <w:bookmarkStart w:id="38" w:name="_Toc7110"/>
      <w:bookmarkStart w:id="39" w:name="_Toc8202"/>
      <w:bookmarkStart w:id="40" w:name="_Toc18182"/>
      <w:bookmarkStart w:id="41" w:name="_Toc12714"/>
      <w:bookmarkStart w:id="42" w:name="_Toc13988"/>
      <w:bookmarkStart w:id="43" w:name="_Toc18805"/>
      <w:bookmarkStart w:id="44" w:name="_Toc21497"/>
      <w:bookmarkStart w:id="45" w:name="_Toc6346"/>
      <w:bookmarkStart w:id="46" w:name="_Toc24913"/>
      <w:bookmarkStart w:id="47" w:name="_Toc30738"/>
      <w:bookmarkStart w:id="48" w:name="_Toc13555"/>
      <w:bookmarkStart w:id="49" w:name="_Toc13562"/>
      <w:bookmarkStart w:id="50" w:name="_Toc28236"/>
      <w:bookmarkStart w:id="51" w:name="_Toc4532"/>
      <w:bookmarkStart w:id="52" w:name="_Toc8032"/>
      <w:bookmarkStart w:id="53" w:name="_Toc18606"/>
      <w:bookmarkStart w:id="54" w:name="_Toc133783966"/>
      <w:bookmarkStart w:id="55" w:name="_Toc12563"/>
      <w:bookmarkStart w:id="56" w:name="_Toc1884"/>
      <w:bookmarkStart w:id="57" w:name="_Toc12552"/>
      <w:bookmarkStart w:id="58" w:name="_Toc19672"/>
      <w:bookmarkStart w:id="59" w:name="_Toc22649"/>
      <w:bookmarkStart w:id="60" w:name="_Toc20467"/>
      <w:bookmarkStart w:id="61" w:name="_Toc7511"/>
      <w:bookmarkStart w:id="62" w:name="_Toc3565"/>
      <w:bookmarkStart w:id="63" w:name="_Toc14517"/>
      <w:bookmarkStart w:id="64" w:name="_Toc24964"/>
      <w:bookmarkStart w:id="65" w:name="_Toc4194"/>
      <w:bookmarkStart w:id="66" w:name="_Toc11355"/>
      <w:bookmarkStart w:id="67" w:name="_Toc23870"/>
      <w:r>
        <w:rPr>
          <w:rFonts w:ascii="仿宋" w:hAnsi="仿宋" w:eastAsia="仿宋"/>
          <w:b/>
          <w:bCs/>
          <w:color w:val="auto"/>
          <w:sz w:val="24"/>
          <w:szCs w:val="24"/>
          <w:lang w:val="zh-CN"/>
        </w:rPr>
        <w:t>目录</w:t>
      </w:r>
    </w:p>
    <w:p>
      <w:pPr>
        <w:pStyle w:val="27"/>
        <w:tabs>
          <w:tab w:val="right" w:leader="dot" w:pos="8302"/>
        </w:tabs>
        <w:spacing w:line="360" w:lineRule="auto"/>
        <w:rPr>
          <w:rFonts w:ascii="仿宋" w:hAnsi="仿宋" w:eastAsia="仿宋"/>
        </w:rPr>
      </w:pPr>
      <w:r>
        <w:rPr>
          <w:rFonts w:ascii="仿宋" w:hAnsi="仿宋" w:eastAsia="仿宋"/>
        </w:rPr>
        <w:fldChar w:fldCharType="begin"/>
      </w:r>
      <w:r>
        <w:rPr>
          <w:rFonts w:ascii="仿宋" w:hAnsi="仿宋" w:eastAsia="仿宋"/>
        </w:rPr>
        <w:instrText xml:space="preserve"> TOC \o "1-3" \h \z \u </w:instrText>
      </w:r>
      <w:r>
        <w:rPr>
          <w:rFonts w:ascii="仿宋" w:hAnsi="仿宋" w:eastAsia="仿宋"/>
        </w:rPr>
        <w:fldChar w:fldCharType="separate"/>
      </w:r>
      <w:r>
        <w:fldChar w:fldCharType="begin"/>
      </w:r>
      <w:r>
        <w:instrText xml:space="preserve"> HYPERLINK \l "_Toc73112396" </w:instrText>
      </w:r>
      <w:r>
        <w:fldChar w:fldCharType="separate"/>
      </w:r>
      <w:r>
        <w:rPr>
          <w:rStyle w:val="49"/>
          <w:rFonts w:ascii="仿宋" w:hAnsi="仿宋" w:eastAsia="仿宋" w:cs="仿宋"/>
          <w:color w:val="auto"/>
        </w:rPr>
        <w:t>第一章采购货物概况</w:t>
      </w:r>
      <w:r>
        <w:rPr>
          <w:rFonts w:ascii="仿宋" w:hAnsi="仿宋" w:eastAsia="仿宋"/>
        </w:rPr>
        <w:tab/>
      </w:r>
      <w:r>
        <w:rPr>
          <w:rFonts w:ascii="仿宋" w:hAnsi="仿宋" w:eastAsia="仿宋"/>
        </w:rPr>
        <w:fldChar w:fldCharType="begin"/>
      </w:r>
      <w:r>
        <w:rPr>
          <w:rFonts w:ascii="仿宋" w:hAnsi="仿宋" w:eastAsia="仿宋"/>
        </w:rPr>
        <w:instrText xml:space="preserve"> PAGEREF _Toc73112396 \h </w:instrText>
      </w:r>
      <w:r>
        <w:rPr>
          <w:rFonts w:ascii="仿宋" w:hAnsi="仿宋" w:eastAsia="仿宋"/>
        </w:rPr>
        <w:fldChar w:fldCharType="separate"/>
      </w:r>
      <w:r>
        <w:rPr>
          <w:rFonts w:ascii="仿宋" w:hAnsi="仿宋" w:eastAsia="仿宋"/>
        </w:rPr>
        <w:t>1</w:t>
      </w:r>
      <w:r>
        <w:rPr>
          <w:rFonts w:ascii="仿宋" w:hAnsi="仿宋" w:eastAsia="仿宋"/>
        </w:rPr>
        <w:fldChar w:fldCharType="end"/>
      </w:r>
      <w:r>
        <w:rPr>
          <w:rFonts w:ascii="仿宋" w:hAnsi="仿宋" w:eastAsia="仿宋"/>
        </w:rPr>
        <w:fldChar w:fldCharType="end"/>
      </w:r>
    </w:p>
    <w:p>
      <w:pPr>
        <w:pStyle w:val="34"/>
        <w:tabs>
          <w:tab w:val="right" w:leader="dot" w:pos="8302"/>
        </w:tabs>
        <w:spacing w:line="360" w:lineRule="auto"/>
        <w:ind w:left="480"/>
        <w:rPr>
          <w:rFonts w:ascii="仿宋" w:hAnsi="仿宋" w:eastAsia="仿宋"/>
        </w:rPr>
      </w:pPr>
      <w:r>
        <w:fldChar w:fldCharType="begin"/>
      </w:r>
      <w:r>
        <w:instrText xml:space="preserve"> HYPERLINK \l "_Toc73112397" </w:instrText>
      </w:r>
      <w:r>
        <w:fldChar w:fldCharType="separate"/>
      </w:r>
      <w:r>
        <w:rPr>
          <w:rStyle w:val="49"/>
          <w:rFonts w:ascii="仿宋" w:hAnsi="仿宋" w:eastAsia="仿宋" w:cs="仿宋"/>
          <w:color w:val="auto"/>
        </w:rPr>
        <w:t>第一节使用环境</w:t>
      </w:r>
      <w:r>
        <w:rPr>
          <w:rFonts w:ascii="仿宋" w:hAnsi="仿宋" w:eastAsia="仿宋"/>
        </w:rPr>
        <w:tab/>
      </w:r>
      <w:r>
        <w:rPr>
          <w:rFonts w:ascii="仿宋" w:hAnsi="仿宋" w:eastAsia="仿宋"/>
        </w:rPr>
        <w:fldChar w:fldCharType="begin"/>
      </w:r>
      <w:r>
        <w:rPr>
          <w:rFonts w:ascii="仿宋" w:hAnsi="仿宋" w:eastAsia="仿宋"/>
        </w:rPr>
        <w:instrText xml:space="preserve"> PAGEREF _Toc73112397 \h </w:instrText>
      </w:r>
      <w:r>
        <w:rPr>
          <w:rFonts w:ascii="仿宋" w:hAnsi="仿宋" w:eastAsia="仿宋"/>
        </w:rPr>
        <w:fldChar w:fldCharType="separate"/>
      </w:r>
      <w:r>
        <w:rPr>
          <w:rFonts w:ascii="仿宋" w:hAnsi="仿宋" w:eastAsia="仿宋"/>
        </w:rPr>
        <w:t>1</w:t>
      </w:r>
      <w:r>
        <w:rPr>
          <w:rFonts w:ascii="仿宋" w:hAnsi="仿宋" w:eastAsia="仿宋"/>
        </w:rPr>
        <w:fldChar w:fldCharType="end"/>
      </w:r>
      <w:r>
        <w:rPr>
          <w:rFonts w:ascii="仿宋" w:hAnsi="仿宋" w:eastAsia="仿宋"/>
        </w:rPr>
        <w:fldChar w:fldCharType="end"/>
      </w:r>
    </w:p>
    <w:p>
      <w:pPr>
        <w:pStyle w:val="34"/>
        <w:tabs>
          <w:tab w:val="right" w:leader="dot" w:pos="8302"/>
        </w:tabs>
        <w:spacing w:line="360" w:lineRule="auto"/>
        <w:ind w:left="480"/>
        <w:rPr>
          <w:rFonts w:ascii="仿宋" w:hAnsi="仿宋" w:eastAsia="仿宋"/>
        </w:rPr>
      </w:pPr>
      <w:r>
        <w:fldChar w:fldCharType="begin"/>
      </w:r>
      <w:r>
        <w:instrText xml:space="preserve"> HYPERLINK \l "_Toc73112398" </w:instrText>
      </w:r>
      <w:r>
        <w:fldChar w:fldCharType="separate"/>
      </w:r>
      <w:r>
        <w:rPr>
          <w:rStyle w:val="49"/>
          <w:rFonts w:ascii="仿宋" w:hAnsi="仿宋" w:eastAsia="仿宋" w:cs="仿宋"/>
          <w:color w:val="auto"/>
        </w:rPr>
        <w:t>第二节采购货物概况</w:t>
      </w:r>
      <w:r>
        <w:rPr>
          <w:rFonts w:ascii="仿宋" w:hAnsi="仿宋" w:eastAsia="仿宋"/>
        </w:rPr>
        <w:tab/>
      </w:r>
      <w:r>
        <w:rPr>
          <w:rFonts w:ascii="仿宋" w:hAnsi="仿宋" w:eastAsia="仿宋"/>
        </w:rPr>
        <w:fldChar w:fldCharType="begin"/>
      </w:r>
      <w:r>
        <w:rPr>
          <w:rFonts w:ascii="仿宋" w:hAnsi="仿宋" w:eastAsia="仿宋"/>
        </w:rPr>
        <w:instrText xml:space="preserve"> PAGEREF _Toc73112398 \h </w:instrText>
      </w:r>
      <w:r>
        <w:rPr>
          <w:rFonts w:ascii="仿宋" w:hAnsi="仿宋" w:eastAsia="仿宋"/>
        </w:rPr>
        <w:fldChar w:fldCharType="separate"/>
      </w:r>
      <w:r>
        <w:rPr>
          <w:rFonts w:ascii="仿宋" w:hAnsi="仿宋" w:eastAsia="仿宋"/>
        </w:rPr>
        <w:t>1</w:t>
      </w:r>
      <w:r>
        <w:rPr>
          <w:rFonts w:ascii="仿宋" w:hAnsi="仿宋" w:eastAsia="仿宋"/>
        </w:rPr>
        <w:fldChar w:fldCharType="end"/>
      </w:r>
      <w:r>
        <w:rPr>
          <w:rFonts w:ascii="仿宋" w:hAnsi="仿宋" w:eastAsia="仿宋"/>
        </w:rPr>
        <w:fldChar w:fldCharType="end"/>
      </w:r>
    </w:p>
    <w:p>
      <w:pPr>
        <w:pStyle w:val="27"/>
        <w:tabs>
          <w:tab w:val="right" w:leader="dot" w:pos="8302"/>
        </w:tabs>
        <w:spacing w:line="360" w:lineRule="auto"/>
        <w:rPr>
          <w:rFonts w:ascii="仿宋" w:hAnsi="仿宋" w:eastAsia="仿宋"/>
        </w:rPr>
      </w:pPr>
      <w:r>
        <w:fldChar w:fldCharType="begin"/>
      </w:r>
      <w:r>
        <w:instrText xml:space="preserve"> HYPERLINK \l "_Toc73112399" </w:instrText>
      </w:r>
      <w:r>
        <w:fldChar w:fldCharType="separate"/>
      </w:r>
      <w:r>
        <w:rPr>
          <w:rStyle w:val="49"/>
          <w:rFonts w:ascii="仿宋" w:hAnsi="仿宋" w:eastAsia="仿宋" w:cs="仿宋"/>
          <w:color w:val="auto"/>
        </w:rPr>
        <w:t>第二章技术要求</w:t>
      </w:r>
      <w:r>
        <w:rPr>
          <w:rFonts w:ascii="仿宋" w:hAnsi="仿宋" w:eastAsia="仿宋"/>
        </w:rPr>
        <w:tab/>
      </w:r>
      <w:r>
        <w:rPr>
          <w:rFonts w:ascii="仿宋" w:hAnsi="仿宋" w:eastAsia="仿宋"/>
        </w:rPr>
        <w:fldChar w:fldCharType="begin"/>
      </w:r>
      <w:r>
        <w:rPr>
          <w:rFonts w:ascii="仿宋" w:hAnsi="仿宋" w:eastAsia="仿宋"/>
        </w:rPr>
        <w:instrText xml:space="preserve"> PAGEREF _Toc73112399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pPr>
        <w:pStyle w:val="34"/>
        <w:tabs>
          <w:tab w:val="right" w:leader="dot" w:pos="8302"/>
        </w:tabs>
        <w:spacing w:line="360" w:lineRule="auto"/>
        <w:ind w:left="480"/>
        <w:rPr>
          <w:rFonts w:ascii="仿宋" w:hAnsi="仿宋" w:eastAsia="仿宋"/>
        </w:rPr>
      </w:pPr>
      <w:r>
        <w:fldChar w:fldCharType="begin"/>
      </w:r>
      <w:r>
        <w:instrText xml:space="preserve"> HYPERLINK \l "_Toc73112400" </w:instrText>
      </w:r>
      <w:r>
        <w:fldChar w:fldCharType="separate"/>
      </w:r>
      <w:r>
        <w:rPr>
          <w:rStyle w:val="49"/>
          <w:rFonts w:ascii="仿宋" w:hAnsi="仿宋" w:eastAsia="仿宋" w:cs="仿宋"/>
          <w:color w:val="auto"/>
        </w:rPr>
        <w:t>1基本要求</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_Toc73112400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pPr>
        <w:pStyle w:val="34"/>
        <w:tabs>
          <w:tab w:val="right" w:leader="dot" w:pos="8302"/>
        </w:tabs>
        <w:spacing w:line="360" w:lineRule="auto"/>
        <w:ind w:left="480"/>
        <w:rPr>
          <w:rFonts w:ascii="仿宋" w:hAnsi="仿宋" w:eastAsia="仿宋"/>
        </w:rPr>
      </w:pPr>
      <w:r>
        <w:fldChar w:fldCharType="begin"/>
      </w:r>
      <w:r>
        <w:instrText xml:space="preserve"> HYPERLINK \l "_Toc73112401" </w:instrText>
      </w:r>
      <w:r>
        <w:fldChar w:fldCharType="separate"/>
      </w:r>
      <w:r>
        <w:rPr>
          <w:rStyle w:val="49"/>
          <w:rFonts w:ascii="仿宋" w:hAnsi="仿宋" w:eastAsia="仿宋" w:cs="仿宋"/>
          <w:color w:val="auto"/>
        </w:rPr>
        <w:t>2技术规范</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_Toc73112401 \h </w:instrText>
      </w:r>
      <w:r>
        <w:rPr>
          <w:rFonts w:ascii="仿宋" w:hAnsi="仿宋" w:eastAsia="仿宋"/>
        </w:rPr>
        <w:fldChar w:fldCharType="separate"/>
      </w:r>
      <w:r>
        <w:rPr>
          <w:rFonts w:ascii="仿宋" w:hAnsi="仿宋" w:eastAsia="仿宋"/>
        </w:rPr>
        <w:t>4</w:t>
      </w:r>
      <w:r>
        <w:rPr>
          <w:rFonts w:ascii="仿宋" w:hAnsi="仿宋" w:eastAsia="仿宋"/>
        </w:rPr>
        <w:fldChar w:fldCharType="end"/>
      </w:r>
      <w:r>
        <w:rPr>
          <w:rFonts w:ascii="仿宋" w:hAnsi="仿宋" w:eastAsia="仿宋"/>
        </w:rPr>
        <w:fldChar w:fldCharType="end"/>
      </w:r>
    </w:p>
    <w:p>
      <w:pPr>
        <w:pStyle w:val="34"/>
        <w:tabs>
          <w:tab w:val="right" w:leader="dot" w:pos="8302"/>
        </w:tabs>
        <w:spacing w:line="360" w:lineRule="auto"/>
        <w:ind w:left="480"/>
        <w:rPr>
          <w:rFonts w:ascii="仿宋" w:hAnsi="仿宋" w:eastAsia="仿宋"/>
        </w:rPr>
      </w:pPr>
      <w:r>
        <w:fldChar w:fldCharType="begin"/>
      </w:r>
      <w:r>
        <w:instrText xml:space="preserve"> HYPERLINK \l "_Toc73112402" </w:instrText>
      </w:r>
      <w:r>
        <w:fldChar w:fldCharType="separate"/>
      </w:r>
      <w:r>
        <w:rPr>
          <w:rStyle w:val="49"/>
          <w:rFonts w:ascii="仿宋" w:hAnsi="仿宋" w:eastAsia="仿宋" w:cs="仿宋"/>
          <w:color w:val="auto"/>
        </w:rPr>
        <w:t>3特别提示</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_Toc73112402 \h </w:instrText>
      </w:r>
      <w:r>
        <w:rPr>
          <w:rFonts w:ascii="仿宋" w:hAnsi="仿宋" w:eastAsia="仿宋"/>
        </w:rPr>
        <w:fldChar w:fldCharType="separate"/>
      </w:r>
      <w:r>
        <w:rPr>
          <w:rFonts w:ascii="仿宋" w:hAnsi="仿宋" w:eastAsia="仿宋"/>
        </w:rPr>
        <w:t>6</w:t>
      </w:r>
      <w:r>
        <w:rPr>
          <w:rFonts w:ascii="仿宋" w:hAnsi="仿宋" w:eastAsia="仿宋"/>
        </w:rPr>
        <w:fldChar w:fldCharType="end"/>
      </w:r>
      <w:r>
        <w:rPr>
          <w:rFonts w:ascii="仿宋" w:hAnsi="仿宋" w:eastAsia="仿宋"/>
        </w:rPr>
        <w:fldChar w:fldCharType="end"/>
      </w:r>
    </w:p>
    <w:p>
      <w:pPr>
        <w:pStyle w:val="27"/>
        <w:tabs>
          <w:tab w:val="right" w:leader="dot" w:pos="8302"/>
        </w:tabs>
        <w:spacing w:line="360" w:lineRule="auto"/>
        <w:rPr>
          <w:rFonts w:ascii="仿宋" w:hAnsi="仿宋" w:eastAsia="仿宋"/>
        </w:rPr>
      </w:pPr>
      <w:r>
        <w:fldChar w:fldCharType="begin"/>
      </w:r>
      <w:r>
        <w:instrText xml:space="preserve"> HYPERLINK \l "_Toc73112403" </w:instrText>
      </w:r>
      <w:r>
        <w:fldChar w:fldCharType="separate"/>
      </w:r>
      <w:r>
        <w:rPr>
          <w:rStyle w:val="49"/>
          <w:rFonts w:ascii="仿宋" w:hAnsi="仿宋" w:eastAsia="仿宋" w:cs="仿宋"/>
          <w:color w:val="auto"/>
        </w:rPr>
        <w:t>第三章供货范围及供货方式</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_Toc73112403 \h </w:instrText>
      </w:r>
      <w:r>
        <w:rPr>
          <w:rFonts w:ascii="仿宋" w:hAnsi="仿宋" w:eastAsia="仿宋"/>
        </w:rPr>
        <w:fldChar w:fldCharType="separate"/>
      </w:r>
      <w:r>
        <w:rPr>
          <w:rFonts w:ascii="仿宋" w:hAnsi="仿宋" w:eastAsia="仿宋"/>
        </w:rPr>
        <w:t>7</w:t>
      </w:r>
      <w:r>
        <w:rPr>
          <w:rFonts w:ascii="仿宋" w:hAnsi="仿宋" w:eastAsia="仿宋"/>
        </w:rPr>
        <w:fldChar w:fldCharType="end"/>
      </w:r>
      <w:r>
        <w:rPr>
          <w:rFonts w:ascii="仿宋" w:hAnsi="仿宋" w:eastAsia="仿宋"/>
        </w:rPr>
        <w:fldChar w:fldCharType="end"/>
      </w:r>
    </w:p>
    <w:p>
      <w:pPr>
        <w:pStyle w:val="34"/>
        <w:tabs>
          <w:tab w:val="right" w:leader="dot" w:pos="8302"/>
        </w:tabs>
        <w:spacing w:line="360" w:lineRule="auto"/>
        <w:ind w:left="480"/>
        <w:rPr>
          <w:rFonts w:ascii="仿宋" w:hAnsi="仿宋" w:eastAsia="仿宋"/>
        </w:rPr>
      </w:pPr>
      <w:r>
        <w:fldChar w:fldCharType="begin"/>
      </w:r>
      <w:r>
        <w:instrText xml:space="preserve"> HYPERLINK \l "_Toc73112404" </w:instrText>
      </w:r>
      <w:r>
        <w:fldChar w:fldCharType="separate"/>
      </w:r>
      <w:r>
        <w:rPr>
          <w:rStyle w:val="49"/>
          <w:rFonts w:ascii="仿宋" w:hAnsi="仿宋" w:eastAsia="仿宋" w:cs="仿宋"/>
          <w:color w:val="auto"/>
        </w:rPr>
        <w:t>第一节供货范围</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_Toc73112404 \h </w:instrText>
      </w:r>
      <w:r>
        <w:rPr>
          <w:rFonts w:ascii="仿宋" w:hAnsi="仿宋" w:eastAsia="仿宋"/>
        </w:rPr>
        <w:fldChar w:fldCharType="separate"/>
      </w:r>
      <w:r>
        <w:rPr>
          <w:rFonts w:ascii="仿宋" w:hAnsi="仿宋" w:eastAsia="仿宋"/>
        </w:rPr>
        <w:t>7</w:t>
      </w:r>
      <w:r>
        <w:rPr>
          <w:rFonts w:ascii="仿宋" w:hAnsi="仿宋" w:eastAsia="仿宋"/>
        </w:rPr>
        <w:fldChar w:fldCharType="end"/>
      </w:r>
      <w:r>
        <w:rPr>
          <w:rFonts w:ascii="仿宋" w:hAnsi="仿宋" w:eastAsia="仿宋"/>
        </w:rPr>
        <w:fldChar w:fldCharType="end"/>
      </w:r>
    </w:p>
    <w:p>
      <w:pPr>
        <w:pStyle w:val="34"/>
        <w:tabs>
          <w:tab w:val="right" w:leader="dot" w:pos="8302"/>
        </w:tabs>
        <w:spacing w:line="360" w:lineRule="auto"/>
        <w:ind w:left="480"/>
        <w:rPr>
          <w:rFonts w:ascii="仿宋" w:hAnsi="仿宋" w:eastAsia="仿宋"/>
        </w:rPr>
      </w:pPr>
      <w:r>
        <w:fldChar w:fldCharType="begin"/>
      </w:r>
      <w:r>
        <w:instrText xml:space="preserve"> HYPERLINK \l "_Toc73112408" </w:instrText>
      </w:r>
      <w:r>
        <w:fldChar w:fldCharType="separate"/>
      </w:r>
      <w:r>
        <w:rPr>
          <w:rStyle w:val="49"/>
          <w:rFonts w:ascii="仿宋" w:hAnsi="仿宋" w:eastAsia="仿宋" w:cs="仿宋"/>
          <w:color w:val="auto"/>
        </w:rPr>
        <w:t>第二节供货方式</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_Toc73112408 \h </w:instrText>
      </w:r>
      <w:r>
        <w:rPr>
          <w:rFonts w:ascii="仿宋" w:hAnsi="仿宋" w:eastAsia="仿宋"/>
        </w:rPr>
        <w:fldChar w:fldCharType="separate"/>
      </w:r>
      <w:r>
        <w:rPr>
          <w:rFonts w:ascii="仿宋" w:hAnsi="仿宋" w:eastAsia="仿宋"/>
        </w:rPr>
        <w:t>10</w:t>
      </w:r>
      <w:r>
        <w:rPr>
          <w:rFonts w:ascii="仿宋" w:hAnsi="仿宋" w:eastAsia="仿宋"/>
        </w:rPr>
        <w:fldChar w:fldCharType="end"/>
      </w:r>
      <w:r>
        <w:rPr>
          <w:rFonts w:ascii="仿宋" w:hAnsi="仿宋" w:eastAsia="仿宋"/>
        </w:rPr>
        <w:fldChar w:fldCharType="end"/>
      </w:r>
    </w:p>
    <w:p>
      <w:pPr>
        <w:pStyle w:val="27"/>
        <w:tabs>
          <w:tab w:val="right" w:leader="dot" w:pos="8302"/>
        </w:tabs>
        <w:spacing w:line="360" w:lineRule="auto"/>
        <w:rPr>
          <w:rFonts w:ascii="仿宋" w:hAnsi="仿宋" w:eastAsia="仿宋"/>
        </w:rPr>
      </w:pPr>
      <w:r>
        <w:fldChar w:fldCharType="begin"/>
      </w:r>
      <w:r>
        <w:instrText xml:space="preserve"> HYPERLINK \l "_Toc73112414" </w:instrText>
      </w:r>
      <w:r>
        <w:fldChar w:fldCharType="separate"/>
      </w:r>
      <w:r>
        <w:rPr>
          <w:rStyle w:val="49"/>
          <w:rFonts w:ascii="仿宋" w:hAnsi="仿宋" w:eastAsia="仿宋" w:cs="仿宋"/>
          <w:color w:val="auto"/>
        </w:rPr>
        <w:t>第四章售中售后服务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_Toc73112414 \h </w:instrText>
      </w:r>
      <w:r>
        <w:rPr>
          <w:rFonts w:ascii="仿宋" w:hAnsi="仿宋" w:eastAsia="仿宋"/>
        </w:rPr>
        <w:fldChar w:fldCharType="separate"/>
      </w:r>
      <w:r>
        <w:rPr>
          <w:rFonts w:ascii="仿宋" w:hAnsi="仿宋" w:eastAsia="仿宋"/>
        </w:rPr>
        <w:t>12</w:t>
      </w:r>
      <w:r>
        <w:rPr>
          <w:rFonts w:ascii="仿宋" w:hAnsi="仿宋" w:eastAsia="仿宋"/>
        </w:rPr>
        <w:fldChar w:fldCharType="end"/>
      </w:r>
      <w:r>
        <w:rPr>
          <w:rFonts w:ascii="仿宋" w:hAnsi="仿宋" w:eastAsia="仿宋"/>
        </w:rPr>
        <w:fldChar w:fldCharType="end"/>
      </w:r>
    </w:p>
    <w:p>
      <w:pPr>
        <w:pStyle w:val="34"/>
        <w:tabs>
          <w:tab w:val="right" w:leader="dot" w:pos="8302"/>
        </w:tabs>
        <w:spacing w:line="360" w:lineRule="auto"/>
        <w:ind w:left="480"/>
        <w:rPr>
          <w:rFonts w:ascii="仿宋" w:hAnsi="仿宋" w:eastAsia="仿宋"/>
        </w:rPr>
      </w:pPr>
      <w:r>
        <w:fldChar w:fldCharType="begin"/>
      </w:r>
      <w:r>
        <w:instrText xml:space="preserve"> HYPERLINK \l "_Toc73112415" </w:instrText>
      </w:r>
      <w:r>
        <w:fldChar w:fldCharType="separate"/>
      </w:r>
      <w:r>
        <w:rPr>
          <w:rStyle w:val="49"/>
          <w:rFonts w:ascii="仿宋" w:hAnsi="仿宋" w:eastAsia="仿宋" w:cs="仿宋"/>
          <w:color w:val="auto"/>
        </w:rPr>
        <w:t>1技术及培训服务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_Toc73112415 \h </w:instrText>
      </w:r>
      <w:r>
        <w:rPr>
          <w:rFonts w:ascii="仿宋" w:hAnsi="仿宋" w:eastAsia="仿宋"/>
        </w:rPr>
        <w:fldChar w:fldCharType="separate"/>
      </w:r>
      <w:r>
        <w:rPr>
          <w:rFonts w:ascii="仿宋" w:hAnsi="仿宋" w:eastAsia="仿宋"/>
        </w:rPr>
        <w:t>12</w:t>
      </w:r>
      <w:r>
        <w:rPr>
          <w:rFonts w:ascii="仿宋" w:hAnsi="仿宋" w:eastAsia="仿宋"/>
        </w:rPr>
        <w:fldChar w:fldCharType="end"/>
      </w:r>
      <w:r>
        <w:rPr>
          <w:rFonts w:ascii="仿宋" w:hAnsi="仿宋" w:eastAsia="仿宋"/>
        </w:rPr>
        <w:fldChar w:fldCharType="end"/>
      </w:r>
    </w:p>
    <w:p>
      <w:pPr>
        <w:pStyle w:val="34"/>
        <w:tabs>
          <w:tab w:val="right" w:leader="dot" w:pos="8302"/>
        </w:tabs>
        <w:spacing w:line="360" w:lineRule="auto"/>
        <w:ind w:left="480"/>
        <w:rPr>
          <w:rFonts w:ascii="仿宋" w:hAnsi="仿宋" w:eastAsia="仿宋"/>
        </w:rPr>
      </w:pPr>
      <w:r>
        <w:fldChar w:fldCharType="begin"/>
      </w:r>
      <w:r>
        <w:instrText xml:space="preserve"> HYPERLINK \l "_Toc73112416" </w:instrText>
      </w:r>
      <w:r>
        <w:fldChar w:fldCharType="separate"/>
      </w:r>
      <w:r>
        <w:rPr>
          <w:rStyle w:val="49"/>
          <w:rFonts w:ascii="仿宋" w:hAnsi="仿宋" w:eastAsia="仿宋" w:cs="仿宋"/>
          <w:color w:val="auto"/>
        </w:rPr>
        <w:t>2安装调试服务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_Toc73112416 \h </w:instrText>
      </w:r>
      <w:r>
        <w:rPr>
          <w:rFonts w:ascii="仿宋" w:hAnsi="仿宋" w:eastAsia="仿宋"/>
        </w:rPr>
        <w:fldChar w:fldCharType="separate"/>
      </w:r>
      <w:r>
        <w:rPr>
          <w:rFonts w:ascii="仿宋" w:hAnsi="仿宋" w:eastAsia="仿宋"/>
        </w:rPr>
        <w:t>12</w:t>
      </w:r>
      <w:r>
        <w:rPr>
          <w:rFonts w:ascii="仿宋" w:hAnsi="仿宋" w:eastAsia="仿宋"/>
        </w:rPr>
        <w:fldChar w:fldCharType="end"/>
      </w:r>
      <w:r>
        <w:rPr>
          <w:rFonts w:ascii="仿宋" w:hAnsi="仿宋" w:eastAsia="仿宋"/>
        </w:rPr>
        <w:fldChar w:fldCharType="end"/>
      </w:r>
    </w:p>
    <w:p>
      <w:pPr>
        <w:pStyle w:val="34"/>
        <w:tabs>
          <w:tab w:val="right" w:leader="dot" w:pos="8302"/>
        </w:tabs>
        <w:spacing w:line="360" w:lineRule="auto"/>
        <w:ind w:left="480"/>
        <w:rPr>
          <w:rFonts w:ascii="仿宋" w:hAnsi="仿宋" w:eastAsia="仿宋"/>
        </w:rPr>
      </w:pPr>
      <w:r>
        <w:fldChar w:fldCharType="begin"/>
      </w:r>
      <w:r>
        <w:instrText xml:space="preserve"> HYPERLINK \l "_Toc73112417" </w:instrText>
      </w:r>
      <w:r>
        <w:fldChar w:fldCharType="separate"/>
      </w:r>
      <w:r>
        <w:rPr>
          <w:rStyle w:val="49"/>
          <w:rFonts w:ascii="仿宋" w:hAnsi="仿宋" w:eastAsia="仿宋" w:cs="仿宋"/>
          <w:color w:val="auto"/>
        </w:rPr>
        <w:t>3验收服务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_Toc73112417 \h </w:instrText>
      </w:r>
      <w:r>
        <w:rPr>
          <w:rFonts w:ascii="仿宋" w:hAnsi="仿宋" w:eastAsia="仿宋"/>
        </w:rPr>
        <w:fldChar w:fldCharType="separate"/>
      </w:r>
      <w:r>
        <w:rPr>
          <w:rFonts w:ascii="仿宋" w:hAnsi="仿宋" w:eastAsia="仿宋"/>
        </w:rPr>
        <w:t>13</w:t>
      </w:r>
      <w:r>
        <w:rPr>
          <w:rFonts w:ascii="仿宋" w:hAnsi="仿宋" w:eastAsia="仿宋"/>
        </w:rPr>
        <w:fldChar w:fldCharType="end"/>
      </w:r>
      <w:r>
        <w:rPr>
          <w:rFonts w:ascii="仿宋" w:hAnsi="仿宋" w:eastAsia="仿宋"/>
        </w:rPr>
        <w:fldChar w:fldCharType="end"/>
      </w:r>
    </w:p>
    <w:p>
      <w:pPr>
        <w:pStyle w:val="34"/>
        <w:tabs>
          <w:tab w:val="right" w:leader="dot" w:pos="8302"/>
        </w:tabs>
        <w:spacing w:line="360" w:lineRule="auto"/>
        <w:ind w:left="480"/>
        <w:rPr>
          <w:rFonts w:ascii="仿宋" w:hAnsi="仿宋" w:eastAsia="仿宋"/>
        </w:rPr>
      </w:pPr>
      <w:r>
        <w:fldChar w:fldCharType="begin"/>
      </w:r>
      <w:r>
        <w:instrText xml:space="preserve"> HYPERLINK \l "_Toc73112418" </w:instrText>
      </w:r>
      <w:r>
        <w:fldChar w:fldCharType="separate"/>
      </w:r>
      <w:r>
        <w:rPr>
          <w:rStyle w:val="49"/>
          <w:rFonts w:ascii="仿宋" w:hAnsi="仿宋" w:eastAsia="仿宋" w:cs="仿宋"/>
          <w:color w:val="auto"/>
        </w:rPr>
        <w:t>4售后服务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_Toc73112418 \h </w:instrText>
      </w:r>
      <w:r>
        <w:rPr>
          <w:rFonts w:ascii="仿宋" w:hAnsi="仿宋" w:eastAsia="仿宋"/>
        </w:rPr>
        <w:fldChar w:fldCharType="separate"/>
      </w:r>
      <w:r>
        <w:rPr>
          <w:rFonts w:ascii="仿宋" w:hAnsi="仿宋" w:eastAsia="仿宋"/>
        </w:rPr>
        <w:t>13</w:t>
      </w:r>
      <w:r>
        <w:rPr>
          <w:rFonts w:ascii="仿宋" w:hAnsi="仿宋" w:eastAsia="仿宋"/>
        </w:rPr>
        <w:fldChar w:fldCharType="end"/>
      </w:r>
      <w:r>
        <w:rPr>
          <w:rFonts w:ascii="仿宋" w:hAnsi="仿宋" w:eastAsia="仿宋"/>
        </w:rPr>
        <w:fldChar w:fldCharType="end"/>
      </w:r>
    </w:p>
    <w:p>
      <w:pPr>
        <w:pStyle w:val="34"/>
        <w:tabs>
          <w:tab w:val="right" w:leader="dot" w:pos="8302"/>
        </w:tabs>
        <w:spacing w:line="360" w:lineRule="auto"/>
        <w:ind w:left="480"/>
        <w:rPr>
          <w:rFonts w:ascii="仿宋" w:hAnsi="仿宋" w:eastAsia="仿宋"/>
        </w:rPr>
      </w:pPr>
      <w:r>
        <w:fldChar w:fldCharType="begin"/>
      </w:r>
      <w:r>
        <w:instrText xml:space="preserve"> HYPERLINK \l "_Toc73112419" </w:instrText>
      </w:r>
      <w:r>
        <w:fldChar w:fldCharType="separate"/>
      </w:r>
      <w:r>
        <w:rPr>
          <w:rStyle w:val="49"/>
          <w:rFonts w:ascii="仿宋" w:hAnsi="仿宋" w:eastAsia="仿宋" w:cs="仿宋"/>
          <w:color w:val="auto"/>
        </w:rPr>
        <w:t>5其它服务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_Toc73112419 \h </w:instrText>
      </w:r>
      <w:r>
        <w:rPr>
          <w:rFonts w:ascii="仿宋" w:hAnsi="仿宋" w:eastAsia="仿宋"/>
        </w:rPr>
        <w:fldChar w:fldCharType="separate"/>
      </w:r>
      <w:r>
        <w:rPr>
          <w:rFonts w:ascii="仿宋" w:hAnsi="仿宋" w:eastAsia="仿宋"/>
        </w:rPr>
        <w:t>13</w:t>
      </w:r>
      <w:r>
        <w:rPr>
          <w:rFonts w:ascii="仿宋" w:hAnsi="仿宋" w:eastAsia="仿宋"/>
        </w:rPr>
        <w:fldChar w:fldCharType="end"/>
      </w:r>
      <w:r>
        <w:rPr>
          <w:rFonts w:ascii="仿宋" w:hAnsi="仿宋" w:eastAsia="仿宋"/>
        </w:rPr>
        <w:fldChar w:fldCharType="end"/>
      </w:r>
    </w:p>
    <w:p>
      <w:pPr>
        <w:pStyle w:val="27"/>
        <w:tabs>
          <w:tab w:val="right" w:leader="dot" w:pos="8302"/>
        </w:tabs>
        <w:spacing w:line="360" w:lineRule="auto"/>
        <w:rPr>
          <w:rFonts w:ascii="仿宋" w:hAnsi="仿宋" w:eastAsia="仿宋"/>
        </w:rPr>
      </w:pPr>
      <w:r>
        <w:fldChar w:fldCharType="begin"/>
      </w:r>
      <w:r>
        <w:instrText xml:space="preserve"> HYPERLINK \l "_Toc73112420" </w:instrText>
      </w:r>
      <w:r>
        <w:fldChar w:fldCharType="separate"/>
      </w:r>
      <w:r>
        <w:rPr>
          <w:rStyle w:val="49"/>
          <w:rFonts w:ascii="仿宋" w:hAnsi="仿宋" w:eastAsia="仿宋" w:cs="仿宋"/>
          <w:color w:val="auto"/>
        </w:rPr>
        <w:t>第五章预验收和终验收</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_Toc73112420 \h </w:instrText>
      </w:r>
      <w:r>
        <w:rPr>
          <w:rFonts w:ascii="仿宋" w:hAnsi="仿宋" w:eastAsia="仿宋"/>
        </w:rPr>
        <w:fldChar w:fldCharType="separate"/>
      </w:r>
      <w:r>
        <w:rPr>
          <w:rFonts w:ascii="仿宋" w:hAnsi="仿宋" w:eastAsia="仿宋"/>
        </w:rPr>
        <w:t>14</w:t>
      </w:r>
      <w:r>
        <w:rPr>
          <w:rFonts w:ascii="仿宋" w:hAnsi="仿宋" w:eastAsia="仿宋"/>
        </w:rPr>
        <w:fldChar w:fldCharType="end"/>
      </w:r>
      <w:r>
        <w:rPr>
          <w:rFonts w:ascii="仿宋" w:hAnsi="仿宋" w:eastAsia="仿宋"/>
        </w:rPr>
        <w:fldChar w:fldCharType="end"/>
      </w:r>
    </w:p>
    <w:p>
      <w:pPr>
        <w:pStyle w:val="34"/>
        <w:tabs>
          <w:tab w:val="right" w:leader="dot" w:pos="8302"/>
        </w:tabs>
        <w:spacing w:line="360" w:lineRule="auto"/>
        <w:ind w:left="480"/>
        <w:rPr>
          <w:rFonts w:ascii="仿宋" w:hAnsi="仿宋" w:eastAsia="仿宋"/>
        </w:rPr>
      </w:pPr>
      <w:r>
        <w:fldChar w:fldCharType="begin"/>
      </w:r>
      <w:r>
        <w:instrText xml:space="preserve"> HYPERLINK \l "_Toc73112421" </w:instrText>
      </w:r>
      <w:r>
        <w:fldChar w:fldCharType="separate"/>
      </w:r>
      <w:r>
        <w:rPr>
          <w:rStyle w:val="49"/>
          <w:rFonts w:ascii="仿宋" w:hAnsi="仿宋" w:eastAsia="仿宋" w:cs="仿宋"/>
          <w:color w:val="auto"/>
        </w:rPr>
        <w:t>1验收的一般约定</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_Toc73112421 \h </w:instrText>
      </w:r>
      <w:r>
        <w:rPr>
          <w:rFonts w:ascii="仿宋" w:hAnsi="仿宋" w:eastAsia="仿宋"/>
        </w:rPr>
        <w:fldChar w:fldCharType="separate"/>
      </w:r>
      <w:r>
        <w:rPr>
          <w:rFonts w:ascii="仿宋" w:hAnsi="仿宋" w:eastAsia="仿宋"/>
        </w:rPr>
        <w:t>14</w:t>
      </w:r>
      <w:r>
        <w:rPr>
          <w:rFonts w:ascii="仿宋" w:hAnsi="仿宋" w:eastAsia="仿宋"/>
        </w:rPr>
        <w:fldChar w:fldCharType="end"/>
      </w:r>
      <w:r>
        <w:rPr>
          <w:rFonts w:ascii="仿宋" w:hAnsi="仿宋" w:eastAsia="仿宋"/>
        </w:rPr>
        <w:fldChar w:fldCharType="end"/>
      </w:r>
    </w:p>
    <w:p>
      <w:pPr>
        <w:pStyle w:val="34"/>
        <w:tabs>
          <w:tab w:val="right" w:leader="dot" w:pos="8302"/>
        </w:tabs>
        <w:spacing w:line="360" w:lineRule="auto"/>
        <w:ind w:left="480"/>
        <w:rPr>
          <w:rFonts w:ascii="仿宋" w:hAnsi="仿宋" w:eastAsia="仿宋"/>
        </w:rPr>
      </w:pPr>
      <w:r>
        <w:fldChar w:fldCharType="begin"/>
      </w:r>
      <w:r>
        <w:instrText xml:space="preserve"> HYPERLINK \l "_Toc73112422" </w:instrText>
      </w:r>
      <w:r>
        <w:fldChar w:fldCharType="separate"/>
      </w:r>
      <w:r>
        <w:rPr>
          <w:rStyle w:val="49"/>
          <w:rFonts w:ascii="仿宋" w:hAnsi="仿宋" w:eastAsia="仿宋" w:cs="仿宋"/>
          <w:color w:val="auto"/>
        </w:rPr>
        <w:t>2检验</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_Toc73112422 \h </w:instrText>
      </w:r>
      <w:r>
        <w:rPr>
          <w:rFonts w:ascii="仿宋" w:hAnsi="仿宋" w:eastAsia="仿宋"/>
        </w:rPr>
        <w:fldChar w:fldCharType="separate"/>
      </w:r>
      <w:r>
        <w:rPr>
          <w:rFonts w:ascii="仿宋" w:hAnsi="仿宋" w:eastAsia="仿宋"/>
        </w:rPr>
        <w:t>14</w:t>
      </w:r>
      <w:r>
        <w:rPr>
          <w:rFonts w:ascii="仿宋" w:hAnsi="仿宋" w:eastAsia="仿宋"/>
        </w:rPr>
        <w:fldChar w:fldCharType="end"/>
      </w:r>
      <w:r>
        <w:rPr>
          <w:rFonts w:ascii="仿宋" w:hAnsi="仿宋" w:eastAsia="仿宋"/>
        </w:rPr>
        <w:fldChar w:fldCharType="end"/>
      </w:r>
    </w:p>
    <w:p>
      <w:pPr>
        <w:pStyle w:val="34"/>
        <w:tabs>
          <w:tab w:val="right" w:leader="dot" w:pos="8302"/>
        </w:tabs>
        <w:spacing w:line="360" w:lineRule="auto"/>
        <w:ind w:left="480"/>
        <w:rPr>
          <w:rFonts w:ascii="仿宋" w:hAnsi="仿宋" w:eastAsia="仿宋"/>
        </w:rPr>
      </w:pPr>
      <w:r>
        <w:fldChar w:fldCharType="begin"/>
      </w:r>
      <w:r>
        <w:instrText xml:space="preserve"> HYPERLINK \l "_Toc73112423" </w:instrText>
      </w:r>
      <w:r>
        <w:fldChar w:fldCharType="separate"/>
      </w:r>
      <w:r>
        <w:rPr>
          <w:rStyle w:val="49"/>
          <w:rFonts w:ascii="仿宋" w:hAnsi="仿宋" w:eastAsia="仿宋" w:cs="仿宋"/>
          <w:color w:val="auto"/>
        </w:rPr>
        <w:t>3验收条件</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_Toc73112423 \h </w:instrText>
      </w:r>
      <w:r>
        <w:rPr>
          <w:rFonts w:ascii="仿宋" w:hAnsi="仿宋" w:eastAsia="仿宋"/>
        </w:rPr>
        <w:fldChar w:fldCharType="separate"/>
      </w:r>
      <w:r>
        <w:rPr>
          <w:rFonts w:ascii="仿宋" w:hAnsi="仿宋" w:eastAsia="仿宋"/>
        </w:rPr>
        <w:t>14</w:t>
      </w:r>
      <w:r>
        <w:rPr>
          <w:rFonts w:ascii="仿宋" w:hAnsi="仿宋" w:eastAsia="仿宋"/>
        </w:rPr>
        <w:fldChar w:fldCharType="end"/>
      </w:r>
      <w:r>
        <w:rPr>
          <w:rFonts w:ascii="仿宋" w:hAnsi="仿宋" w:eastAsia="仿宋"/>
        </w:rPr>
        <w:fldChar w:fldCharType="end"/>
      </w:r>
    </w:p>
    <w:p>
      <w:pPr>
        <w:pStyle w:val="34"/>
        <w:tabs>
          <w:tab w:val="right" w:leader="dot" w:pos="8302"/>
        </w:tabs>
        <w:spacing w:line="360" w:lineRule="auto"/>
        <w:ind w:left="480"/>
        <w:rPr>
          <w:rFonts w:ascii="仿宋" w:hAnsi="仿宋" w:eastAsia="仿宋"/>
        </w:rPr>
      </w:pPr>
      <w:r>
        <w:fldChar w:fldCharType="begin"/>
      </w:r>
      <w:r>
        <w:instrText xml:space="preserve"> HYPERLINK \l "_Toc73112424" </w:instrText>
      </w:r>
      <w:r>
        <w:fldChar w:fldCharType="separate"/>
      </w:r>
      <w:r>
        <w:rPr>
          <w:rStyle w:val="49"/>
          <w:rFonts w:ascii="仿宋" w:hAnsi="仿宋" w:eastAsia="仿宋" w:cs="仿宋"/>
          <w:color w:val="auto"/>
        </w:rPr>
        <w:t>4终验收基本要求</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_Toc73112424 \h </w:instrText>
      </w:r>
      <w:r>
        <w:rPr>
          <w:rFonts w:ascii="仿宋" w:hAnsi="仿宋" w:eastAsia="仿宋"/>
        </w:rPr>
        <w:fldChar w:fldCharType="separate"/>
      </w:r>
      <w:r>
        <w:rPr>
          <w:rFonts w:ascii="仿宋" w:hAnsi="仿宋" w:eastAsia="仿宋"/>
        </w:rPr>
        <w:t>16</w:t>
      </w:r>
      <w:r>
        <w:rPr>
          <w:rFonts w:ascii="仿宋" w:hAnsi="仿宋" w:eastAsia="仿宋"/>
        </w:rPr>
        <w:fldChar w:fldCharType="end"/>
      </w:r>
      <w:r>
        <w:rPr>
          <w:rFonts w:ascii="仿宋" w:hAnsi="仿宋" w:eastAsia="仿宋"/>
        </w:rPr>
        <w:fldChar w:fldCharType="end"/>
      </w:r>
    </w:p>
    <w:p>
      <w:pPr>
        <w:pStyle w:val="27"/>
        <w:tabs>
          <w:tab w:val="right" w:leader="dot" w:pos="8302"/>
        </w:tabs>
        <w:spacing w:line="360" w:lineRule="auto"/>
        <w:rPr>
          <w:rFonts w:ascii="仿宋" w:hAnsi="仿宋" w:eastAsia="仿宋"/>
        </w:rPr>
      </w:pPr>
      <w:r>
        <w:fldChar w:fldCharType="begin"/>
      </w:r>
      <w:r>
        <w:instrText xml:space="preserve"> HYPERLINK \l "_Toc73112425" </w:instrText>
      </w:r>
      <w:r>
        <w:fldChar w:fldCharType="separate"/>
      </w:r>
      <w:r>
        <w:rPr>
          <w:rStyle w:val="49"/>
          <w:rFonts w:ascii="仿宋" w:hAnsi="仿宋" w:eastAsia="仿宋" w:cs="仿宋"/>
          <w:color w:val="auto"/>
        </w:rPr>
        <w:t>第六章投标技术文件一般要求</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_Toc73112425 \h </w:instrText>
      </w:r>
      <w:r>
        <w:rPr>
          <w:rFonts w:ascii="仿宋" w:hAnsi="仿宋" w:eastAsia="仿宋"/>
        </w:rPr>
        <w:fldChar w:fldCharType="separate"/>
      </w:r>
      <w:r>
        <w:rPr>
          <w:rFonts w:ascii="仿宋" w:hAnsi="仿宋" w:eastAsia="仿宋"/>
        </w:rPr>
        <w:t>16</w:t>
      </w:r>
      <w:r>
        <w:rPr>
          <w:rFonts w:ascii="仿宋" w:hAnsi="仿宋" w:eastAsia="仿宋"/>
        </w:rPr>
        <w:fldChar w:fldCharType="end"/>
      </w:r>
      <w:r>
        <w:rPr>
          <w:rFonts w:ascii="仿宋" w:hAnsi="仿宋" w:eastAsia="仿宋"/>
        </w:rPr>
        <w:fldChar w:fldCharType="end"/>
      </w:r>
    </w:p>
    <w:p>
      <w:pPr>
        <w:pStyle w:val="27"/>
        <w:tabs>
          <w:tab w:val="right" w:leader="dot" w:pos="8302"/>
        </w:tabs>
        <w:spacing w:line="360" w:lineRule="auto"/>
        <w:rPr>
          <w:rFonts w:ascii="仿宋" w:hAnsi="仿宋" w:eastAsia="仿宋"/>
        </w:rPr>
      </w:pPr>
      <w:r>
        <w:fldChar w:fldCharType="begin"/>
      </w:r>
      <w:r>
        <w:instrText xml:space="preserve"> HYPERLINK \l "_Toc73112426" </w:instrText>
      </w:r>
      <w:r>
        <w:fldChar w:fldCharType="separate"/>
      </w:r>
      <w:r>
        <w:rPr>
          <w:rStyle w:val="49"/>
          <w:rFonts w:ascii="仿宋" w:hAnsi="仿宋" w:eastAsia="仿宋" w:cs="仿宋"/>
          <w:color w:val="auto"/>
        </w:rPr>
        <w:t>第七章其它要求</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_Toc73112426 \h </w:instrText>
      </w:r>
      <w:r>
        <w:rPr>
          <w:rFonts w:ascii="仿宋" w:hAnsi="仿宋" w:eastAsia="仿宋"/>
        </w:rPr>
        <w:fldChar w:fldCharType="separate"/>
      </w:r>
      <w:r>
        <w:rPr>
          <w:rFonts w:ascii="仿宋" w:hAnsi="仿宋" w:eastAsia="仿宋"/>
        </w:rPr>
        <w:t>17</w:t>
      </w:r>
      <w:r>
        <w:rPr>
          <w:rFonts w:ascii="仿宋" w:hAnsi="仿宋" w:eastAsia="仿宋"/>
        </w:rPr>
        <w:fldChar w:fldCharType="end"/>
      </w:r>
      <w:r>
        <w:rPr>
          <w:rFonts w:ascii="仿宋" w:hAnsi="仿宋" w:eastAsia="仿宋"/>
        </w:rPr>
        <w:fldChar w:fldCharType="end"/>
      </w:r>
    </w:p>
    <w:p>
      <w:pPr>
        <w:spacing w:line="360" w:lineRule="auto"/>
        <w:rPr>
          <w:b/>
          <w:bCs/>
        </w:rPr>
      </w:pPr>
      <w:r>
        <w:rPr>
          <w:rFonts w:ascii="仿宋" w:hAnsi="仿宋" w:eastAsia="仿宋"/>
          <w:lang w:val="zh-CN"/>
        </w:rPr>
        <w:fldChar w:fldCharType="end"/>
      </w:r>
    </w:p>
    <w:p>
      <w:pPr>
        <w:pStyle w:val="132"/>
        <w:tabs>
          <w:tab w:val="right" w:leader="dot" w:pos="8312"/>
        </w:tabs>
      </w:pPr>
    </w:p>
    <w:p>
      <w:pPr>
        <w:adjustRightInd w:val="0"/>
        <w:snapToGrid w:val="0"/>
        <w:spacing w:before="163" w:beforeLines="50" w:after="163" w:afterLines="50" w:line="360" w:lineRule="auto"/>
        <w:jc w:val="center"/>
        <w:outlineLvl w:val="0"/>
        <w:rPr>
          <w:rFonts w:ascii="仿宋" w:hAnsi="仿宋" w:eastAsia="仿宋" w:cs="仿宋"/>
          <w:b/>
          <w:bCs/>
        </w:rPr>
      </w:pPr>
    </w:p>
    <w:p>
      <w:pPr>
        <w:adjustRightInd w:val="0"/>
        <w:snapToGrid w:val="0"/>
        <w:spacing w:before="163" w:beforeLines="50" w:after="163" w:afterLines="50" w:line="360" w:lineRule="auto"/>
        <w:jc w:val="center"/>
        <w:outlineLvl w:val="0"/>
        <w:rPr>
          <w:rFonts w:ascii="仿宋" w:hAnsi="仿宋" w:eastAsia="仿宋" w:cs="仿宋"/>
        </w:rPr>
        <w:sectPr>
          <w:footerReference r:id="rId11" w:type="default"/>
          <w:pgSz w:w="11906" w:h="16838"/>
          <w:pgMar w:top="1383" w:right="1797" w:bottom="1440" w:left="1797" w:header="1021" w:footer="680" w:gutter="0"/>
          <w:pgNumType w:start="1" w:chapStyle="1"/>
          <w:cols w:space="720" w:num="1"/>
          <w:docGrid w:type="lines" w:linePitch="326" w:charSpace="0"/>
        </w:sectPr>
      </w:pPr>
      <w:bookmarkStart w:id="68" w:name="_Toc6957"/>
      <w:bookmarkStart w:id="69" w:name="_Toc4029"/>
      <w:bookmarkStart w:id="70" w:name="_Toc20272"/>
    </w:p>
    <w:p>
      <w:pPr>
        <w:adjustRightInd w:val="0"/>
        <w:snapToGrid w:val="0"/>
        <w:spacing w:before="163" w:beforeLines="50" w:after="163" w:afterLines="50" w:line="360" w:lineRule="auto"/>
        <w:jc w:val="center"/>
        <w:outlineLvl w:val="0"/>
        <w:rPr>
          <w:rFonts w:ascii="仿宋" w:hAnsi="仿宋" w:eastAsia="仿宋" w:cs="仿宋"/>
          <w:b/>
          <w:bCs/>
        </w:rPr>
      </w:pPr>
      <w:bookmarkStart w:id="71" w:name="_Toc19570"/>
      <w:bookmarkStart w:id="72" w:name="_Toc19716"/>
      <w:bookmarkStart w:id="73" w:name="_Toc2174"/>
      <w:bookmarkStart w:id="74" w:name="_Toc2042"/>
      <w:bookmarkStart w:id="75" w:name="_Toc73112396"/>
      <w:bookmarkStart w:id="76" w:name="_Toc7975"/>
      <w:r>
        <w:rPr>
          <w:rFonts w:hint="eastAsia" w:ascii="仿宋" w:hAnsi="仿宋" w:eastAsia="仿宋" w:cs="仿宋"/>
          <w:b/>
          <w:bCs/>
        </w:rPr>
        <w:t>第一章采购货物概况</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Start w:id="77" w:name="_Toc133783967"/>
    </w:p>
    <w:p>
      <w:pPr>
        <w:adjustRightInd w:val="0"/>
        <w:snapToGrid w:val="0"/>
        <w:spacing w:line="360" w:lineRule="auto"/>
        <w:jc w:val="center"/>
        <w:outlineLvl w:val="1"/>
        <w:rPr>
          <w:rFonts w:ascii="仿宋" w:hAnsi="仿宋" w:eastAsia="仿宋" w:cs="仿宋"/>
          <w:b/>
          <w:bCs/>
        </w:rPr>
      </w:pPr>
      <w:bookmarkStart w:id="78" w:name="_Toc2940"/>
      <w:bookmarkStart w:id="79" w:name="_Toc6436"/>
      <w:bookmarkStart w:id="80" w:name="_Toc5826"/>
      <w:bookmarkStart w:id="81" w:name="_Toc21892"/>
      <w:bookmarkStart w:id="82" w:name="_Toc11411"/>
      <w:bookmarkStart w:id="83" w:name="_Toc7159"/>
      <w:bookmarkStart w:id="84" w:name="_Toc29927"/>
      <w:bookmarkStart w:id="85" w:name="_Toc11763"/>
      <w:bookmarkStart w:id="86" w:name="_Toc22942"/>
      <w:bookmarkStart w:id="87" w:name="_Toc2152"/>
      <w:bookmarkStart w:id="88" w:name="_Toc19070"/>
      <w:bookmarkStart w:id="89" w:name="_Toc22424"/>
      <w:bookmarkStart w:id="90" w:name="_Toc24689"/>
      <w:bookmarkStart w:id="91" w:name="_Toc5172"/>
      <w:bookmarkStart w:id="92" w:name="_Toc30808"/>
      <w:bookmarkStart w:id="93" w:name="_Toc8362"/>
      <w:bookmarkStart w:id="94" w:name="_Toc892"/>
      <w:bookmarkStart w:id="95" w:name="_Toc30246"/>
      <w:bookmarkStart w:id="96" w:name="_Toc16714"/>
      <w:bookmarkStart w:id="97" w:name="_Toc30245"/>
      <w:bookmarkStart w:id="98" w:name="_Toc25011"/>
      <w:bookmarkStart w:id="99" w:name="_Toc5983"/>
      <w:bookmarkStart w:id="100" w:name="_Toc73112397"/>
      <w:bookmarkStart w:id="101" w:name="_Toc4004"/>
      <w:bookmarkStart w:id="102" w:name="_Toc6606"/>
      <w:bookmarkStart w:id="103" w:name="_Toc29605"/>
      <w:bookmarkStart w:id="104" w:name="_Toc21756"/>
      <w:bookmarkStart w:id="105" w:name="_Toc5420"/>
      <w:bookmarkStart w:id="106" w:name="_Toc2996"/>
      <w:bookmarkStart w:id="107" w:name="_Toc7515"/>
      <w:bookmarkStart w:id="108" w:name="_Toc31000"/>
      <w:bookmarkStart w:id="109" w:name="_Toc10612"/>
      <w:bookmarkStart w:id="110" w:name="_Toc7333"/>
      <w:bookmarkStart w:id="111" w:name="_Toc27214"/>
      <w:bookmarkStart w:id="112" w:name="_Toc28361"/>
      <w:bookmarkStart w:id="113" w:name="_Toc17474"/>
      <w:bookmarkStart w:id="114" w:name="_Toc5609"/>
      <w:bookmarkStart w:id="115" w:name="_Toc6498"/>
      <w:bookmarkStart w:id="116" w:name="_Toc5400"/>
      <w:bookmarkStart w:id="117" w:name="_Toc864"/>
      <w:bookmarkStart w:id="118" w:name="_Toc29157"/>
      <w:bookmarkStart w:id="119" w:name="_Toc9983"/>
      <w:r>
        <w:rPr>
          <w:rFonts w:hint="eastAsia" w:ascii="仿宋" w:hAnsi="仿宋" w:eastAsia="仿宋" w:cs="仿宋"/>
          <w:b/>
          <w:bCs/>
        </w:rPr>
        <w:t>第一节使用环境</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pPr>
        <w:pStyle w:val="23"/>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1项目名称：前轮毂手动装配线能力提升</w:t>
      </w:r>
    </w:p>
    <w:p>
      <w:pPr>
        <w:pStyle w:val="23"/>
        <w:snapToGrid w:val="0"/>
        <w:spacing w:line="360" w:lineRule="auto"/>
        <w:ind w:firstLine="420" w:firstLineChars="200"/>
        <w:rPr>
          <w:rFonts w:ascii="仿宋" w:hAnsi="仿宋" w:eastAsia="仿宋" w:cs="仿宋"/>
          <w:shd w:val="pct10" w:color="auto" w:fill="FFFFFF"/>
        </w:rPr>
      </w:pPr>
      <w:r>
        <w:rPr>
          <w:rFonts w:hint="eastAsia" w:ascii="仿宋" w:hAnsi="仿宋" w:eastAsia="仿宋" w:cs="仿宋"/>
        </w:rPr>
        <w:t>2建设地点：</w:t>
      </w:r>
      <w:r>
        <w:rPr>
          <w:rFonts w:hint="eastAsia" w:ascii="仿宋" w:hAnsi="仿宋" w:eastAsia="仿宋" w:cs="仿宋"/>
          <w:shd w:val="pct10" w:color="auto" w:fill="FFFFFF"/>
        </w:rPr>
        <w:t>重汽(济南)车桥有限公司</w:t>
      </w:r>
      <w:r>
        <w:rPr>
          <w:rFonts w:hint="eastAsia" w:ascii="仿宋" w:hAnsi="仿宋" w:eastAsia="仿宋" w:cs="仿宋"/>
        </w:rPr>
        <w:t>（工地）</w:t>
      </w:r>
    </w:p>
    <w:p>
      <w:pPr>
        <w:pStyle w:val="23"/>
        <w:snapToGrid w:val="0"/>
        <w:spacing w:line="360" w:lineRule="auto"/>
        <w:ind w:firstLine="420" w:firstLineChars="200"/>
        <w:rPr>
          <w:rFonts w:ascii="仿宋" w:hAnsi="仿宋" w:eastAsia="仿宋" w:cs="仿宋"/>
          <w:shd w:val="pct10" w:color="auto" w:fill="FFFFFF"/>
        </w:rPr>
      </w:pPr>
      <w:r>
        <w:rPr>
          <w:rFonts w:hint="eastAsia" w:ascii="仿宋" w:hAnsi="仿宋" w:eastAsia="仿宋" w:cs="仿宋"/>
        </w:rPr>
        <w:t>3使用地点：</w:t>
      </w:r>
      <w:r>
        <w:rPr>
          <w:rFonts w:hint="eastAsia" w:ascii="仿宋" w:hAnsi="仿宋" w:eastAsia="仿宋" w:cs="仿宋"/>
          <w:shd w:val="pct10" w:color="auto" w:fill="FFFFFF"/>
        </w:rPr>
        <w:t>车桥公司</w:t>
      </w:r>
      <w:r>
        <w:rPr>
          <w:rFonts w:hint="eastAsia" w:ascii="仿宋" w:hAnsi="仿宋" w:eastAsia="仿宋" w:cs="仿宋"/>
        </w:rPr>
        <w:t>零部件线小件加工分部前轮毂总成人工装配线（室内）</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4工作制度：全年工作</w:t>
      </w:r>
      <w:r>
        <w:rPr>
          <w:rFonts w:hint="eastAsia" w:ascii="仿宋" w:hAnsi="仿宋" w:eastAsia="仿宋" w:cs="仿宋"/>
          <w:shd w:val="pct10" w:color="auto" w:fill="FFFFFF"/>
        </w:rPr>
        <w:t>300</w:t>
      </w:r>
      <w:r>
        <w:rPr>
          <w:rFonts w:hint="eastAsia" w:ascii="仿宋" w:hAnsi="仿宋" w:eastAsia="仿宋" w:cs="仿宋"/>
        </w:rPr>
        <w:t>天、</w:t>
      </w:r>
      <w:r>
        <w:rPr>
          <w:rFonts w:hint="eastAsia" w:ascii="仿宋" w:hAnsi="仿宋" w:eastAsia="仿宋" w:cs="仿宋"/>
          <w:shd w:val="pct10" w:color="auto" w:fill="FFFFFF"/>
        </w:rPr>
        <w:t>3</w:t>
      </w:r>
      <w:r>
        <w:rPr>
          <w:rFonts w:hint="eastAsia" w:ascii="仿宋" w:hAnsi="仿宋" w:eastAsia="仿宋" w:cs="仿宋"/>
        </w:rPr>
        <w:t xml:space="preserve">班制、设备年时基数 </w:t>
      </w:r>
      <w:r>
        <w:rPr>
          <w:rFonts w:hint="eastAsia" w:ascii="仿宋" w:hAnsi="仿宋" w:eastAsia="仿宋" w:cs="仿宋"/>
          <w:shd w:val="pct10" w:color="auto" w:fill="FFFFFF"/>
        </w:rPr>
        <w:t>7200</w:t>
      </w:r>
      <w:r>
        <w:rPr>
          <w:rFonts w:hint="eastAsia" w:ascii="仿宋" w:hAnsi="仿宋" w:eastAsia="仿宋" w:cs="仿宋"/>
        </w:rPr>
        <w:t xml:space="preserve"> 小时</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5使用地点区域自然环境：</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5.1海拨高度：1000m以下。</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5.2环境温度：室外极端最低温度-19.7℃、极端最高温度42℃，昼夜最大温差25℃；室内温度5～40℃。</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5.3相对湿度：年平均59%，最大95%、最小15%。</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5.4 地震裂度：七度。</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6能源环境：</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6.1电力：中国制式，供电电压</w:t>
      </w:r>
      <w:r>
        <w:rPr>
          <w:rFonts w:hint="eastAsia" w:ascii="仿宋" w:hAnsi="仿宋" w:eastAsia="仿宋" w:cs="仿宋"/>
          <w:u w:val="single"/>
          <w:shd w:val="pct10" w:color="auto" w:fill="FFFFFF"/>
        </w:rPr>
        <w:t>380V±15%/220V±15%</w:t>
      </w:r>
      <w:r>
        <w:rPr>
          <w:rFonts w:hint="eastAsia" w:ascii="仿宋" w:hAnsi="仿宋" w:eastAsia="仿宋" w:cs="仿宋"/>
        </w:rPr>
        <w:t>，供电频率50Hz±2%。</w:t>
      </w:r>
    </w:p>
    <w:p>
      <w:pPr>
        <w:snapToGrid w:val="0"/>
        <w:spacing w:line="360" w:lineRule="auto"/>
        <w:ind w:firstLine="420" w:firstLineChars="200"/>
        <w:rPr>
          <w:rFonts w:ascii="仿宋" w:hAnsi="仿宋" w:eastAsia="仿宋" w:cs="仿宋"/>
        </w:rPr>
      </w:pPr>
      <w:r>
        <w:rPr>
          <w:rFonts w:hint="eastAsia" w:ascii="仿宋" w:hAnsi="仿宋" w:eastAsia="仿宋" w:cs="仿宋"/>
        </w:rPr>
        <w:t xml:space="preserve">6.2 </w:t>
      </w:r>
      <w:r>
        <w:rPr>
          <w:rFonts w:hint="eastAsia" w:ascii="仿宋" w:hAnsi="仿宋" w:eastAsia="仿宋" w:cs="仿宋"/>
          <w:kern w:val="0"/>
        </w:rPr>
        <w:t>给水：市政自来水</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6.3压缩空气：自备空压机自产压缩空气，压力范围</w:t>
      </w:r>
      <w:r>
        <w:rPr>
          <w:rFonts w:hint="eastAsia" w:ascii="仿宋" w:hAnsi="仿宋" w:eastAsia="仿宋" w:cs="仿宋"/>
          <w:u w:val="single"/>
          <w:shd w:val="pct10" w:color="auto" w:fill="FFFFFF"/>
        </w:rPr>
        <w:t>0.5 ±0.1MPa</w:t>
      </w:r>
      <w:r>
        <w:rPr>
          <w:rFonts w:hint="eastAsia" w:ascii="仿宋" w:hAnsi="仿宋" w:eastAsia="仿宋" w:cs="仿宋"/>
        </w:rPr>
        <w:t>。</w:t>
      </w:r>
      <w:bookmarkStart w:id="120" w:name="_Toc15369"/>
      <w:bookmarkStart w:id="121" w:name="_Toc4175"/>
      <w:bookmarkStart w:id="122" w:name="_Toc29019"/>
      <w:bookmarkStart w:id="123" w:name="_Toc5421"/>
      <w:bookmarkStart w:id="124" w:name="_Toc17682"/>
      <w:bookmarkStart w:id="125" w:name="_Toc9143"/>
      <w:bookmarkStart w:id="126" w:name="_Toc6433"/>
      <w:bookmarkStart w:id="127" w:name="_Toc27857"/>
      <w:bookmarkStart w:id="128" w:name="_Toc8728"/>
      <w:bookmarkStart w:id="129" w:name="_Toc31241"/>
      <w:bookmarkStart w:id="130" w:name="_Toc29333"/>
      <w:bookmarkStart w:id="131" w:name="_Toc18569"/>
      <w:bookmarkStart w:id="132" w:name="_Toc22983"/>
      <w:bookmarkStart w:id="133" w:name="_Toc24563"/>
      <w:bookmarkStart w:id="134" w:name="_Toc5374"/>
      <w:bookmarkStart w:id="135" w:name="_Toc13324"/>
      <w:bookmarkStart w:id="136" w:name="_Toc30431"/>
      <w:bookmarkStart w:id="137" w:name="_Toc17543"/>
      <w:bookmarkStart w:id="138" w:name="_Toc23473"/>
      <w:bookmarkStart w:id="139" w:name="_Toc21616"/>
      <w:bookmarkStart w:id="140" w:name="_Toc9784"/>
      <w:bookmarkStart w:id="141" w:name="_Toc9671"/>
      <w:bookmarkStart w:id="142" w:name="_Toc5282"/>
      <w:bookmarkStart w:id="143" w:name="_Toc6636"/>
      <w:bookmarkStart w:id="144" w:name="_Toc27449"/>
      <w:bookmarkStart w:id="145" w:name="_Toc17605"/>
      <w:bookmarkStart w:id="146" w:name="_Toc8740"/>
      <w:bookmarkStart w:id="147" w:name="_Toc11744"/>
      <w:bookmarkStart w:id="148" w:name="_Toc429"/>
      <w:bookmarkStart w:id="149" w:name="_Toc9561"/>
      <w:bookmarkStart w:id="150" w:name="_Toc24481"/>
      <w:bookmarkStart w:id="151" w:name="_Toc12401"/>
      <w:bookmarkStart w:id="152" w:name="_Toc133783968"/>
    </w:p>
    <w:p>
      <w:pPr>
        <w:adjustRightInd w:val="0"/>
        <w:snapToGrid w:val="0"/>
        <w:spacing w:line="360" w:lineRule="auto"/>
        <w:jc w:val="center"/>
        <w:outlineLvl w:val="1"/>
        <w:rPr>
          <w:rFonts w:ascii="仿宋" w:hAnsi="仿宋" w:eastAsia="仿宋" w:cs="仿宋"/>
        </w:rPr>
      </w:pPr>
      <w:bookmarkStart w:id="153" w:name="_Toc73112398"/>
      <w:bookmarkStart w:id="154" w:name="_Toc21957"/>
      <w:bookmarkStart w:id="155" w:name="_Toc29190"/>
      <w:bookmarkStart w:id="156" w:name="_Toc8560"/>
      <w:bookmarkStart w:id="157" w:name="_Toc18032"/>
      <w:bookmarkStart w:id="158" w:name="_Toc32599"/>
      <w:bookmarkStart w:id="159" w:name="_Toc18778"/>
      <w:bookmarkStart w:id="160" w:name="_Toc13544"/>
      <w:bookmarkStart w:id="161" w:name="_Toc21302"/>
      <w:bookmarkStart w:id="162" w:name="_Toc1523"/>
      <w:bookmarkStart w:id="163" w:name="_Toc1424"/>
      <w:bookmarkStart w:id="164" w:name="_Toc10013"/>
      <w:bookmarkStart w:id="165" w:name="_Toc24559"/>
      <w:bookmarkStart w:id="166" w:name="_Toc17750"/>
      <w:r>
        <w:rPr>
          <w:rFonts w:hint="eastAsia" w:ascii="仿宋" w:hAnsi="仿宋" w:eastAsia="仿宋" w:cs="仿宋"/>
          <w:b/>
          <w:bCs/>
        </w:rPr>
        <w:t>第二节采购货物概况</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1货物（或生产线）数量：</w:t>
      </w:r>
      <w:r>
        <w:rPr>
          <w:rFonts w:hint="eastAsia" w:ascii="仿宋" w:hAnsi="仿宋" w:eastAsia="仿宋" w:cs="仿宋"/>
          <w:szCs w:val="28"/>
        </w:rPr>
        <w:t>2台压力机和1台前轮毂总成ABS齿圈综合检测机</w:t>
      </w:r>
      <w:r>
        <w:rPr>
          <w:rFonts w:hint="eastAsia" w:ascii="仿宋" w:hAnsi="仿宋" w:eastAsia="仿宋" w:cs="仿宋"/>
        </w:rPr>
        <w:t>（详见下表）</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采购货物（或生产线）主要构成一览表</w:t>
      </w:r>
    </w:p>
    <w:tbl>
      <w:tblPr>
        <w:tblStyle w:val="41"/>
        <w:tblW w:w="7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2424"/>
        <w:gridCol w:w="1122"/>
        <w:gridCol w:w="595"/>
        <w:gridCol w:w="588"/>
        <w:gridCol w:w="1490"/>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dxa"/>
            <w:shd w:val="clear" w:color="auto" w:fill="auto"/>
            <w:vAlign w:val="center"/>
          </w:tcPr>
          <w:p>
            <w:pPr>
              <w:pStyle w:val="23"/>
              <w:snapToGrid w:val="0"/>
              <w:spacing w:line="240" w:lineRule="auto"/>
              <w:ind w:firstLine="0" w:firstLineChars="0"/>
              <w:jc w:val="center"/>
              <w:rPr>
                <w:rFonts w:ascii="仿宋" w:hAnsi="仿宋" w:eastAsia="仿宋" w:cs="仿宋"/>
              </w:rPr>
            </w:pPr>
            <w:r>
              <w:rPr>
                <w:rFonts w:hint="eastAsia" w:ascii="仿宋" w:hAnsi="仿宋" w:eastAsia="仿宋" w:cs="仿宋"/>
                <w:kern w:val="2"/>
              </w:rPr>
              <w:t>序号</w:t>
            </w:r>
          </w:p>
        </w:tc>
        <w:tc>
          <w:tcPr>
            <w:tcW w:w="2424"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货物名称</w:t>
            </w:r>
          </w:p>
        </w:tc>
        <w:tc>
          <w:tcPr>
            <w:tcW w:w="1122"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型号规格</w:t>
            </w:r>
          </w:p>
        </w:tc>
        <w:tc>
          <w:tcPr>
            <w:tcW w:w="595"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单位</w:t>
            </w:r>
          </w:p>
        </w:tc>
        <w:tc>
          <w:tcPr>
            <w:tcW w:w="588"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数量</w:t>
            </w:r>
          </w:p>
        </w:tc>
        <w:tc>
          <w:tcPr>
            <w:tcW w:w="1490"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 xml:space="preserve">安装地点/ </w:t>
            </w:r>
          </w:p>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服务对象</w:t>
            </w:r>
          </w:p>
        </w:tc>
        <w:tc>
          <w:tcPr>
            <w:tcW w:w="1199"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供货方式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45" w:type="dxa"/>
            <w:shd w:val="clear" w:color="auto" w:fill="auto"/>
            <w:vAlign w:val="center"/>
          </w:tcPr>
          <w:p>
            <w:pPr>
              <w:pStyle w:val="23"/>
              <w:snapToGrid w:val="0"/>
              <w:spacing w:line="240" w:lineRule="auto"/>
              <w:ind w:firstLine="0" w:firstLineChars="0"/>
              <w:jc w:val="center"/>
              <w:rPr>
                <w:rFonts w:ascii="仿宋" w:hAnsi="仿宋" w:eastAsia="仿宋" w:cs="仿宋"/>
              </w:rPr>
            </w:pPr>
            <w:r>
              <w:rPr>
                <w:rFonts w:hint="eastAsia" w:ascii="仿宋" w:hAnsi="仿宋" w:eastAsia="仿宋" w:cs="仿宋"/>
                <w:kern w:val="2"/>
              </w:rPr>
              <w:t>1</w:t>
            </w:r>
          </w:p>
        </w:tc>
        <w:tc>
          <w:tcPr>
            <w:tcW w:w="2424"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szCs w:val="28"/>
              </w:rPr>
              <w:t>压力机</w:t>
            </w:r>
          </w:p>
        </w:tc>
        <w:tc>
          <w:tcPr>
            <w:tcW w:w="1122"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szCs w:val="28"/>
              </w:rPr>
              <w:t>160T</w:t>
            </w:r>
          </w:p>
        </w:tc>
        <w:tc>
          <w:tcPr>
            <w:tcW w:w="595"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台</w:t>
            </w:r>
          </w:p>
        </w:tc>
        <w:tc>
          <w:tcPr>
            <w:tcW w:w="588"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2</w:t>
            </w:r>
          </w:p>
        </w:tc>
        <w:tc>
          <w:tcPr>
            <w:tcW w:w="1490"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rPr>
              <w:t>零部件线</w:t>
            </w:r>
          </w:p>
        </w:tc>
        <w:tc>
          <w:tcPr>
            <w:tcW w:w="1199"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rPr>
              <w:t>交钥匙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545"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2</w:t>
            </w:r>
          </w:p>
        </w:tc>
        <w:tc>
          <w:tcPr>
            <w:tcW w:w="2424"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szCs w:val="28"/>
              </w:rPr>
              <w:t>ABS齿圈综合检测机</w:t>
            </w:r>
          </w:p>
        </w:tc>
        <w:tc>
          <w:tcPr>
            <w:tcW w:w="1122"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宋体" w:hAnsi="宋体" w:cs="宋体"/>
                <w:kern w:val="2"/>
              </w:rPr>
              <w:t>/</w:t>
            </w:r>
          </w:p>
        </w:tc>
        <w:tc>
          <w:tcPr>
            <w:tcW w:w="595"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szCs w:val="28"/>
              </w:rPr>
              <w:t>台</w:t>
            </w:r>
          </w:p>
        </w:tc>
        <w:tc>
          <w:tcPr>
            <w:tcW w:w="588"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1</w:t>
            </w:r>
          </w:p>
        </w:tc>
        <w:tc>
          <w:tcPr>
            <w:tcW w:w="1490"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rPr>
              <w:t>零部件线</w:t>
            </w:r>
          </w:p>
        </w:tc>
        <w:tc>
          <w:tcPr>
            <w:tcW w:w="1199" w:type="dxa"/>
            <w:shd w:val="clear" w:color="auto" w:fill="auto"/>
            <w:vAlign w:val="center"/>
          </w:tcPr>
          <w:p>
            <w:pPr>
              <w:pStyle w:val="23"/>
              <w:snapToGrid w:val="0"/>
              <w:spacing w:line="240" w:lineRule="auto"/>
              <w:ind w:firstLine="0" w:firstLineChars="0"/>
              <w:jc w:val="center"/>
              <w:rPr>
                <w:rFonts w:ascii="仿宋" w:hAnsi="仿宋" w:eastAsia="仿宋" w:cs="仿宋"/>
                <w:kern w:val="2"/>
              </w:rPr>
            </w:pPr>
            <w:r>
              <w:rPr>
                <w:rFonts w:hint="eastAsia" w:ascii="仿宋" w:hAnsi="仿宋" w:eastAsia="仿宋" w:cs="仿宋"/>
              </w:rPr>
              <w:t>交钥匙</w:t>
            </w:r>
          </w:p>
        </w:tc>
      </w:tr>
    </w:tbl>
    <w:p>
      <w:pPr>
        <w:pStyle w:val="23"/>
        <w:snapToGrid w:val="0"/>
        <w:spacing w:line="360" w:lineRule="auto"/>
        <w:ind w:firstLine="420" w:firstLineChars="200"/>
        <w:rPr>
          <w:rFonts w:ascii="仿宋" w:hAnsi="仿宋" w:eastAsia="仿宋" w:cs="仿宋"/>
        </w:rPr>
      </w:pPr>
      <w:r>
        <w:rPr>
          <w:rFonts w:hint="eastAsia" w:ascii="仿宋" w:hAnsi="仿宋" w:eastAsia="仿宋" w:cs="仿宋"/>
        </w:rPr>
        <w:t>备注：</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②本表“供货方式”指：交钥匙方式——包括制造、运输、定点卸货、安装、调试和验收以及培训等。</w:t>
      </w:r>
    </w:p>
    <w:p>
      <w:pPr>
        <w:jc w:val="center"/>
        <w:outlineLvl w:val="0"/>
        <w:rPr>
          <w:rFonts w:ascii="仿宋" w:hAnsi="仿宋" w:eastAsia="仿宋" w:cs="仿宋"/>
          <w:b/>
          <w:bCs/>
        </w:rPr>
      </w:pPr>
      <w:bookmarkStart w:id="167" w:name="_Toc23603"/>
      <w:bookmarkStart w:id="168" w:name="_Toc32616"/>
      <w:bookmarkStart w:id="169" w:name="_Toc11605"/>
      <w:bookmarkStart w:id="170" w:name="_Toc20034"/>
      <w:bookmarkStart w:id="171" w:name="_Toc498"/>
      <w:bookmarkStart w:id="172" w:name="_Toc133783969"/>
      <w:bookmarkStart w:id="173" w:name="_Toc17465"/>
      <w:bookmarkStart w:id="174" w:name="_Toc12377"/>
      <w:bookmarkStart w:id="175" w:name="_Toc29174"/>
      <w:bookmarkStart w:id="176" w:name="_Toc26470"/>
      <w:bookmarkStart w:id="177" w:name="_Toc6687"/>
      <w:bookmarkStart w:id="178" w:name="_Toc10580"/>
      <w:bookmarkStart w:id="179" w:name="_Toc30487"/>
      <w:bookmarkStart w:id="180" w:name="_Toc31734"/>
      <w:bookmarkStart w:id="181" w:name="_Toc19793"/>
      <w:bookmarkStart w:id="182" w:name="_Toc27638"/>
      <w:bookmarkStart w:id="183" w:name="_Toc4881"/>
      <w:bookmarkStart w:id="184" w:name="_Toc18120"/>
      <w:bookmarkStart w:id="185" w:name="_Toc24992"/>
      <w:bookmarkStart w:id="186" w:name="_Toc24597"/>
      <w:bookmarkStart w:id="187" w:name="_Toc8780"/>
      <w:bookmarkStart w:id="188" w:name="_Toc22658"/>
      <w:bookmarkStart w:id="189" w:name="_Toc7739"/>
      <w:bookmarkStart w:id="190" w:name="_Toc2875"/>
      <w:bookmarkStart w:id="191" w:name="_Toc28168"/>
      <w:bookmarkStart w:id="192" w:name="_Toc26149"/>
      <w:bookmarkStart w:id="193" w:name="_Toc32524"/>
      <w:bookmarkStart w:id="194" w:name="_Toc4488"/>
      <w:bookmarkStart w:id="195" w:name="_Toc22689"/>
      <w:bookmarkStart w:id="196" w:name="_Toc4743"/>
      <w:bookmarkStart w:id="197" w:name="_Toc73112399"/>
      <w:bookmarkStart w:id="198" w:name="_Toc19015"/>
      <w:bookmarkStart w:id="199" w:name="_Toc7813"/>
      <w:bookmarkStart w:id="200" w:name="_Toc10441"/>
      <w:bookmarkStart w:id="201" w:name="_Toc13878"/>
      <w:bookmarkStart w:id="202" w:name="_Toc30429"/>
      <w:bookmarkStart w:id="203" w:name="_Toc1621"/>
      <w:bookmarkStart w:id="204" w:name="_Toc8565"/>
      <w:bookmarkStart w:id="205" w:name="_Toc15180"/>
      <w:bookmarkStart w:id="206" w:name="_Toc2018"/>
      <w:bookmarkStart w:id="207" w:name="_Toc16387"/>
      <w:bookmarkStart w:id="208" w:name="_Toc7338"/>
      <w:bookmarkStart w:id="209" w:name="_Toc761"/>
      <w:r>
        <w:rPr>
          <w:rFonts w:hint="eastAsia" w:ascii="仿宋" w:hAnsi="仿宋" w:eastAsia="仿宋" w:cs="仿宋"/>
          <w:b/>
          <w:bCs/>
        </w:rPr>
        <w:t>第二章技术要求</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pPr>
        <w:snapToGrid w:val="0"/>
        <w:spacing w:line="360" w:lineRule="auto"/>
        <w:ind w:firstLine="422" w:firstLineChars="200"/>
        <w:outlineLvl w:val="1"/>
        <w:rPr>
          <w:rFonts w:ascii="仿宋" w:hAnsi="仿宋" w:eastAsia="仿宋" w:cs="仿宋"/>
          <w:b/>
          <w:bCs/>
        </w:rPr>
      </w:pPr>
      <w:bookmarkStart w:id="210" w:name="_Toc16822"/>
      <w:bookmarkStart w:id="211" w:name="_Toc6003"/>
      <w:bookmarkStart w:id="212" w:name="_Toc5450"/>
      <w:bookmarkStart w:id="213" w:name="_Toc1111"/>
      <w:bookmarkStart w:id="214" w:name="_Toc5804"/>
      <w:bookmarkStart w:id="215" w:name="_Toc16063"/>
      <w:bookmarkStart w:id="216" w:name="_Toc15744"/>
      <w:bookmarkStart w:id="217" w:name="_Toc1968"/>
      <w:bookmarkStart w:id="218" w:name="_Toc22422"/>
      <w:bookmarkStart w:id="219" w:name="_Toc5714"/>
      <w:bookmarkStart w:id="220" w:name="_Toc20792"/>
      <w:bookmarkStart w:id="221" w:name="_Toc380"/>
      <w:bookmarkStart w:id="222" w:name="_Toc31246"/>
      <w:bookmarkStart w:id="223" w:name="_Toc23050"/>
      <w:bookmarkStart w:id="224" w:name="_Toc23337"/>
      <w:bookmarkStart w:id="225" w:name="_Toc21559"/>
      <w:bookmarkStart w:id="226" w:name="_Toc2473"/>
      <w:bookmarkStart w:id="227" w:name="_Toc15747"/>
      <w:bookmarkStart w:id="228" w:name="_Toc9894"/>
      <w:bookmarkStart w:id="229" w:name="_Toc5876"/>
      <w:bookmarkStart w:id="230" w:name="_Toc28751"/>
      <w:bookmarkStart w:id="231" w:name="_Toc9134"/>
      <w:bookmarkStart w:id="232" w:name="_Toc5110"/>
      <w:bookmarkStart w:id="233" w:name="_Toc27282"/>
      <w:bookmarkStart w:id="234" w:name="_Toc18792"/>
      <w:bookmarkStart w:id="235" w:name="_Toc39"/>
      <w:bookmarkStart w:id="236" w:name="_Toc15995"/>
      <w:bookmarkStart w:id="237" w:name="_Toc11621"/>
      <w:bookmarkStart w:id="238" w:name="_Toc27930"/>
      <w:bookmarkStart w:id="239" w:name="_Toc20402"/>
      <w:bookmarkStart w:id="240" w:name="_Toc4126"/>
      <w:bookmarkStart w:id="241" w:name="_Toc477"/>
      <w:bookmarkStart w:id="242" w:name="_Toc13195"/>
      <w:bookmarkStart w:id="243" w:name="_Toc73112400"/>
      <w:bookmarkStart w:id="244" w:name="_Toc26827"/>
      <w:bookmarkStart w:id="245" w:name="_Toc29354"/>
      <w:bookmarkStart w:id="246" w:name="_Toc7141"/>
      <w:bookmarkStart w:id="247" w:name="_Toc25950"/>
      <w:bookmarkStart w:id="248" w:name="_Toc31434"/>
      <w:bookmarkStart w:id="249" w:name="_Toc11056"/>
      <w:bookmarkStart w:id="250" w:name="_Toc29489"/>
      <w:r>
        <w:rPr>
          <w:rFonts w:hint="eastAsia" w:ascii="仿宋" w:hAnsi="仿宋" w:eastAsia="仿宋" w:cs="仿宋"/>
          <w:b/>
          <w:bCs/>
        </w:rPr>
        <w:t>1基本要求</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1.1 投标方所供的货物（或生产线），必须符合中国最新版的法律、法规和相关标准、规范的要求，符合项目所在地政府有关特殊要求。</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1.2 投标方所供货物（或生产线）涉及的、招标方有权使用的专利权技术以及知识产权保护的其它技术等，应保证招标方不因此受到任何侵权指控以及实际损失。</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1.3 投标方应保证所供货物（或生产线）的先进性、可靠性、经济性和实用性，并为全新货物（或设备）,并具有该货物(或设备)所有功能的永久使用权。</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1.4 投标方应满足招标方提出的各项技术要求，必要时应当免费提供技术承诺或担保。</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★1.5 投标方应保证所供货物（或设备）必须符合当前国家或地方最新安全、环保、职业健康最新法律、法规及《机械制造企业安全生产标准化规范》各项要求 。确保货物在使用管理过程中满足《职业健康安全管理体系》、《环境管理体系》等方面的国家标准、规范及地方规章要求</w:t>
      </w:r>
      <w:r>
        <w:rPr>
          <w:rFonts w:hint="eastAsia" w:ascii="仿宋" w:hAnsi="仿宋" w:eastAsia="仿宋" w:cs="仿宋"/>
          <w:color w:val="0000FF"/>
        </w:rPr>
        <w:t>。</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★1.6 投标方应保证所供货物（或设备）为中国公布的非淘汰货物（或设备），并为中国指定或规定的主管部门认可的环保型和节能型货物（或设备）。招标的中标货物不接受试验品（提供证据），还应是原产地的货物。</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1.7 设备用能设计基本要求</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1.7.1 任何用能设备均应遵循《能源管理体系要求》（ISO 50001:2018）、《能源管理体系 机械制造企业认证要求》（RB/T 119-2015）的相关规定，并在《能源管理体系要求》下开展设备的采购、维护、保养、淘汰更换等工作。</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1.7.2 为方便用能设备的计量统计，新增采购设备应在《用能单位能源计量器具配备和管理通则》（GB17167-2006）指导下配备符合相应要求的能源计量器具。</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1.7.4 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1.7.5 供方应确保设备的附属各类机电设备、设施（如：电机、风机、电器控制系统、润滑、保温隔热、照明等等）符合国家现行的相关专项标准要求。</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1.8 投标方应保证所供货物（或生产线）的完整性和成套性，能保证货物（或生产线）的正常运行、使用。</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1.9 投标方应对招标方采购的货物（或生产线）所涉及的技术、产能等信息负有保密义务，特殊项目应当无条件签署保密协议。</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★1.10 设备使用仪表和自控设备要求：</w:t>
      </w:r>
    </w:p>
    <w:p>
      <w:pPr>
        <w:pStyle w:val="23"/>
        <w:snapToGrid w:val="0"/>
        <w:spacing w:line="360" w:lineRule="auto"/>
        <w:ind w:firstLine="420" w:firstLineChars="200"/>
        <w:rPr>
          <w:rFonts w:ascii="仿宋" w:hAnsi="仿宋" w:eastAsia="仿宋" w:cs="仿宋"/>
        </w:rPr>
      </w:pPr>
      <w:bookmarkStart w:id="251" w:name="_Toc5025"/>
      <w:bookmarkStart w:id="252" w:name="_Toc5010"/>
      <w:bookmarkStart w:id="253" w:name="_Toc31111"/>
      <w:bookmarkStart w:id="254" w:name="_Toc2908"/>
      <w:bookmarkStart w:id="255" w:name="_Toc7044"/>
      <w:bookmarkStart w:id="256" w:name="_Toc30944"/>
      <w:r>
        <w:rPr>
          <w:rFonts w:hint="eastAsia" w:ascii="仿宋" w:hAnsi="仿宋" w:eastAsia="仿宋" w:cs="仿宋"/>
        </w:rPr>
        <w:t>1.10.1 设备使用仪表通用技术要求:</w:t>
      </w:r>
      <w:bookmarkEnd w:id="251"/>
      <w:bookmarkEnd w:id="252"/>
      <w:bookmarkEnd w:id="253"/>
      <w:bookmarkEnd w:id="254"/>
      <w:bookmarkEnd w:id="255"/>
      <w:bookmarkEnd w:id="256"/>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1.10.1.1 投标人及供货商应保证所提供的仪表和自控设备，完全符合或高于本文通用技术要求及相应产品技术规范的要求，并应保证其供应产品在本工程指明的环境条件下能够长期安全、正常地运行。 </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pPr>
        <w:pStyle w:val="23"/>
        <w:snapToGrid w:val="0"/>
        <w:spacing w:line="360" w:lineRule="auto"/>
        <w:ind w:firstLine="420" w:firstLineChars="200"/>
        <w:rPr>
          <w:rFonts w:ascii="仿宋" w:hAnsi="仿宋" w:eastAsia="仿宋" w:cs="仿宋"/>
        </w:rPr>
      </w:pPr>
      <w:bookmarkStart w:id="257" w:name="_Toc581"/>
      <w:bookmarkStart w:id="258" w:name="_Toc9364"/>
      <w:bookmarkStart w:id="259" w:name="_Toc26032"/>
      <w:bookmarkStart w:id="260" w:name="_Toc5075"/>
      <w:bookmarkStart w:id="261" w:name="_Toc32105"/>
      <w:bookmarkStart w:id="262" w:name="_Toc16669"/>
      <w:r>
        <w:rPr>
          <w:rFonts w:hint="eastAsia" w:ascii="仿宋" w:hAnsi="仿宋" w:eastAsia="仿宋" w:cs="仿宋"/>
        </w:rPr>
        <w:t>1.10.2 准确度要求: </w:t>
      </w:r>
      <w:bookmarkEnd w:id="257"/>
      <w:bookmarkEnd w:id="258"/>
      <w:bookmarkEnd w:id="259"/>
      <w:bookmarkEnd w:id="260"/>
      <w:bookmarkEnd w:id="261"/>
      <w:bookmarkEnd w:id="262"/>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1.10.2.3 项目验收时，投标方提供测量功能设备及计量器具资质合格证书，招标方根据实际情况进行相关复检，复检合格视为合格。</w:t>
      </w:r>
    </w:p>
    <w:p>
      <w:pPr>
        <w:pStyle w:val="23"/>
        <w:snapToGrid w:val="0"/>
        <w:spacing w:line="360" w:lineRule="auto"/>
        <w:ind w:firstLine="420" w:firstLineChars="200"/>
        <w:rPr>
          <w:rFonts w:ascii="仿宋" w:hAnsi="仿宋" w:eastAsia="仿宋" w:cs="仿宋"/>
        </w:rPr>
      </w:pPr>
      <w:bookmarkStart w:id="263" w:name="_Toc1291"/>
      <w:bookmarkStart w:id="264" w:name="_Toc25422"/>
      <w:bookmarkStart w:id="265" w:name="_Toc31048"/>
      <w:bookmarkStart w:id="266" w:name="_Toc8799"/>
      <w:bookmarkStart w:id="267" w:name="_Toc5510"/>
      <w:bookmarkStart w:id="268" w:name="_Toc28774"/>
      <w:r>
        <w:rPr>
          <w:rFonts w:hint="eastAsia" w:ascii="仿宋" w:hAnsi="仿宋" w:eastAsia="仿宋" w:cs="仿宋"/>
        </w:rPr>
        <w:t>1.10.3 材质要求: </w:t>
      </w:r>
      <w:bookmarkEnd w:id="263"/>
      <w:bookmarkEnd w:id="264"/>
      <w:bookmarkEnd w:id="265"/>
      <w:bookmarkEnd w:id="266"/>
      <w:bookmarkEnd w:id="267"/>
      <w:bookmarkEnd w:id="268"/>
    </w:p>
    <w:p>
      <w:pPr>
        <w:pStyle w:val="23"/>
        <w:snapToGrid w:val="0"/>
        <w:spacing w:line="360" w:lineRule="auto"/>
        <w:ind w:firstLine="420" w:firstLineChars="200"/>
        <w:rPr>
          <w:rFonts w:ascii="仿宋" w:hAnsi="仿宋" w:eastAsia="仿宋" w:cs="仿宋"/>
        </w:rPr>
      </w:pPr>
      <w:r>
        <w:rPr>
          <w:rFonts w:hint="eastAsia" w:ascii="仿宋" w:hAnsi="仿宋" w:eastAsia="仿宋" w:cs="仿宋"/>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★1.11投标方所供设备应按“交钥匙工程”要求。</w:t>
      </w:r>
    </w:p>
    <w:p>
      <w:pPr>
        <w:snapToGrid w:val="0"/>
        <w:spacing w:line="360" w:lineRule="auto"/>
        <w:ind w:firstLine="422" w:firstLineChars="200"/>
        <w:outlineLvl w:val="1"/>
        <w:rPr>
          <w:rFonts w:ascii="仿宋" w:hAnsi="仿宋" w:eastAsia="仿宋" w:cs="仿宋"/>
        </w:rPr>
      </w:pPr>
      <w:bookmarkStart w:id="269" w:name="_Hlk69924518"/>
      <w:r>
        <w:rPr>
          <w:rFonts w:hint="eastAsia" w:ascii="仿宋" w:hAnsi="仿宋" w:eastAsia="仿宋" w:cs="仿宋"/>
          <w:b/>
          <w:bCs/>
        </w:rPr>
        <w:t xml:space="preserve">2 </w:t>
      </w:r>
      <w:r>
        <w:rPr>
          <w:rFonts w:hint="eastAsia" w:ascii="仿宋" w:hAnsi="仿宋" w:eastAsia="仿宋" w:cs="仿宋"/>
          <w:lang w:bidi="ar"/>
        </w:rPr>
        <w:t>执行标准</w:t>
      </w:r>
    </w:p>
    <w:bookmarkEnd w:id="269"/>
    <w:p>
      <w:pPr>
        <w:spacing w:line="480" w:lineRule="exact"/>
        <w:ind w:firstLine="420" w:firstLineChars="200"/>
        <w:rPr>
          <w:rFonts w:ascii="仿宋" w:hAnsi="仿宋" w:eastAsia="仿宋" w:cs="仿宋"/>
        </w:rPr>
      </w:pPr>
      <w:r>
        <w:rPr>
          <w:rFonts w:hint="eastAsia" w:ascii="仿宋" w:hAnsi="仿宋" w:eastAsia="仿宋" w:cs="仿宋"/>
          <w:lang w:bidi="ar"/>
        </w:rPr>
        <w:t>2.1  招标方此处所列标准仅为涉及的主要标准，而且不保证其为最新版执行标准；投标方应当在投标文件中予以补充和完善。</w:t>
      </w:r>
    </w:p>
    <w:p>
      <w:pPr>
        <w:spacing w:line="480" w:lineRule="exact"/>
        <w:ind w:firstLine="420" w:firstLineChars="200"/>
        <w:rPr>
          <w:rFonts w:ascii="仿宋" w:hAnsi="仿宋" w:eastAsia="仿宋" w:cs="仿宋"/>
          <w:lang w:bidi="ar"/>
        </w:rPr>
      </w:pPr>
      <w:r>
        <w:rPr>
          <w:rFonts w:hint="eastAsia" w:ascii="仿宋" w:hAnsi="仿宋" w:eastAsia="仿宋" w:cs="仿宋"/>
          <w:lang w:bidi="ar"/>
        </w:rPr>
        <w:t>2.2  投标方需要执行的标准，应当以所供设备通过招标方将来组织的最终验收之日后需要执行的标准。</w:t>
      </w:r>
    </w:p>
    <w:p>
      <w:pPr>
        <w:spacing w:line="480" w:lineRule="exact"/>
        <w:ind w:firstLine="420" w:firstLineChars="200"/>
        <w:rPr>
          <w:rFonts w:ascii="仿宋" w:hAnsi="仿宋" w:eastAsia="仿宋" w:cs="仿宋"/>
        </w:rPr>
      </w:pPr>
      <w:r>
        <w:rPr>
          <w:rFonts w:hint="eastAsia" w:ascii="仿宋" w:hAnsi="仿宋" w:eastAsia="仿宋" w:cs="仿宋"/>
          <w:lang w:bidi="ar"/>
        </w:rPr>
        <w:t>2.3  涉及的主要标准表（包含但不限于）</w:t>
      </w:r>
    </w:p>
    <w:tbl>
      <w:tblPr>
        <w:tblStyle w:val="41"/>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仿宋" w:hAnsi="仿宋" w:eastAsia="仿宋" w:cs="仿宋"/>
                <w:sz w:val="21"/>
              </w:rPr>
            </w:pPr>
            <w:r>
              <w:rPr>
                <w:rFonts w:hint="eastAsia" w:ascii="仿宋" w:hAnsi="仿宋" w:eastAsia="仿宋" w:cs="仿宋"/>
                <w:sz w:val="21"/>
                <w:lang w:bidi="ar"/>
              </w:rPr>
              <w:t>序号</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仿宋" w:hAnsi="仿宋" w:eastAsia="仿宋" w:cs="仿宋"/>
                <w:sz w:val="21"/>
              </w:rPr>
            </w:pPr>
            <w:r>
              <w:rPr>
                <w:rFonts w:hint="eastAsia" w:ascii="仿宋" w:hAnsi="仿宋" w:eastAsia="仿宋" w:cs="仿宋"/>
                <w:sz w:val="21"/>
                <w:lang w:bidi="ar"/>
              </w:rPr>
              <w:t>标准名称</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仿宋" w:hAnsi="仿宋" w:eastAsia="仿宋" w:cs="仿宋"/>
                <w:sz w:val="21"/>
              </w:rPr>
            </w:pPr>
            <w:r>
              <w:rPr>
                <w:rFonts w:hint="eastAsia" w:ascii="仿宋" w:hAnsi="仿宋" w:eastAsia="仿宋" w:cs="仿宋"/>
                <w:sz w:val="21"/>
                <w:lang w:bidi="ar"/>
              </w:rPr>
              <w:t>标准编号</w:t>
            </w:r>
          </w:p>
        </w:tc>
        <w:tc>
          <w:tcPr>
            <w:tcW w:w="66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仿宋" w:hAnsi="仿宋" w:eastAsia="仿宋" w:cs="仿宋"/>
                <w:sz w:val="21"/>
              </w:rPr>
            </w:pPr>
            <w:r>
              <w:rPr>
                <w:rFonts w:hint="eastAsia" w:ascii="仿宋" w:hAnsi="仿宋" w:eastAsia="仿宋" w:cs="仿宋"/>
                <w:sz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lang w:bidi="ar"/>
              </w:rPr>
              <w:t>1</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rPr>
            </w:pPr>
            <w:r>
              <w:rPr>
                <w:rFonts w:hint="eastAsia" w:ascii="仿宋" w:hAnsi="仿宋" w:eastAsia="仿宋" w:cs="仿宋"/>
                <w:sz w:val="21"/>
                <w:szCs w:val="21"/>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rPr>
            </w:pPr>
            <w:r>
              <w:rPr>
                <w:rFonts w:hint="eastAsia" w:ascii="仿宋" w:hAnsi="仿宋" w:eastAsia="仿宋" w:cs="仿宋"/>
                <w:sz w:val="21"/>
                <w:szCs w:val="21"/>
                <w:lang w:bidi="ar"/>
              </w:rPr>
              <w:t>GB/T2681-81</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GB/T2682-81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3</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GB/T14549-93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4</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金属切削机床安全防护通用技术条件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GB15760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5</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金属切削机床通用技术条件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GB/T9061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6</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机床电气通用技术条件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GB5226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7</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fldChar w:fldCharType="begin"/>
            </w:r>
            <w:r>
              <w:instrText xml:space="preserve"> HYPERLINK "http://wenku.baidu.com/view/db95ac1014791711cc791788.html" \t "F:/工艺工程部/项目/2021年固定资产投资/工艺院批复项目/标书/_blank" </w:instrText>
            </w:r>
            <w:r>
              <w:fldChar w:fldCharType="separate"/>
            </w:r>
            <w:r>
              <w:rPr>
                <w:rFonts w:hint="eastAsia" w:ascii="仿宋" w:hAnsi="仿宋" w:eastAsia="仿宋" w:cs="仿宋"/>
                <w:sz w:val="21"/>
                <w:szCs w:val="21"/>
                <w:lang w:bidi="ar"/>
              </w:rPr>
              <w:t>机械设备防护罩安全标准</w:t>
            </w:r>
            <w:r>
              <w:rPr>
                <w:rFonts w:hint="eastAsia" w:ascii="仿宋" w:hAnsi="仿宋" w:eastAsia="仿宋" w:cs="仿宋"/>
                <w:sz w:val="21"/>
                <w:szCs w:val="21"/>
                <w:lang w:bidi="ar"/>
              </w:rPr>
              <w:fldChar w:fldCharType="end"/>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GB8196-2003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8</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机械安全 防止上下肢触及危险区的安全距离</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GB/T23821-2022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9</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机械安全 双手操纵装置 设计和选择原则</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GB/T19671-2022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10</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机械安全 安全防护的实施准则</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GB/T30574-2021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11</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17888-2020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12</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《工业企业设计卫生标准》</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GBZ 1-2002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13</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GB/T50087-2013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14</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GBJ122-88</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15</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GBZ/T189.1-2007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高耗能落后机电设备（产品）淘汰目录（第四批）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GB17167-2006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22</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GBZ/T189.8-2007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23</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产品验收实施规范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JB/T 10825-2008</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24</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left"/>
              <w:rPr>
                <w:rFonts w:ascii="仿宋" w:hAnsi="仿宋" w:eastAsia="仿宋" w:cs="仿宋"/>
                <w:sz w:val="21"/>
                <w:szCs w:val="21"/>
                <w:lang w:bidi="ar"/>
              </w:rPr>
            </w:pPr>
            <w:r>
              <w:rPr>
                <w:rFonts w:hint="eastAsia" w:ascii="仿宋" w:hAnsi="仿宋" w:eastAsia="仿宋" w:cs="仿宋"/>
                <w:sz w:val="21"/>
                <w:szCs w:val="21"/>
                <w:lang w:bidi="ar"/>
              </w:rPr>
              <w:t>工业机器人电气设备及系统 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left"/>
              <w:rPr>
                <w:rFonts w:ascii="仿宋" w:hAnsi="仿宋" w:eastAsia="仿宋" w:cs="仿宋"/>
                <w:sz w:val="21"/>
                <w:szCs w:val="21"/>
                <w:lang w:bidi="ar"/>
              </w:rPr>
            </w:pPr>
            <w:r>
              <w:rPr>
                <w:rFonts w:hint="eastAsia" w:ascii="仿宋" w:hAnsi="仿宋" w:eastAsia="仿宋" w:cs="仿宋"/>
                <w:sz w:val="21"/>
                <w:szCs w:val="21"/>
                <w:lang w:bidi="ar"/>
              </w:rPr>
              <w:t>GB/T 39463-2020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25</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left"/>
              <w:rPr>
                <w:rFonts w:ascii="仿宋" w:hAnsi="仿宋" w:eastAsia="仿宋" w:cs="仿宋"/>
                <w:sz w:val="21"/>
                <w:szCs w:val="21"/>
                <w:lang w:bidi="ar"/>
              </w:rPr>
            </w:pPr>
            <w:r>
              <w:rPr>
                <w:rFonts w:hint="eastAsia" w:ascii="仿宋" w:hAnsi="仿宋" w:eastAsia="仿宋" w:cs="仿宋"/>
                <w:sz w:val="21"/>
                <w:szCs w:val="21"/>
                <w:lang w:bidi="ar"/>
              </w:rPr>
              <w:t>工业机器人控制单元的信息安全通用要求</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left"/>
              <w:rPr>
                <w:rFonts w:ascii="仿宋" w:hAnsi="仿宋" w:eastAsia="仿宋" w:cs="仿宋"/>
                <w:sz w:val="21"/>
                <w:szCs w:val="21"/>
                <w:lang w:bidi="ar"/>
              </w:rPr>
            </w:pPr>
            <w:r>
              <w:rPr>
                <w:rFonts w:hint="eastAsia" w:ascii="仿宋" w:hAnsi="仿宋" w:eastAsia="仿宋" w:cs="仿宋"/>
                <w:sz w:val="21"/>
                <w:szCs w:val="21"/>
                <w:lang w:bidi="ar"/>
              </w:rPr>
              <w:t>GB/T 39404-2020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26</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抓握型夹持器物体搬运 词汇和特性表示</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19400-2003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27</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left"/>
              <w:rPr>
                <w:rFonts w:ascii="仿宋" w:hAnsi="仿宋" w:eastAsia="仿宋" w:cs="仿宋"/>
                <w:sz w:val="21"/>
                <w:szCs w:val="21"/>
                <w:lang w:bidi="ar"/>
              </w:rPr>
            </w:pPr>
            <w:r>
              <w:rPr>
                <w:rFonts w:hint="eastAsia" w:ascii="仿宋" w:hAnsi="仿宋" w:eastAsia="仿宋" w:cs="仿宋"/>
                <w:sz w:val="21"/>
                <w:szCs w:val="21"/>
                <w:lang w:bidi="ar"/>
              </w:rPr>
              <w:t>面向人机协作的工业机器人设计规范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1"/>
                <w:szCs w:val="21"/>
                <w:lang w:bidi="ar"/>
              </w:rPr>
            </w:pPr>
            <w:r>
              <w:rPr>
                <w:rFonts w:hint="eastAsia" w:ascii="仿宋" w:hAnsi="仿宋" w:eastAsia="仿宋" w:cs="仿宋"/>
                <w:sz w:val="21"/>
                <w:szCs w:val="21"/>
                <w:lang w:bidi="ar"/>
              </w:rPr>
              <w:t>GB/T 39402-2020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28</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性能规范及其试验方法</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12642-2001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29</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词汇</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12643-1997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30</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特性表示</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12644-2001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31</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坐标系和运动命名原则</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16977-2005</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32</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安全实施规范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20867-2007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33</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电磁相容性试验方法和性能评估准则指南</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19397-2003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34</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17888-2020</w:t>
            </w:r>
          </w:p>
        </w:tc>
        <w:tc>
          <w:tcPr>
            <w:tcW w:w="660" w:type="dxa"/>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bl>
    <w:p>
      <w:pPr>
        <w:spacing w:line="360" w:lineRule="exact"/>
        <w:rPr>
          <w:rFonts w:ascii="仿宋" w:hAnsi="仿宋" w:eastAsia="仿宋" w:cs="仿宋"/>
          <w:sz w:val="21"/>
        </w:rPr>
      </w:pPr>
      <w:r>
        <w:rPr>
          <w:rFonts w:hint="eastAsia" w:ascii="仿宋" w:hAnsi="仿宋" w:eastAsia="仿宋" w:cs="仿宋"/>
          <w:sz w:val="21"/>
          <w:lang w:bidi="ar"/>
        </w:rPr>
        <w:t>备注：1、如果有采用国际标准的货物，其执行标准由投标方提供、招标方确认。</w:t>
      </w:r>
    </w:p>
    <w:p>
      <w:pPr>
        <w:snapToGrid w:val="0"/>
        <w:spacing w:line="360" w:lineRule="auto"/>
        <w:ind w:firstLine="422" w:firstLineChars="200"/>
        <w:outlineLvl w:val="1"/>
        <w:rPr>
          <w:rFonts w:ascii="仿宋" w:hAnsi="仿宋" w:eastAsia="仿宋" w:cs="仿宋"/>
          <w:b/>
          <w:bCs/>
        </w:rPr>
      </w:pPr>
      <w:bookmarkStart w:id="270" w:name="_Toc20964"/>
      <w:bookmarkStart w:id="271" w:name="_Toc17980"/>
      <w:bookmarkStart w:id="272" w:name="_Toc14059"/>
      <w:bookmarkStart w:id="273" w:name="_Toc21638"/>
      <w:bookmarkStart w:id="274" w:name="_Toc6030"/>
      <w:bookmarkStart w:id="275" w:name="_Toc22289"/>
      <w:bookmarkStart w:id="276" w:name="_Toc6412"/>
      <w:bookmarkStart w:id="277" w:name="_Toc19250"/>
      <w:bookmarkStart w:id="278" w:name="_Toc1883"/>
      <w:bookmarkStart w:id="279" w:name="_Toc31630"/>
      <w:bookmarkStart w:id="280" w:name="_Toc5212"/>
      <w:bookmarkStart w:id="281" w:name="_Toc12125"/>
      <w:bookmarkStart w:id="282" w:name="_Toc1411"/>
      <w:bookmarkStart w:id="283" w:name="_Toc19638"/>
      <w:bookmarkStart w:id="284" w:name="_Toc7623"/>
      <w:bookmarkStart w:id="285" w:name="_Toc7786"/>
      <w:bookmarkStart w:id="286" w:name="_Toc26406"/>
      <w:bookmarkStart w:id="287" w:name="_Toc27157"/>
      <w:bookmarkStart w:id="288" w:name="_Toc29779"/>
      <w:bookmarkStart w:id="289" w:name="_Toc7895"/>
      <w:bookmarkStart w:id="290" w:name="_Toc30383"/>
      <w:bookmarkStart w:id="291" w:name="_Toc29247"/>
      <w:bookmarkStart w:id="292" w:name="_Toc32006"/>
      <w:bookmarkStart w:id="293" w:name="_Toc13103"/>
      <w:bookmarkStart w:id="294" w:name="_Toc5441"/>
      <w:bookmarkStart w:id="295" w:name="_Toc73112401"/>
      <w:bookmarkStart w:id="296" w:name="_Toc27027"/>
      <w:bookmarkStart w:id="297" w:name="_Toc4470"/>
      <w:bookmarkStart w:id="298" w:name="_Toc32758"/>
      <w:bookmarkStart w:id="299" w:name="_Toc16137"/>
      <w:bookmarkStart w:id="300" w:name="_Toc5402"/>
      <w:bookmarkStart w:id="301" w:name="_Toc12179"/>
      <w:bookmarkStart w:id="302" w:name="_Toc1676"/>
      <w:bookmarkStart w:id="303" w:name="_Toc11599"/>
      <w:bookmarkStart w:id="304" w:name="_Toc3292"/>
      <w:bookmarkStart w:id="305" w:name="_Toc8461"/>
      <w:bookmarkStart w:id="306" w:name="_Toc13423"/>
      <w:bookmarkStart w:id="307" w:name="_Toc17231"/>
      <w:bookmarkStart w:id="308" w:name="_Toc19476"/>
      <w:bookmarkStart w:id="309" w:name="_Toc7648"/>
      <w:bookmarkStart w:id="310" w:name="_Toc20016"/>
      <w:bookmarkStart w:id="311" w:name="_Toc4217"/>
      <w:r>
        <w:rPr>
          <w:rFonts w:hint="eastAsia" w:ascii="仿宋" w:hAnsi="仿宋" w:eastAsia="仿宋" w:cs="仿宋"/>
          <w:b/>
          <w:bCs/>
        </w:rPr>
        <w:t>3技术规范</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pPr>
        <w:pStyle w:val="23"/>
        <w:snapToGrid w:val="0"/>
        <w:spacing w:line="360" w:lineRule="auto"/>
        <w:ind w:firstLine="420" w:firstLineChars="200"/>
        <w:rPr>
          <w:rFonts w:ascii="仿宋" w:hAnsi="仿宋" w:eastAsia="仿宋" w:cs="仿宋"/>
        </w:rPr>
      </w:pPr>
      <w:bookmarkStart w:id="312" w:name="_Toc3050"/>
      <w:bookmarkStart w:id="313" w:name="_Toc26033"/>
      <w:bookmarkStart w:id="314" w:name="_Toc25588"/>
      <w:bookmarkStart w:id="315" w:name="_Toc26873"/>
      <w:bookmarkStart w:id="316" w:name="_Toc26258"/>
      <w:bookmarkStart w:id="317" w:name="_Toc21407"/>
      <w:bookmarkStart w:id="318" w:name="_Toc19055"/>
      <w:bookmarkStart w:id="319" w:name="_Toc30668"/>
      <w:bookmarkStart w:id="320" w:name="_Toc22042"/>
      <w:bookmarkStart w:id="321" w:name="_Toc15548"/>
      <w:bookmarkStart w:id="322" w:name="_Toc17783"/>
      <w:bookmarkStart w:id="323" w:name="_Toc16518"/>
      <w:bookmarkStart w:id="324" w:name="_Toc12757"/>
      <w:bookmarkStart w:id="325" w:name="_Toc27515"/>
      <w:bookmarkStart w:id="326" w:name="_Toc26683"/>
      <w:bookmarkStart w:id="327" w:name="_Toc14166"/>
      <w:bookmarkStart w:id="328" w:name="_Toc10677"/>
      <w:bookmarkStart w:id="329" w:name="_Toc20150"/>
      <w:bookmarkStart w:id="330" w:name="_Toc43"/>
      <w:r>
        <w:rPr>
          <w:rFonts w:hint="eastAsia" w:ascii="仿宋" w:hAnsi="仿宋" w:eastAsia="仿宋" w:cs="仿宋"/>
        </w:rPr>
        <w:t>3.1生产线能力及产品说明</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3.1.1生产能力及节拍：</w:t>
      </w:r>
      <w:r>
        <w:rPr>
          <w:rFonts w:hint="eastAsia" w:ascii="仿宋" w:hAnsi="仿宋" w:eastAsia="仿宋" w:cs="仿宋"/>
          <w:szCs w:val="28"/>
        </w:rPr>
        <w:t>压力机和ABS齿圈综合检测机节拍</w:t>
      </w:r>
      <w:r>
        <w:rPr>
          <w:rFonts w:hint="eastAsia" w:ascii="仿宋_GB2312" w:hAnsi="仿宋_GB2312" w:eastAsia="仿宋_GB2312" w:cs="仿宋_GB2312"/>
          <w:sz w:val="28"/>
          <w:szCs w:val="28"/>
        </w:rPr>
        <w:t>：</w:t>
      </w:r>
      <w:r>
        <w:rPr>
          <w:rFonts w:hint="eastAsia" w:ascii="仿宋" w:hAnsi="仿宋" w:eastAsia="仿宋" w:cs="仿宋"/>
          <w:szCs w:val="28"/>
        </w:rPr>
        <w:t>30秒/件。</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3.1.2产品状态：</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压力机产品状态：设备用于压装前轮毂车轮螺栓，来料产品已在辊道线前工序完成挡环、轴承外环、轴密封圈及ABS齿圈的压装；</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ABS齿圈综合检测机产品状态：设备用于100%在线检测前轮毂总成ABS齿圈、车轮螺栓及轴密封圈相关产品特性，来料时产品已完成挡环、轴承外环、轴密封圈、ABS齿圈及车轮螺栓的压装；</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3.1.3产品简图（均为压装车轮螺栓后的简图）:</w:t>
      </w:r>
    </w:p>
    <w:p>
      <w:pPr>
        <w:jc w:val="center"/>
      </w:pPr>
      <w:r>
        <w:rPr>
          <w:rFonts w:hint="eastAsia"/>
        </w:rPr>
        <w:drawing>
          <wp:inline distT="0" distB="0" distL="0" distR="0">
            <wp:extent cx="1428750" cy="1720215"/>
            <wp:effectExtent l="0" t="0" r="0" b="13335"/>
            <wp:docPr id="17" name="图片 17" descr="43dba6f22f1255cf9346a96ac2ce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3dba6f22f1255cf9346a96ac2ceb0f"/>
                    <pic:cNvPicPr>
                      <a:picLocks noChangeAspect="1" noChangeArrowheads="1"/>
                    </pic:cNvPicPr>
                  </pic:nvPicPr>
                  <pic:blipFill>
                    <a:blip r:embed="rId44" cstate="print">
                      <a:extLst>
                        <a:ext uri="{28A0092B-C50C-407E-A947-70E740481C1C}">
                          <a14:useLocalDpi xmlns:a14="http://schemas.microsoft.com/office/drawing/2010/main" val="0"/>
                        </a:ext>
                      </a:extLst>
                    </a:blip>
                    <a:srcRect t="9519"/>
                    <a:stretch>
                      <a:fillRect/>
                    </a:stretch>
                  </pic:blipFill>
                  <pic:spPr>
                    <a:xfrm>
                      <a:off x="0" y="0"/>
                      <a:ext cx="1428750" cy="1720215"/>
                    </a:xfrm>
                    <a:prstGeom prst="rect">
                      <a:avLst/>
                    </a:prstGeom>
                    <a:noFill/>
                    <a:ln>
                      <a:noFill/>
                    </a:ln>
                    <a:effectLst/>
                  </pic:spPr>
                </pic:pic>
              </a:graphicData>
            </a:graphic>
          </wp:inline>
        </w:drawing>
      </w:r>
      <w:r>
        <w:rPr>
          <w:rFonts w:hint="eastAsia"/>
        </w:rPr>
        <w:t xml:space="preserve">   </w:t>
      </w:r>
      <w:r>
        <w:drawing>
          <wp:inline distT="0" distB="0" distL="0" distR="0">
            <wp:extent cx="2092960" cy="1632585"/>
            <wp:effectExtent l="0" t="0" r="2540" b="5715"/>
            <wp:docPr id="31" name="图片 31" descr="e6c5c04a86ed68629449728b7a7b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6c5c04a86ed68629449728b7a7b98e"/>
                    <pic:cNvPicPr>
                      <a:picLocks noChangeAspect="1" noChangeArrowheads="1"/>
                    </pic:cNvPicPr>
                  </pic:nvPicPr>
                  <pic:blipFill>
                    <a:blip r:embed="rId45">
                      <a:extLst>
                        <a:ext uri="{28A0092B-C50C-407E-A947-70E740481C1C}">
                          <a14:useLocalDpi xmlns:a14="http://schemas.microsoft.com/office/drawing/2010/main" val="0"/>
                        </a:ext>
                      </a:extLst>
                    </a:blip>
                    <a:srcRect t="7729" b="4733"/>
                    <a:stretch>
                      <a:fillRect/>
                    </a:stretch>
                  </pic:blipFill>
                  <pic:spPr>
                    <a:xfrm>
                      <a:off x="0" y="0"/>
                      <a:ext cx="2093406" cy="1632585"/>
                    </a:xfrm>
                    <a:prstGeom prst="rect">
                      <a:avLst/>
                    </a:prstGeom>
                    <a:noFill/>
                    <a:ln>
                      <a:noFill/>
                    </a:ln>
                    <a:effectLst/>
                  </pic:spPr>
                </pic:pic>
              </a:graphicData>
            </a:graphic>
          </wp:inline>
        </w:drawing>
      </w:r>
    </w:p>
    <w:p>
      <w:pPr>
        <w:pStyle w:val="23"/>
        <w:snapToGrid w:val="0"/>
        <w:spacing w:line="360" w:lineRule="auto"/>
        <w:ind w:firstLine="0" w:firstLineChars="0"/>
        <w:jc w:val="center"/>
        <w:rPr>
          <w:rFonts w:ascii="仿宋" w:hAnsi="仿宋" w:eastAsia="仿宋"/>
          <w:sz w:val="21"/>
          <w:szCs w:val="21"/>
        </w:rPr>
      </w:pPr>
      <w:r>
        <w:rPr>
          <w:rFonts w:hint="eastAsia" w:ascii="仿宋" w:hAnsi="仿宋" w:eastAsia="仿宋"/>
          <w:sz w:val="21"/>
          <w:szCs w:val="21"/>
        </w:rPr>
        <w:t>VGD71系列</w:t>
      </w:r>
    </w:p>
    <w:p>
      <w:pPr>
        <w:pStyle w:val="23"/>
        <w:snapToGrid w:val="0"/>
        <w:spacing w:line="360" w:lineRule="auto"/>
        <w:ind w:firstLine="0" w:firstLineChars="0"/>
        <w:jc w:val="center"/>
      </w:pPr>
      <w:r>
        <w:rPr>
          <w:rFonts w:hint="eastAsia"/>
        </w:rPr>
        <w:drawing>
          <wp:inline distT="0" distB="0" distL="0" distR="0">
            <wp:extent cx="1528445" cy="1915160"/>
            <wp:effectExtent l="0" t="0" r="14605" b="8890"/>
            <wp:docPr id="32" name="图片 32" descr="a213a6257a03ca57514a2c5512fa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213a6257a03ca57514a2c5512faff5"/>
                    <pic:cNvPicPr>
                      <a:picLocks noChangeAspect="1" noChangeArrowheads="1"/>
                    </pic:cNvPicPr>
                  </pic:nvPicPr>
                  <pic:blipFill>
                    <a:blip r:embed="rId46" cstate="print">
                      <a:extLst>
                        <a:ext uri="{28A0092B-C50C-407E-A947-70E740481C1C}">
                          <a14:useLocalDpi xmlns:a14="http://schemas.microsoft.com/office/drawing/2010/main" val="0"/>
                        </a:ext>
                      </a:extLst>
                    </a:blip>
                    <a:srcRect b="6044"/>
                    <a:stretch>
                      <a:fillRect/>
                    </a:stretch>
                  </pic:blipFill>
                  <pic:spPr>
                    <a:xfrm>
                      <a:off x="0" y="0"/>
                      <a:ext cx="1528763" cy="1915160"/>
                    </a:xfrm>
                    <a:prstGeom prst="rect">
                      <a:avLst/>
                    </a:prstGeom>
                    <a:noFill/>
                    <a:ln>
                      <a:noFill/>
                    </a:ln>
                  </pic:spPr>
                </pic:pic>
              </a:graphicData>
            </a:graphic>
          </wp:inline>
        </w:drawing>
      </w:r>
      <w:r>
        <w:rPr>
          <w:rFonts w:hint="eastAsia"/>
        </w:rPr>
        <w:t xml:space="preserve">  </w:t>
      </w:r>
      <w:r>
        <w:drawing>
          <wp:inline distT="0" distB="0" distL="0" distR="0">
            <wp:extent cx="2095500" cy="1926590"/>
            <wp:effectExtent l="0" t="0" r="0" b="16510"/>
            <wp:docPr id="33" name="图片 33" descr="9bd78b8b293e4cb4142173ed16c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bd78b8b293e4cb4142173ed16c8450"/>
                    <pic:cNvPicPr>
                      <a:picLocks noChangeAspect="1" noChangeArrowheads="1"/>
                    </pic:cNvPicPr>
                  </pic:nvPicPr>
                  <pic:blipFill>
                    <a:blip r:embed="rId47">
                      <a:extLst>
                        <a:ext uri="{28A0092B-C50C-407E-A947-70E740481C1C}">
                          <a14:useLocalDpi xmlns:a14="http://schemas.microsoft.com/office/drawing/2010/main" val="0"/>
                        </a:ext>
                      </a:extLst>
                    </a:blip>
                    <a:srcRect t="3176" b="2366"/>
                    <a:stretch>
                      <a:fillRect/>
                    </a:stretch>
                  </pic:blipFill>
                  <pic:spPr>
                    <a:xfrm>
                      <a:off x="0" y="0"/>
                      <a:ext cx="2100961" cy="1926590"/>
                    </a:xfrm>
                    <a:prstGeom prst="rect">
                      <a:avLst/>
                    </a:prstGeom>
                    <a:noFill/>
                    <a:ln>
                      <a:noFill/>
                    </a:ln>
                    <a:effectLst/>
                  </pic:spPr>
                </pic:pic>
              </a:graphicData>
            </a:graphic>
          </wp:inline>
        </w:drawing>
      </w:r>
    </w:p>
    <w:p>
      <w:pPr>
        <w:pStyle w:val="23"/>
        <w:snapToGrid w:val="0"/>
        <w:spacing w:line="360" w:lineRule="auto"/>
        <w:ind w:firstLine="0" w:firstLineChars="0"/>
        <w:jc w:val="center"/>
        <w:rPr>
          <w:rFonts w:ascii="仿宋" w:hAnsi="仿宋" w:eastAsia="仿宋"/>
          <w:sz w:val="21"/>
          <w:szCs w:val="21"/>
        </w:rPr>
      </w:pPr>
      <w:r>
        <w:rPr>
          <w:rFonts w:hint="eastAsia" w:ascii="仿宋" w:hAnsi="仿宋" w:eastAsia="仿宋"/>
          <w:sz w:val="21"/>
          <w:szCs w:val="21"/>
        </w:rPr>
        <w:t>VGD75/95系列</w:t>
      </w:r>
    </w:p>
    <w:p>
      <w:pPr>
        <w:jc w:val="center"/>
      </w:pPr>
      <w:r>
        <w:rPr>
          <w:rFonts w:hint="eastAsia"/>
        </w:rPr>
        <w:drawing>
          <wp:inline distT="0" distB="0" distL="0" distR="0">
            <wp:extent cx="1415415" cy="1877060"/>
            <wp:effectExtent l="0" t="0" r="13335" b="8890"/>
            <wp:docPr id="34" name="图片 34" descr="fabaad3c15ad7f8d5cfb5a3fb9a4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abaad3c15ad7f8d5cfb5a3fb9a4ab9"/>
                    <pic:cNvPicPr>
                      <a:picLocks noChangeAspect="1" noChangeArrowheads="1"/>
                    </pic:cNvPicPr>
                  </pic:nvPicPr>
                  <pic:blipFill>
                    <a:blip r:embed="rId48" cstate="print">
                      <a:extLst>
                        <a:ext uri="{28A0092B-C50C-407E-A947-70E740481C1C}">
                          <a14:useLocalDpi xmlns:a14="http://schemas.microsoft.com/office/drawing/2010/main" val="0"/>
                        </a:ext>
                      </a:extLst>
                    </a:blip>
                    <a:srcRect b="9994"/>
                    <a:stretch>
                      <a:fillRect/>
                    </a:stretch>
                  </pic:blipFill>
                  <pic:spPr>
                    <a:xfrm>
                      <a:off x="0" y="0"/>
                      <a:ext cx="1415415" cy="1877060"/>
                    </a:xfrm>
                    <a:prstGeom prst="rect">
                      <a:avLst/>
                    </a:prstGeom>
                    <a:noFill/>
                    <a:ln>
                      <a:noFill/>
                    </a:ln>
                    <a:effectLst/>
                  </pic:spPr>
                </pic:pic>
              </a:graphicData>
            </a:graphic>
          </wp:inline>
        </w:drawing>
      </w:r>
      <w:r>
        <w:rPr>
          <w:rFonts w:hint="eastAsia"/>
        </w:rPr>
        <w:t xml:space="preserve">    </w:t>
      </w:r>
      <w:r>
        <w:rPr>
          <w:rFonts w:hint="eastAsia"/>
        </w:rPr>
        <w:drawing>
          <wp:inline distT="0" distB="0" distL="0" distR="0">
            <wp:extent cx="1990725" cy="1897380"/>
            <wp:effectExtent l="0" t="0" r="9525" b="7620"/>
            <wp:docPr id="35" name="图片 35" descr="5cc50cf2c4f3101097646290d72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cc50cf2c4f3101097646290d727978"/>
                    <pic:cNvPicPr>
                      <a:picLocks noChangeAspect="1" noChangeArrowheads="1"/>
                    </pic:cNvPicPr>
                  </pic:nvPicPr>
                  <pic:blipFill>
                    <a:blip r:embed="rId49">
                      <a:extLst>
                        <a:ext uri="{28A0092B-C50C-407E-A947-70E740481C1C}">
                          <a14:useLocalDpi xmlns:a14="http://schemas.microsoft.com/office/drawing/2010/main" val="0"/>
                        </a:ext>
                      </a:extLst>
                    </a:blip>
                    <a:srcRect t="3240" b="3676"/>
                    <a:stretch>
                      <a:fillRect/>
                    </a:stretch>
                  </pic:blipFill>
                  <pic:spPr>
                    <a:xfrm>
                      <a:off x="0" y="0"/>
                      <a:ext cx="1990725" cy="1897380"/>
                    </a:xfrm>
                    <a:prstGeom prst="rect">
                      <a:avLst/>
                    </a:prstGeom>
                    <a:noFill/>
                    <a:ln>
                      <a:noFill/>
                    </a:ln>
                    <a:effectLst/>
                  </pic:spPr>
                </pic:pic>
              </a:graphicData>
            </a:graphic>
          </wp:inline>
        </w:drawing>
      </w:r>
    </w:p>
    <w:p>
      <w:pPr>
        <w:pStyle w:val="23"/>
        <w:snapToGrid w:val="0"/>
        <w:spacing w:line="360" w:lineRule="auto"/>
        <w:ind w:firstLine="0" w:firstLineChars="0"/>
        <w:jc w:val="center"/>
        <w:rPr>
          <w:rFonts w:ascii="仿宋" w:hAnsi="仿宋" w:eastAsia="仿宋"/>
          <w:sz w:val="21"/>
          <w:szCs w:val="21"/>
        </w:rPr>
      </w:pPr>
      <w:r>
        <w:rPr>
          <w:rFonts w:hint="eastAsia" w:ascii="仿宋" w:hAnsi="仿宋" w:eastAsia="仿宋"/>
          <w:sz w:val="21"/>
          <w:szCs w:val="21"/>
        </w:rPr>
        <w:t>VGD50系列</w:t>
      </w:r>
    </w:p>
    <w:p>
      <w:pPr>
        <w:jc w:val="center"/>
        <w:rPr>
          <w:sz w:val="28"/>
          <w:szCs w:val="28"/>
        </w:rPr>
      </w:pPr>
      <w:r>
        <w:rPr>
          <w:rFonts w:hint="eastAsia"/>
        </w:rPr>
        <w:drawing>
          <wp:inline distT="0" distB="0" distL="0" distR="0">
            <wp:extent cx="1371600" cy="1828800"/>
            <wp:effectExtent l="0" t="0" r="0" b="0"/>
            <wp:docPr id="36" name="图片 36" descr="3bb463b8d8e4732914c60b7f9430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bb463b8d8e4732914c60b7f9430f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372967" cy="1830622"/>
                    </a:xfrm>
                    <a:prstGeom prst="rect">
                      <a:avLst/>
                    </a:prstGeom>
                    <a:noFill/>
                    <a:ln>
                      <a:noFill/>
                    </a:ln>
                  </pic:spPr>
                </pic:pic>
              </a:graphicData>
            </a:graphic>
          </wp:inline>
        </w:drawing>
      </w:r>
      <w:r>
        <w:rPr>
          <w:rFonts w:hint="eastAsia"/>
          <w:sz w:val="28"/>
          <w:szCs w:val="28"/>
        </w:rPr>
        <w:t xml:space="preserve">  </w:t>
      </w:r>
      <w:r>
        <w:rPr>
          <w:rFonts w:hint="eastAsia"/>
        </w:rPr>
        <w:drawing>
          <wp:inline distT="0" distB="0" distL="0" distR="0">
            <wp:extent cx="2114550" cy="1828800"/>
            <wp:effectExtent l="0" t="0" r="0" b="0"/>
            <wp:docPr id="37" name="图片 37" descr="42f5628fa1d41c65e639f89df489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2f5628fa1d41c65e639f89df489dd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114550" cy="1828800"/>
                    </a:xfrm>
                    <a:prstGeom prst="rect">
                      <a:avLst/>
                    </a:prstGeom>
                    <a:noFill/>
                    <a:ln>
                      <a:noFill/>
                    </a:ln>
                    <a:effectLst/>
                  </pic:spPr>
                </pic:pic>
              </a:graphicData>
            </a:graphic>
          </wp:inline>
        </w:drawing>
      </w:r>
    </w:p>
    <w:p>
      <w:pPr>
        <w:jc w:val="center"/>
        <w:rPr>
          <w:rFonts w:ascii="仿宋" w:hAnsi="仿宋" w:eastAsia="仿宋"/>
          <w:sz w:val="21"/>
          <w:szCs w:val="21"/>
        </w:rPr>
      </w:pPr>
      <w:r>
        <w:rPr>
          <w:rFonts w:hint="eastAsia" w:ascii="仿宋" w:hAnsi="仿宋" w:eastAsia="仿宋"/>
          <w:sz w:val="21"/>
          <w:szCs w:val="21"/>
        </w:rPr>
        <w:t>HF7/9系列</w:t>
      </w:r>
    </w:p>
    <w:p>
      <w:pPr>
        <w:jc w:val="center"/>
      </w:pPr>
      <w:r>
        <w:rPr>
          <w:rFonts w:hint="eastAsia"/>
        </w:rPr>
        <w:drawing>
          <wp:inline distT="0" distB="0" distL="0" distR="0">
            <wp:extent cx="1495425" cy="1990725"/>
            <wp:effectExtent l="0" t="0" r="9525" b="9525"/>
            <wp:docPr id="39" name="图片 39" descr="84453d5c30777749891935c5f0aa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4453d5c30777749891935c5f0aa0bb"/>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495425" cy="1990725"/>
                    </a:xfrm>
                    <a:prstGeom prst="rect">
                      <a:avLst/>
                    </a:prstGeom>
                    <a:noFill/>
                    <a:ln>
                      <a:noFill/>
                    </a:ln>
                  </pic:spPr>
                </pic:pic>
              </a:graphicData>
            </a:graphic>
          </wp:inline>
        </w:drawing>
      </w:r>
      <w:r>
        <w:rPr>
          <w:rFonts w:hint="eastAsia"/>
        </w:rPr>
        <w:t xml:space="preserve">  </w:t>
      </w:r>
      <w:r>
        <w:drawing>
          <wp:inline distT="0" distB="0" distL="0" distR="0">
            <wp:extent cx="2209800" cy="2047875"/>
            <wp:effectExtent l="0" t="0" r="0" b="9525"/>
            <wp:docPr id="40" name="图片 40" descr="beeb279d7450b1ea8cf274baaf72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beeb279d7450b1ea8cf274baaf72cb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209800" cy="2047875"/>
                    </a:xfrm>
                    <a:prstGeom prst="rect">
                      <a:avLst/>
                    </a:prstGeom>
                    <a:noFill/>
                    <a:ln>
                      <a:noFill/>
                    </a:ln>
                  </pic:spPr>
                </pic:pic>
              </a:graphicData>
            </a:graphic>
          </wp:inline>
        </w:drawing>
      </w:r>
    </w:p>
    <w:p>
      <w:pPr>
        <w:jc w:val="center"/>
        <w:rPr>
          <w:rFonts w:ascii="仿宋" w:hAnsi="仿宋" w:eastAsia="仿宋"/>
          <w:sz w:val="21"/>
          <w:szCs w:val="21"/>
        </w:rPr>
      </w:pPr>
      <w:r>
        <w:rPr>
          <w:rFonts w:hint="eastAsia" w:ascii="仿宋" w:hAnsi="仿宋" w:eastAsia="仿宋"/>
          <w:sz w:val="21"/>
          <w:szCs w:val="21"/>
        </w:rPr>
        <w:t>VPD71D系列</w:t>
      </w:r>
    </w:p>
    <w:p>
      <w:pPr>
        <w:jc w:val="center"/>
      </w:pPr>
      <w:r>
        <w:rPr>
          <w:rFonts w:hint="eastAsia"/>
        </w:rPr>
        <w:drawing>
          <wp:inline distT="0" distB="0" distL="0" distR="0">
            <wp:extent cx="1619250" cy="2162175"/>
            <wp:effectExtent l="0" t="0" r="0" b="9525"/>
            <wp:docPr id="41" name="图片 41" descr="86de12ccfb47677ed84a4e63be08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86de12ccfb47677ed84a4e63be08ec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619250" cy="2162175"/>
                    </a:xfrm>
                    <a:prstGeom prst="rect">
                      <a:avLst/>
                    </a:prstGeom>
                    <a:noFill/>
                    <a:ln>
                      <a:noFill/>
                    </a:ln>
                  </pic:spPr>
                </pic:pic>
              </a:graphicData>
            </a:graphic>
          </wp:inline>
        </w:drawing>
      </w:r>
      <w:r>
        <w:rPr>
          <w:rFonts w:hint="eastAsia"/>
        </w:rPr>
        <w:t xml:space="preserve">   </w:t>
      </w:r>
      <w:r>
        <w:drawing>
          <wp:inline distT="0" distB="0" distL="0" distR="0">
            <wp:extent cx="2272030" cy="2168525"/>
            <wp:effectExtent l="0" t="0" r="13970" b="3175"/>
            <wp:docPr id="42" name="图片 42" descr="babe4f0272b0ba0aee8df4daba30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babe4f0272b0ba0aee8df4daba30dc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270739" cy="2167523"/>
                    </a:xfrm>
                    <a:prstGeom prst="rect">
                      <a:avLst/>
                    </a:prstGeom>
                    <a:noFill/>
                    <a:ln>
                      <a:noFill/>
                    </a:ln>
                  </pic:spPr>
                </pic:pic>
              </a:graphicData>
            </a:graphic>
          </wp:inline>
        </w:drawing>
      </w:r>
    </w:p>
    <w:p>
      <w:pPr>
        <w:pStyle w:val="2"/>
        <w:jc w:val="center"/>
        <w:rPr>
          <w:rFonts w:ascii="仿宋" w:hAnsi="仿宋" w:eastAsia="仿宋"/>
          <w:sz w:val="21"/>
          <w:szCs w:val="21"/>
        </w:rPr>
      </w:pPr>
      <w:r>
        <w:rPr>
          <w:rFonts w:hint="eastAsia" w:ascii="仿宋" w:hAnsi="仿宋" w:eastAsia="仿宋"/>
          <w:sz w:val="21"/>
          <w:szCs w:val="21"/>
        </w:rPr>
        <w:t>VPD75/95D系列</w:t>
      </w:r>
    </w:p>
    <w:p>
      <w:pPr>
        <w:jc w:val="center"/>
      </w:pPr>
      <w:r>
        <w:rPr>
          <w:rFonts w:hint="eastAsia"/>
        </w:rPr>
        <w:drawing>
          <wp:inline distT="0" distB="0" distL="0" distR="0">
            <wp:extent cx="1657350" cy="2201545"/>
            <wp:effectExtent l="0" t="0" r="0" b="8255"/>
            <wp:docPr id="43" name="图片 43" descr="71d4adc8bdb25b45f9310841074a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71d4adc8bdb25b45f9310841074afe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657350" cy="2202073"/>
                    </a:xfrm>
                    <a:prstGeom prst="rect">
                      <a:avLst/>
                    </a:prstGeom>
                    <a:noFill/>
                    <a:ln>
                      <a:noFill/>
                    </a:ln>
                  </pic:spPr>
                </pic:pic>
              </a:graphicData>
            </a:graphic>
          </wp:inline>
        </w:drawing>
      </w:r>
      <w:r>
        <w:rPr>
          <w:rFonts w:hint="eastAsia"/>
        </w:rPr>
        <w:t xml:space="preserve">   </w:t>
      </w:r>
      <w:r>
        <w:drawing>
          <wp:inline distT="0" distB="0" distL="0" distR="0">
            <wp:extent cx="2352675" cy="2200275"/>
            <wp:effectExtent l="0" t="0" r="9525" b="9525"/>
            <wp:docPr id="44" name="图片 44" descr="fb97c819fbdba40f842c26c0cbde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b97c819fbdba40f842c26c0cbdebe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352675" cy="2200275"/>
                    </a:xfrm>
                    <a:prstGeom prst="rect">
                      <a:avLst/>
                    </a:prstGeom>
                    <a:noFill/>
                    <a:ln>
                      <a:noFill/>
                    </a:ln>
                    <a:effectLst/>
                  </pic:spPr>
                </pic:pic>
              </a:graphicData>
            </a:graphic>
          </wp:inline>
        </w:drawing>
      </w:r>
    </w:p>
    <w:p>
      <w:pPr>
        <w:jc w:val="center"/>
        <w:rPr>
          <w:rFonts w:ascii="仿宋" w:hAnsi="仿宋" w:eastAsia="仿宋"/>
          <w:sz w:val="21"/>
          <w:szCs w:val="21"/>
        </w:rPr>
      </w:pPr>
      <w:r>
        <w:rPr>
          <w:rFonts w:hint="eastAsia" w:ascii="仿宋" w:hAnsi="仿宋" w:eastAsia="仿宋"/>
          <w:sz w:val="21"/>
          <w:szCs w:val="21"/>
        </w:rPr>
        <w:t>VPD50C系列</w:t>
      </w:r>
    </w:p>
    <w:p>
      <w:pPr>
        <w:pStyle w:val="23"/>
        <w:snapToGrid w:val="0"/>
        <w:spacing w:line="360" w:lineRule="auto"/>
        <w:jc w:val="center"/>
      </w:pPr>
      <w:r>
        <w:rPr>
          <w:rFonts w:hint="eastAsia"/>
        </w:rPr>
        <w:drawing>
          <wp:inline distT="0" distB="0" distL="0" distR="0">
            <wp:extent cx="1247775" cy="1352550"/>
            <wp:effectExtent l="0" t="0" r="9525" b="0"/>
            <wp:docPr id="45" name="图片 45" descr="6a4f5d4dcc5ba93e69d155cf9676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6a4f5d4dcc5ba93e69d155cf9676a34"/>
                    <pic:cNvPicPr>
                      <a:picLocks noChangeAspect="1" noChangeArrowheads="1"/>
                    </pic:cNvPicPr>
                  </pic:nvPicPr>
                  <pic:blipFill>
                    <a:blip r:embed="rId58" cstate="print">
                      <a:extLst>
                        <a:ext uri="{28A0092B-C50C-407E-A947-70E740481C1C}">
                          <a14:useLocalDpi xmlns:a14="http://schemas.microsoft.com/office/drawing/2010/main" val="0"/>
                        </a:ext>
                      </a:extLst>
                    </a:blip>
                    <a:srcRect t="2362" b="16495"/>
                    <a:stretch>
                      <a:fillRect/>
                    </a:stretch>
                  </pic:blipFill>
                  <pic:spPr>
                    <a:xfrm>
                      <a:off x="0" y="0"/>
                      <a:ext cx="1247775" cy="1352550"/>
                    </a:xfrm>
                    <a:prstGeom prst="rect">
                      <a:avLst/>
                    </a:prstGeom>
                    <a:noFill/>
                    <a:ln>
                      <a:noFill/>
                    </a:ln>
                  </pic:spPr>
                </pic:pic>
              </a:graphicData>
            </a:graphic>
          </wp:inline>
        </w:drawing>
      </w:r>
      <w:r>
        <w:rPr>
          <w:rFonts w:hint="eastAsia"/>
        </w:rPr>
        <w:t xml:space="preserve">  </w:t>
      </w:r>
      <w:r>
        <w:rPr>
          <w:rFonts w:hint="eastAsia"/>
        </w:rPr>
        <w:drawing>
          <wp:inline distT="0" distB="0" distL="0" distR="0">
            <wp:extent cx="3267075" cy="1333500"/>
            <wp:effectExtent l="0" t="0" r="9525" b="0"/>
            <wp:docPr id="47" name="图片 47" descr="d023a69baee2690ad8594598e6c6b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023a69baee2690ad8594598e6c6bf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3267075" cy="1333500"/>
                    </a:xfrm>
                    <a:prstGeom prst="rect">
                      <a:avLst/>
                    </a:prstGeom>
                    <a:noFill/>
                    <a:ln>
                      <a:noFill/>
                    </a:ln>
                  </pic:spPr>
                </pic:pic>
              </a:graphicData>
            </a:graphic>
          </wp:inline>
        </w:drawing>
      </w:r>
    </w:p>
    <w:p>
      <w:pPr>
        <w:jc w:val="center"/>
        <w:rPr>
          <w:rFonts w:ascii="仿宋" w:hAnsi="仿宋" w:eastAsia="仿宋"/>
          <w:sz w:val="21"/>
          <w:szCs w:val="21"/>
        </w:rPr>
      </w:pPr>
      <w:r>
        <w:rPr>
          <w:rFonts w:hint="eastAsia" w:ascii="仿宋" w:hAnsi="仿宋" w:eastAsia="仿宋"/>
          <w:sz w:val="21"/>
          <w:szCs w:val="21"/>
        </w:rPr>
        <w:t>法兰系列</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3.1.4产品重量：40kg</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3.1.5布置布局：</w:t>
      </w:r>
    </w:p>
    <w:p>
      <w:pPr>
        <w:pStyle w:val="23"/>
        <w:snapToGrid w:val="0"/>
        <w:spacing w:line="360" w:lineRule="auto"/>
        <w:ind w:firstLine="0" w:firstLineChars="0"/>
        <w:jc w:val="center"/>
        <w:rPr>
          <w:rFonts w:ascii="仿宋" w:hAnsi="仿宋" w:eastAsia="仿宋" w:cs="仿宋"/>
        </w:rPr>
      </w:pPr>
      <w:r>
        <w:rPr>
          <w:rFonts w:hint="eastAsia" w:ascii="仿宋" w:hAnsi="仿宋" w:eastAsia="仿宋" w:cs="仿宋"/>
        </w:rPr>
        <w:drawing>
          <wp:inline distT="0" distB="0" distL="114300" distR="114300">
            <wp:extent cx="5019040" cy="1245870"/>
            <wp:effectExtent l="0" t="0" r="10160" b="11430"/>
            <wp:docPr id="48" name="图片 48" descr="4e32ca9cd27ec5c4c07bd0ade1fb0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e32ca9cd27ec5c4c07bd0ade1fb0a6"/>
                    <pic:cNvPicPr>
                      <a:picLocks noChangeAspect="1"/>
                    </pic:cNvPicPr>
                  </pic:nvPicPr>
                  <pic:blipFill>
                    <a:blip r:embed="rId60"/>
                    <a:stretch>
                      <a:fillRect/>
                    </a:stretch>
                  </pic:blipFill>
                  <pic:spPr>
                    <a:xfrm>
                      <a:off x="0" y="0"/>
                      <a:ext cx="5019040" cy="1245870"/>
                    </a:xfrm>
                    <a:prstGeom prst="rect">
                      <a:avLst/>
                    </a:prstGeom>
                  </pic:spPr>
                </pic:pic>
              </a:graphicData>
            </a:graphic>
          </wp:inline>
        </w:drawing>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 xml:space="preserve">3.1.6工艺流程（参考）： </w:t>
      </w:r>
    </w:p>
    <w:p>
      <w:pPr>
        <w:spacing w:line="360" w:lineRule="auto"/>
        <w:ind w:firstLine="420" w:firstLineChars="200"/>
        <w:jc w:val="left"/>
        <w:rPr>
          <w:rFonts w:ascii="仿宋" w:hAnsi="仿宋" w:eastAsia="仿宋" w:cs="仿宋"/>
          <w:kern w:val="0"/>
        </w:rPr>
      </w:pPr>
      <w:r>
        <w:rPr>
          <w:rFonts w:hint="eastAsia" w:ascii="仿宋" w:hAnsi="仿宋" w:eastAsia="仿宋" w:cs="仿宋"/>
          <w:kern w:val="0"/>
        </w:rPr>
        <w:t>压装工艺过程</w:t>
      </w:r>
    </w:p>
    <w:p>
      <w:pPr>
        <w:spacing w:line="360" w:lineRule="auto"/>
        <w:ind w:firstLine="420" w:firstLineChars="200"/>
        <w:jc w:val="left"/>
        <w:rPr>
          <w:rFonts w:ascii="仿宋" w:hAnsi="仿宋" w:eastAsia="仿宋" w:cs="仿宋"/>
          <w:kern w:val="0"/>
        </w:rPr>
      </w:pPr>
      <w:r>
        <w:rPr>
          <w:rFonts w:hint="eastAsia" w:ascii="仿宋" w:hAnsi="仿宋" w:eastAsia="仿宋" w:cs="仿宋"/>
          <w:kern w:val="0"/>
        </w:rPr>
        <w:t>前轮毂总成通过辊道输送至车轮螺栓预装工位→预装车轮螺栓→移入压装工位→双手按压按钮→压头下移压装车轮螺栓→螺栓到位后保压2S→双手松开按钮→压头回程→工件移出</w:t>
      </w:r>
    </w:p>
    <w:p>
      <w:pPr>
        <w:pStyle w:val="2"/>
        <w:ind w:firstLine="420" w:firstLineChars="200"/>
        <w:rPr>
          <w:rFonts w:ascii="仿宋" w:hAnsi="仿宋" w:eastAsia="仿宋" w:cs="仿宋"/>
          <w:kern w:val="0"/>
        </w:rPr>
      </w:pPr>
      <w:r>
        <w:rPr>
          <w:rFonts w:hint="eastAsia" w:ascii="仿宋" w:hAnsi="仿宋" w:eastAsia="仿宋" w:cs="仿宋"/>
          <w:kern w:val="0"/>
        </w:rPr>
        <w:t>综合检测工艺过程</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前轮毂总成通过辊道输送至检测工位→工件定位→扫描轮毂本体码→启动检测程序→自动测量→保存数据并判断工件是否合格→各测量机构自动复位→工件移出。</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3.1.7主要产品明细及工艺技术参数如下：</w:t>
      </w:r>
      <w:r>
        <w:rPr>
          <w:rFonts w:ascii="仿宋" w:hAnsi="仿宋" w:eastAsia="仿宋" w:cs="仿宋"/>
        </w:rPr>
        <w:t xml:space="preserve"> </w:t>
      </w:r>
    </w:p>
    <w:tbl>
      <w:tblPr>
        <w:tblStyle w:val="42"/>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850"/>
        <w:gridCol w:w="2694"/>
        <w:gridCol w:w="850"/>
        <w:gridCol w:w="709"/>
        <w:gridCol w:w="1130"/>
        <w:gridCol w:w="713"/>
        <w:gridCol w:w="70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392" w:type="dxa"/>
            <w:vAlign w:val="center"/>
          </w:tcPr>
          <w:p>
            <w:pPr>
              <w:jc w:val="center"/>
              <w:rPr>
                <w:rFonts w:ascii="仿宋" w:hAnsi="仿宋" w:eastAsia="仿宋"/>
                <w:sz w:val="21"/>
                <w:szCs w:val="21"/>
              </w:rPr>
            </w:pPr>
            <w:r>
              <w:rPr>
                <w:rFonts w:ascii="仿宋" w:hAnsi="仿宋" w:eastAsia="仿宋"/>
                <w:sz w:val="21"/>
                <w:szCs w:val="21"/>
              </w:rPr>
              <w:t>序号</w:t>
            </w:r>
          </w:p>
        </w:tc>
        <w:tc>
          <w:tcPr>
            <w:tcW w:w="850" w:type="dxa"/>
            <w:vAlign w:val="center"/>
          </w:tcPr>
          <w:p>
            <w:pPr>
              <w:jc w:val="center"/>
              <w:rPr>
                <w:rFonts w:ascii="仿宋" w:hAnsi="仿宋" w:eastAsia="仿宋"/>
                <w:sz w:val="21"/>
                <w:szCs w:val="21"/>
              </w:rPr>
            </w:pPr>
            <w:r>
              <w:rPr>
                <w:rFonts w:ascii="仿宋" w:hAnsi="仿宋" w:eastAsia="仿宋"/>
                <w:sz w:val="21"/>
                <w:szCs w:val="21"/>
              </w:rPr>
              <w:t>产品系列</w:t>
            </w:r>
          </w:p>
        </w:tc>
        <w:tc>
          <w:tcPr>
            <w:tcW w:w="2694" w:type="dxa"/>
            <w:vAlign w:val="center"/>
          </w:tcPr>
          <w:p>
            <w:pPr>
              <w:jc w:val="center"/>
              <w:rPr>
                <w:rFonts w:ascii="仿宋" w:hAnsi="仿宋" w:eastAsia="仿宋"/>
                <w:sz w:val="21"/>
                <w:szCs w:val="21"/>
              </w:rPr>
            </w:pPr>
            <w:r>
              <w:rPr>
                <w:rFonts w:ascii="仿宋" w:hAnsi="仿宋" w:eastAsia="仿宋"/>
                <w:sz w:val="21"/>
                <w:szCs w:val="21"/>
              </w:rPr>
              <w:t>产品编号</w:t>
            </w:r>
          </w:p>
        </w:tc>
        <w:tc>
          <w:tcPr>
            <w:tcW w:w="850" w:type="dxa"/>
            <w:vAlign w:val="center"/>
          </w:tcPr>
          <w:p>
            <w:pPr>
              <w:jc w:val="center"/>
              <w:rPr>
                <w:rFonts w:ascii="仿宋" w:hAnsi="仿宋" w:eastAsia="仿宋"/>
                <w:sz w:val="21"/>
                <w:szCs w:val="21"/>
              </w:rPr>
            </w:pPr>
            <w:r>
              <w:rPr>
                <w:rFonts w:ascii="仿宋" w:hAnsi="仿宋" w:eastAsia="仿宋"/>
                <w:sz w:val="21"/>
                <w:szCs w:val="21"/>
              </w:rPr>
              <w:t>ABS跳动</w:t>
            </w:r>
          </w:p>
        </w:tc>
        <w:tc>
          <w:tcPr>
            <w:tcW w:w="709" w:type="dxa"/>
            <w:vAlign w:val="center"/>
          </w:tcPr>
          <w:p>
            <w:pPr>
              <w:jc w:val="center"/>
              <w:rPr>
                <w:rFonts w:ascii="仿宋" w:hAnsi="仿宋" w:eastAsia="仿宋"/>
                <w:sz w:val="21"/>
                <w:szCs w:val="21"/>
              </w:rPr>
            </w:pPr>
            <w:r>
              <w:rPr>
                <w:rFonts w:ascii="仿宋" w:hAnsi="仿宋" w:eastAsia="仿宋"/>
                <w:sz w:val="21"/>
                <w:szCs w:val="21"/>
              </w:rPr>
              <w:t>ABS齿数</w:t>
            </w:r>
          </w:p>
        </w:tc>
        <w:tc>
          <w:tcPr>
            <w:tcW w:w="1130" w:type="dxa"/>
            <w:vAlign w:val="center"/>
          </w:tcPr>
          <w:p>
            <w:pPr>
              <w:jc w:val="center"/>
              <w:rPr>
                <w:rFonts w:ascii="仿宋" w:hAnsi="仿宋" w:eastAsia="仿宋"/>
                <w:sz w:val="21"/>
                <w:szCs w:val="21"/>
              </w:rPr>
            </w:pPr>
            <w:r>
              <w:rPr>
                <w:rFonts w:ascii="仿宋" w:hAnsi="仿宋" w:eastAsia="仿宋"/>
                <w:sz w:val="21"/>
                <w:szCs w:val="21"/>
              </w:rPr>
              <w:t>轴密封圈高度及跳动</w:t>
            </w:r>
          </w:p>
        </w:tc>
        <w:tc>
          <w:tcPr>
            <w:tcW w:w="713" w:type="dxa"/>
            <w:vAlign w:val="center"/>
          </w:tcPr>
          <w:p>
            <w:pPr>
              <w:jc w:val="center"/>
              <w:rPr>
                <w:rFonts w:ascii="仿宋" w:hAnsi="仿宋" w:eastAsia="仿宋"/>
                <w:sz w:val="21"/>
                <w:szCs w:val="21"/>
              </w:rPr>
            </w:pPr>
            <w:r>
              <w:rPr>
                <w:rFonts w:ascii="仿宋" w:hAnsi="仿宋" w:eastAsia="仿宋"/>
                <w:sz w:val="21"/>
                <w:szCs w:val="21"/>
              </w:rPr>
              <w:t>车轮螺栓数</w:t>
            </w:r>
          </w:p>
        </w:tc>
        <w:tc>
          <w:tcPr>
            <w:tcW w:w="708" w:type="dxa"/>
            <w:vAlign w:val="center"/>
          </w:tcPr>
          <w:p>
            <w:pPr>
              <w:jc w:val="center"/>
              <w:rPr>
                <w:rFonts w:ascii="仿宋" w:hAnsi="仿宋" w:eastAsia="仿宋"/>
                <w:sz w:val="21"/>
                <w:szCs w:val="21"/>
              </w:rPr>
            </w:pPr>
            <w:r>
              <w:rPr>
                <w:rFonts w:ascii="仿宋" w:hAnsi="仿宋" w:eastAsia="仿宋"/>
                <w:sz w:val="21"/>
                <w:szCs w:val="21"/>
              </w:rPr>
              <w:t>螺栓长度及一致性</w:t>
            </w:r>
          </w:p>
        </w:tc>
        <w:tc>
          <w:tcPr>
            <w:tcW w:w="709" w:type="dxa"/>
            <w:vAlign w:val="center"/>
          </w:tcPr>
          <w:p>
            <w:pPr>
              <w:jc w:val="center"/>
              <w:rPr>
                <w:rFonts w:ascii="仿宋" w:hAnsi="仿宋" w:eastAsia="仿宋"/>
                <w:sz w:val="21"/>
                <w:szCs w:val="21"/>
              </w:rPr>
            </w:pPr>
            <w:r>
              <w:rPr>
                <w:rFonts w:ascii="仿宋" w:hAnsi="仿宋" w:eastAsia="仿宋"/>
                <w:sz w:val="21"/>
                <w:szCs w:val="21"/>
              </w:rPr>
              <w:t>螺纹是否拍照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92" w:type="dxa"/>
            <w:vAlign w:val="center"/>
          </w:tcPr>
          <w:p>
            <w:pPr>
              <w:jc w:val="center"/>
              <w:rPr>
                <w:rFonts w:ascii="仿宋" w:hAnsi="仿宋" w:eastAsia="仿宋"/>
                <w:sz w:val="21"/>
                <w:szCs w:val="21"/>
              </w:rPr>
            </w:pPr>
            <w:r>
              <w:rPr>
                <w:rFonts w:ascii="仿宋" w:hAnsi="仿宋" w:eastAsia="仿宋"/>
                <w:sz w:val="21"/>
                <w:szCs w:val="21"/>
              </w:rPr>
              <w:t>1</w:t>
            </w:r>
          </w:p>
        </w:tc>
        <w:tc>
          <w:tcPr>
            <w:tcW w:w="850" w:type="dxa"/>
            <w:vAlign w:val="center"/>
          </w:tcPr>
          <w:p>
            <w:pPr>
              <w:jc w:val="center"/>
              <w:rPr>
                <w:rFonts w:ascii="仿宋" w:hAnsi="仿宋" w:eastAsia="仿宋"/>
                <w:sz w:val="21"/>
                <w:szCs w:val="21"/>
              </w:rPr>
            </w:pPr>
            <w:r>
              <w:rPr>
                <w:rFonts w:ascii="仿宋" w:hAnsi="仿宋" w:eastAsia="仿宋"/>
                <w:sz w:val="21"/>
                <w:szCs w:val="21"/>
              </w:rPr>
              <w:t>VGD71系列轮毂总成</w:t>
            </w:r>
          </w:p>
        </w:tc>
        <w:tc>
          <w:tcPr>
            <w:tcW w:w="2694" w:type="dxa"/>
            <w:vAlign w:val="center"/>
          </w:tcPr>
          <w:p>
            <w:pPr>
              <w:jc w:val="center"/>
              <w:rPr>
                <w:rFonts w:ascii="仿宋" w:hAnsi="仿宋" w:eastAsia="仿宋"/>
                <w:sz w:val="21"/>
                <w:szCs w:val="21"/>
              </w:rPr>
            </w:pPr>
            <w:r>
              <w:rPr>
                <w:rFonts w:ascii="仿宋" w:hAnsi="仿宋" w:eastAsia="仿宋"/>
                <w:sz w:val="21"/>
                <w:szCs w:val="21"/>
              </w:rPr>
              <w:t>AZ4071410041H10000/AZ4071410041H20000</w:t>
            </w:r>
          </w:p>
          <w:p>
            <w:pPr>
              <w:jc w:val="center"/>
              <w:rPr>
                <w:rFonts w:ascii="仿宋" w:hAnsi="仿宋" w:eastAsia="仿宋"/>
                <w:sz w:val="21"/>
                <w:szCs w:val="21"/>
              </w:rPr>
            </w:pPr>
            <w:r>
              <w:rPr>
                <w:rFonts w:ascii="仿宋" w:hAnsi="仿宋" w:eastAsia="仿宋"/>
                <w:sz w:val="21"/>
                <w:szCs w:val="21"/>
              </w:rPr>
              <w:t>AZ4071410033H10000/AZ4071410033H20000</w:t>
            </w:r>
          </w:p>
          <w:p>
            <w:pPr>
              <w:jc w:val="center"/>
              <w:rPr>
                <w:rFonts w:ascii="仿宋" w:hAnsi="仿宋" w:eastAsia="仿宋"/>
                <w:sz w:val="21"/>
                <w:szCs w:val="21"/>
              </w:rPr>
            </w:pPr>
            <w:r>
              <w:rPr>
                <w:rFonts w:ascii="仿宋" w:hAnsi="仿宋" w:eastAsia="仿宋"/>
                <w:sz w:val="21"/>
                <w:szCs w:val="21"/>
              </w:rPr>
              <w:t>AZ4071410032H10000/AZ4071410042H10000</w:t>
            </w:r>
          </w:p>
        </w:tc>
        <w:tc>
          <w:tcPr>
            <w:tcW w:w="850" w:type="dxa"/>
            <w:vAlign w:val="center"/>
          </w:tcPr>
          <w:p>
            <w:pPr>
              <w:jc w:val="center"/>
              <w:rPr>
                <w:rFonts w:ascii="仿宋" w:hAnsi="仿宋" w:eastAsia="仿宋"/>
                <w:sz w:val="21"/>
                <w:szCs w:val="21"/>
              </w:rPr>
            </w:pPr>
            <w:r>
              <w:rPr>
                <w:rFonts w:ascii="仿宋" w:hAnsi="仿宋" w:eastAsia="仿宋"/>
                <w:sz w:val="21"/>
                <w:szCs w:val="21"/>
              </w:rPr>
              <w:t>≤0.2</w:t>
            </w:r>
          </w:p>
        </w:tc>
        <w:tc>
          <w:tcPr>
            <w:tcW w:w="709" w:type="dxa"/>
            <w:vAlign w:val="center"/>
          </w:tcPr>
          <w:p>
            <w:pPr>
              <w:jc w:val="center"/>
              <w:rPr>
                <w:rFonts w:ascii="仿宋" w:hAnsi="仿宋" w:eastAsia="仿宋"/>
                <w:sz w:val="21"/>
                <w:szCs w:val="21"/>
              </w:rPr>
            </w:pPr>
            <w:r>
              <w:rPr>
                <w:rFonts w:ascii="仿宋" w:hAnsi="仿宋" w:eastAsia="仿宋"/>
                <w:sz w:val="21"/>
                <w:szCs w:val="21"/>
              </w:rPr>
              <w:t>100</w:t>
            </w:r>
          </w:p>
        </w:tc>
        <w:tc>
          <w:tcPr>
            <w:tcW w:w="1130" w:type="dxa"/>
            <w:vAlign w:val="center"/>
          </w:tcPr>
          <w:p>
            <w:pPr>
              <w:jc w:val="center"/>
              <w:rPr>
                <w:rFonts w:ascii="仿宋" w:hAnsi="仿宋" w:eastAsia="仿宋"/>
                <w:sz w:val="21"/>
                <w:szCs w:val="21"/>
              </w:rPr>
            </w:pPr>
            <w:r>
              <w:rPr>
                <w:rFonts w:ascii="仿宋" w:hAnsi="仿宋" w:eastAsia="仿宋"/>
                <w:sz w:val="21"/>
                <w:szCs w:val="21"/>
              </w:rPr>
              <w:t>外露2-2.5mm</w:t>
            </w:r>
          </w:p>
          <w:p>
            <w:pPr>
              <w:jc w:val="center"/>
              <w:rPr>
                <w:rFonts w:ascii="仿宋" w:hAnsi="仿宋" w:eastAsia="仿宋"/>
                <w:sz w:val="21"/>
                <w:szCs w:val="21"/>
              </w:rPr>
            </w:pPr>
            <w:r>
              <w:rPr>
                <w:rFonts w:ascii="仿宋" w:hAnsi="仿宋" w:eastAsia="仿宋"/>
                <w:sz w:val="21"/>
                <w:szCs w:val="21"/>
              </w:rPr>
              <w:t>≤0.5</w:t>
            </w:r>
          </w:p>
        </w:tc>
        <w:tc>
          <w:tcPr>
            <w:tcW w:w="713" w:type="dxa"/>
            <w:vAlign w:val="center"/>
          </w:tcPr>
          <w:p>
            <w:pPr>
              <w:jc w:val="center"/>
              <w:rPr>
                <w:rFonts w:ascii="仿宋" w:hAnsi="仿宋" w:eastAsia="仿宋"/>
                <w:sz w:val="21"/>
                <w:szCs w:val="21"/>
              </w:rPr>
            </w:pPr>
            <w:r>
              <w:rPr>
                <w:rFonts w:ascii="仿宋" w:hAnsi="仿宋" w:eastAsia="仿宋"/>
                <w:sz w:val="21"/>
                <w:szCs w:val="21"/>
              </w:rPr>
              <w:t>10</w:t>
            </w:r>
          </w:p>
        </w:tc>
        <w:tc>
          <w:tcPr>
            <w:tcW w:w="708" w:type="dxa"/>
            <w:vAlign w:val="center"/>
          </w:tcPr>
          <w:p>
            <w:pPr>
              <w:jc w:val="center"/>
              <w:rPr>
                <w:rFonts w:ascii="仿宋" w:hAnsi="仿宋" w:eastAsia="仿宋"/>
                <w:sz w:val="21"/>
                <w:szCs w:val="21"/>
              </w:rPr>
            </w:pPr>
            <w:r>
              <w:rPr>
                <w:rFonts w:ascii="仿宋" w:hAnsi="仿宋" w:eastAsia="仿宋"/>
                <w:sz w:val="21"/>
                <w:szCs w:val="21"/>
              </w:rPr>
              <w:t>是</w:t>
            </w:r>
          </w:p>
        </w:tc>
        <w:tc>
          <w:tcPr>
            <w:tcW w:w="709" w:type="dxa"/>
            <w:vAlign w:val="center"/>
          </w:tcPr>
          <w:p>
            <w:pPr>
              <w:jc w:val="center"/>
              <w:rPr>
                <w:rFonts w:ascii="仿宋" w:hAnsi="仿宋" w:eastAsia="仿宋"/>
                <w:sz w:val="21"/>
                <w:szCs w:val="21"/>
              </w:rPr>
            </w:pPr>
            <w:r>
              <w:rPr>
                <w:rFonts w:ascii="仿宋" w:hAnsi="仿宋" w:eastAsia="仿宋"/>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jc w:val="center"/>
        </w:trPr>
        <w:tc>
          <w:tcPr>
            <w:tcW w:w="392" w:type="dxa"/>
            <w:vAlign w:val="center"/>
          </w:tcPr>
          <w:p>
            <w:pPr>
              <w:jc w:val="center"/>
              <w:rPr>
                <w:rFonts w:ascii="仿宋" w:hAnsi="仿宋" w:eastAsia="仿宋"/>
                <w:sz w:val="21"/>
                <w:szCs w:val="21"/>
              </w:rPr>
            </w:pPr>
            <w:r>
              <w:rPr>
                <w:rFonts w:ascii="仿宋" w:hAnsi="仿宋" w:eastAsia="仿宋"/>
                <w:sz w:val="21"/>
                <w:szCs w:val="21"/>
              </w:rPr>
              <w:t>2</w:t>
            </w:r>
          </w:p>
        </w:tc>
        <w:tc>
          <w:tcPr>
            <w:tcW w:w="850" w:type="dxa"/>
            <w:vAlign w:val="center"/>
          </w:tcPr>
          <w:p>
            <w:pPr>
              <w:jc w:val="center"/>
              <w:rPr>
                <w:rFonts w:ascii="仿宋" w:hAnsi="仿宋" w:eastAsia="仿宋"/>
                <w:sz w:val="21"/>
                <w:szCs w:val="21"/>
              </w:rPr>
            </w:pPr>
            <w:r>
              <w:rPr>
                <w:rFonts w:ascii="仿宋" w:hAnsi="仿宋" w:eastAsia="仿宋"/>
                <w:sz w:val="21"/>
                <w:szCs w:val="21"/>
              </w:rPr>
              <w:t>VGD75/95系列轮毂总成</w:t>
            </w:r>
          </w:p>
        </w:tc>
        <w:tc>
          <w:tcPr>
            <w:tcW w:w="2694" w:type="dxa"/>
            <w:vAlign w:val="center"/>
          </w:tcPr>
          <w:p>
            <w:pPr>
              <w:jc w:val="center"/>
              <w:rPr>
                <w:rFonts w:ascii="仿宋" w:hAnsi="仿宋" w:eastAsia="仿宋"/>
                <w:sz w:val="21"/>
                <w:szCs w:val="21"/>
              </w:rPr>
            </w:pPr>
            <w:r>
              <w:rPr>
                <w:rFonts w:ascii="仿宋" w:hAnsi="仿宋" w:eastAsia="仿宋"/>
                <w:sz w:val="21"/>
                <w:szCs w:val="21"/>
              </w:rPr>
              <w:t>AZ4075410040H10000/AZ4075410040H20000</w:t>
            </w:r>
          </w:p>
          <w:p>
            <w:pPr>
              <w:jc w:val="center"/>
              <w:rPr>
                <w:rFonts w:ascii="仿宋" w:hAnsi="仿宋" w:eastAsia="仿宋"/>
                <w:sz w:val="21"/>
                <w:szCs w:val="21"/>
              </w:rPr>
            </w:pPr>
            <w:r>
              <w:rPr>
                <w:rFonts w:ascii="仿宋" w:hAnsi="仿宋" w:eastAsia="仿宋"/>
                <w:sz w:val="21"/>
                <w:szCs w:val="21"/>
              </w:rPr>
              <w:t>AZ4075410040H30000/AZ4075410040H40000</w:t>
            </w:r>
          </w:p>
          <w:p>
            <w:pPr>
              <w:jc w:val="center"/>
              <w:rPr>
                <w:rFonts w:ascii="仿宋" w:hAnsi="仿宋" w:eastAsia="仿宋"/>
                <w:sz w:val="21"/>
                <w:szCs w:val="21"/>
              </w:rPr>
            </w:pPr>
            <w:r>
              <w:rPr>
                <w:rFonts w:ascii="仿宋" w:hAnsi="仿宋" w:eastAsia="仿宋"/>
                <w:sz w:val="21"/>
                <w:szCs w:val="21"/>
              </w:rPr>
              <w:t>AZ400741950008H10000/AZ4075410041H10000/AZ400041950001H20000/AZ400041950002H20000</w:t>
            </w:r>
          </w:p>
        </w:tc>
        <w:tc>
          <w:tcPr>
            <w:tcW w:w="850" w:type="dxa"/>
            <w:vAlign w:val="center"/>
          </w:tcPr>
          <w:p>
            <w:pPr>
              <w:jc w:val="center"/>
              <w:rPr>
                <w:rFonts w:ascii="仿宋" w:hAnsi="仿宋" w:eastAsia="仿宋"/>
                <w:sz w:val="21"/>
                <w:szCs w:val="21"/>
              </w:rPr>
            </w:pPr>
            <w:r>
              <w:rPr>
                <w:rFonts w:ascii="仿宋" w:hAnsi="仿宋" w:eastAsia="仿宋"/>
                <w:sz w:val="21"/>
                <w:szCs w:val="21"/>
              </w:rPr>
              <w:t>≤0.2</w:t>
            </w:r>
          </w:p>
        </w:tc>
        <w:tc>
          <w:tcPr>
            <w:tcW w:w="709" w:type="dxa"/>
            <w:vAlign w:val="center"/>
          </w:tcPr>
          <w:p>
            <w:pPr>
              <w:jc w:val="center"/>
              <w:rPr>
                <w:rFonts w:ascii="仿宋" w:hAnsi="仿宋" w:eastAsia="仿宋"/>
                <w:sz w:val="21"/>
                <w:szCs w:val="21"/>
              </w:rPr>
            </w:pPr>
            <w:r>
              <w:rPr>
                <w:rFonts w:ascii="仿宋" w:hAnsi="仿宋" w:eastAsia="仿宋"/>
                <w:sz w:val="21"/>
                <w:szCs w:val="21"/>
              </w:rPr>
              <w:t>100/120</w:t>
            </w:r>
          </w:p>
        </w:tc>
        <w:tc>
          <w:tcPr>
            <w:tcW w:w="1130" w:type="dxa"/>
            <w:vAlign w:val="center"/>
          </w:tcPr>
          <w:p>
            <w:pPr>
              <w:jc w:val="center"/>
              <w:rPr>
                <w:rFonts w:ascii="仿宋" w:hAnsi="仿宋" w:eastAsia="仿宋"/>
                <w:sz w:val="21"/>
                <w:szCs w:val="21"/>
              </w:rPr>
            </w:pPr>
            <w:r>
              <w:rPr>
                <w:rFonts w:ascii="仿宋" w:hAnsi="仿宋" w:eastAsia="仿宋"/>
                <w:sz w:val="21"/>
                <w:szCs w:val="21"/>
              </w:rPr>
              <w:t>压入0-0.5mm</w:t>
            </w:r>
          </w:p>
          <w:p>
            <w:pPr>
              <w:jc w:val="center"/>
              <w:rPr>
                <w:rFonts w:ascii="仿宋" w:hAnsi="仿宋" w:eastAsia="仿宋"/>
                <w:sz w:val="21"/>
                <w:szCs w:val="21"/>
              </w:rPr>
            </w:pPr>
            <w:r>
              <w:rPr>
                <w:rFonts w:ascii="仿宋" w:hAnsi="仿宋" w:eastAsia="仿宋"/>
                <w:sz w:val="21"/>
                <w:szCs w:val="21"/>
              </w:rPr>
              <w:t>≤0.5</w:t>
            </w:r>
          </w:p>
        </w:tc>
        <w:tc>
          <w:tcPr>
            <w:tcW w:w="713" w:type="dxa"/>
            <w:vAlign w:val="center"/>
          </w:tcPr>
          <w:p>
            <w:pPr>
              <w:jc w:val="center"/>
              <w:rPr>
                <w:rFonts w:ascii="仿宋" w:hAnsi="仿宋" w:eastAsia="仿宋"/>
                <w:sz w:val="21"/>
                <w:szCs w:val="21"/>
              </w:rPr>
            </w:pPr>
            <w:r>
              <w:rPr>
                <w:rFonts w:ascii="仿宋" w:hAnsi="仿宋" w:eastAsia="仿宋"/>
                <w:sz w:val="21"/>
                <w:szCs w:val="21"/>
              </w:rPr>
              <w:t>10</w:t>
            </w:r>
          </w:p>
        </w:tc>
        <w:tc>
          <w:tcPr>
            <w:tcW w:w="708" w:type="dxa"/>
            <w:vAlign w:val="center"/>
          </w:tcPr>
          <w:p>
            <w:pPr>
              <w:jc w:val="center"/>
              <w:rPr>
                <w:rFonts w:ascii="仿宋" w:hAnsi="仿宋" w:eastAsia="仿宋"/>
                <w:sz w:val="21"/>
                <w:szCs w:val="21"/>
              </w:rPr>
            </w:pPr>
            <w:r>
              <w:rPr>
                <w:rFonts w:ascii="仿宋" w:hAnsi="仿宋" w:eastAsia="仿宋"/>
                <w:sz w:val="21"/>
                <w:szCs w:val="21"/>
              </w:rPr>
              <w:t>是</w:t>
            </w:r>
          </w:p>
        </w:tc>
        <w:tc>
          <w:tcPr>
            <w:tcW w:w="709" w:type="dxa"/>
            <w:vAlign w:val="center"/>
          </w:tcPr>
          <w:p>
            <w:pPr>
              <w:jc w:val="center"/>
              <w:rPr>
                <w:rFonts w:ascii="仿宋" w:hAnsi="仿宋" w:eastAsia="仿宋"/>
                <w:sz w:val="21"/>
                <w:szCs w:val="21"/>
              </w:rPr>
            </w:pPr>
            <w:r>
              <w:rPr>
                <w:rFonts w:ascii="仿宋" w:hAnsi="仿宋" w:eastAsia="仿宋"/>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92" w:type="dxa"/>
            <w:vAlign w:val="center"/>
          </w:tcPr>
          <w:p>
            <w:pPr>
              <w:jc w:val="center"/>
              <w:rPr>
                <w:rFonts w:ascii="仿宋" w:hAnsi="仿宋" w:eastAsia="仿宋"/>
                <w:sz w:val="21"/>
                <w:szCs w:val="21"/>
              </w:rPr>
            </w:pPr>
            <w:r>
              <w:rPr>
                <w:rFonts w:ascii="仿宋" w:hAnsi="仿宋" w:eastAsia="仿宋"/>
                <w:sz w:val="21"/>
                <w:szCs w:val="21"/>
              </w:rPr>
              <w:t>3</w:t>
            </w:r>
          </w:p>
        </w:tc>
        <w:tc>
          <w:tcPr>
            <w:tcW w:w="850" w:type="dxa"/>
            <w:vAlign w:val="center"/>
          </w:tcPr>
          <w:p>
            <w:pPr>
              <w:jc w:val="center"/>
              <w:rPr>
                <w:rFonts w:ascii="仿宋" w:hAnsi="仿宋" w:eastAsia="仿宋"/>
                <w:sz w:val="21"/>
                <w:szCs w:val="21"/>
              </w:rPr>
            </w:pPr>
            <w:r>
              <w:rPr>
                <w:rFonts w:ascii="仿宋" w:hAnsi="仿宋" w:eastAsia="仿宋"/>
                <w:sz w:val="21"/>
                <w:szCs w:val="21"/>
              </w:rPr>
              <w:t>VGD50系列轮毂总成</w:t>
            </w:r>
          </w:p>
        </w:tc>
        <w:tc>
          <w:tcPr>
            <w:tcW w:w="2694" w:type="dxa"/>
            <w:vAlign w:val="center"/>
          </w:tcPr>
          <w:p>
            <w:pPr>
              <w:jc w:val="center"/>
              <w:rPr>
                <w:rFonts w:ascii="仿宋" w:hAnsi="仿宋" w:eastAsia="仿宋"/>
                <w:sz w:val="21"/>
                <w:szCs w:val="21"/>
              </w:rPr>
            </w:pPr>
            <w:r>
              <w:rPr>
                <w:rFonts w:ascii="仿宋" w:hAnsi="仿宋" w:eastAsia="仿宋"/>
                <w:sz w:val="21"/>
                <w:szCs w:val="21"/>
              </w:rPr>
              <w:t>AZ400541501022H20000/AZ400541501023H10000</w:t>
            </w:r>
          </w:p>
          <w:p>
            <w:pPr>
              <w:jc w:val="center"/>
              <w:rPr>
                <w:rFonts w:ascii="仿宋" w:hAnsi="仿宋" w:eastAsia="仿宋"/>
                <w:sz w:val="21"/>
                <w:szCs w:val="21"/>
              </w:rPr>
            </w:pPr>
            <w:r>
              <w:rPr>
                <w:rFonts w:ascii="仿宋" w:hAnsi="仿宋" w:eastAsia="仿宋"/>
                <w:sz w:val="21"/>
                <w:szCs w:val="21"/>
              </w:rPr>
              <w:t>AZ400541501027H10000/AZ400541501028H10000</w:t>
            </w:r>
          </w:p>
          <w:p>
            <w:pPr>
              <w:jc w:val="center"/>
              <w:rPr>
                <w:rFonts w:ascii="仿宋" w:hAnsi="仿宋" w:eastAsia="仿宋"/>
                <w:sz w:val="21"/>
                <w:szCs w:val="21"/>
              </w:rPr>
            </w:pPr>
            <w:r>
              <w:rPr>
                <w:rFonts w:ascii="仿宋" w:hAnsi="仿宋" w:eastAsia="仿宋"/>
                <w:sz w:val="21"/>
                <w:szCs w:val="21"/>
              </w:rPr>
              <w:t>AZ400541501026H20000</w:t>
            </w:r>
          </w:p>
        </w:tc>
        <w:tc>
          <w:tcPr>
            <w:tcW w:w="850" w:type="dxa"/>
            <w:vAlign w:val="center"/>
          </w:tcPr>
          <w:p>
            <w:pPr>
              <w:jc w:val="center"/>
              <w:rPr>
                <w:rFonts w:ascii="仿宋" w:hAnsi="仿宋" w:eastAsia="仿宋"/>
                <w:sz w:val="21"/>
                <w:szCs w:val="21"/>
              </w:rPr>
            </w:pPr>
            <w:r>
              <w:rPr>
                <w:rFonts w:ascii="仿宋" w:hAnsi="仿宋" w:eastAsia="仿宋"/>
                <w:sz w:val="21"/>
                <w:szCs w:val="21"/>
              </w:rPr>
              <w:t>≤0.2</w:t>
            </w:r>
          </w:p>
        </w:tc>
        <w:tc>
          <w:tcPr>
            <w:tcW w:w="709" w:type="dxa"/>
            <w:vAlign w:val="center"/>
          </w:tcPr>
          <w:p>
            <w:pPr>
              <w:jc w:val="center"/>
              <w:rPr>
                <w:rFonts w:ascii="仿宋" w:hAnsi="仿宋" w:eastAsia="仿宋"/>
                <w:sz w:val="21"/>
                <w:szCs w:val="21"/>
              </w:rPr>
            </w:pPr>
            <w:r>
              <w:rPr>
                <w:rFonts w:ascii="仿宋" w:hAnsi="仿宋" w:eastAsia="仿宋"/>
                <w:sz w:val="21"/>
                <w:szCs w:val="21"/>
              </w:rPr>
              <w:t>100</w:t>
            </w:r>
          </w:p>
        </w:tc>
        <w:tc>
          <w:tcPr>
            <w:tcW w:w="1130" w:type="dxa"/>
            <w:vAlign w:val="center"/>
          </w:tcPr>
          <w:p>
            <w:pPr>
              <w:jc w:val="center"/>
              <w:rPr>
                <w:rFonts w:ascii="仿宋" w:hAnsi="仿宋" w:eastAsia="仿宋"/>
                <w:sz w:val="21"/>
                <w:szCs w:val="21"/>
              </w:rPr>
            </w:pPr>
            <w:r>
              <w:rPr>
                <w:rFonts w:ascii="仿宋" w:hAnsi="仿宋" w:eastAsia="仿宋"/>
                <w:sz w:val="21"/>
                <w:szCs w:val="21"/>
              </w:rPr>
              <w:t>齐平</w:t>
            </w:r>
          </w:p>
          <w:p>
            <w:pPr>
              <w:jc w:val="center"/>
              <w:rPr>
                <w:rFonts w:ascii="仿宋" w:hAnsi="仿宋" w:eastAsia="仿宋"/>
                <w:sz w:val="21"/>
                <w:szCs w:val="21"/>
              </w:rPr>
            </w:pPr>
            <w:r>
              <w:rPr>
                <w:rFonts w:ascii="仿宋" w:hAnsi="仿宋" w:eastAsia="仿宋"/>
                <w:sz w:val="21"/>
                <w:szCs w:val="21"/>
              </w:rPr>
              <w:t>≤0.5</w:t>
            </w:r>
          </w:p>
        </w:tc>
        <w:tc>
          <w:tcPr>
            <w:tcW w:w="713" w:type="dxa"/>
            <w:vAlign w:val="center"/>
          </w:tcPr>
          <w:p>
            <w:pPr>
              <w:jc w:val="center"/>
              <w:rPr>
                <w:rFonts w:ascii="仿宋" w:hAnsi="仿宋" w:eastAsia="仿宋"/>
                <w:sz w:val="21"/>
                <w:szCs w:val="21"/>
              </w:rPr>
            </w:pPr>
            <w:r>
              <w:rPr>
                <w:rFonts w:ascii="仿宋" w:hAnsi="仿宋" w:eastAsia="仿宋"/>
                <w:sz w:val="21"/>
                <w:szCs w:val="21"/>
              </w:rPr>
              <w:t>10</w:t>
            </w:r>
          </w:p>
        </w:tc>
        <w:tc>
          <w:tcPr>
            <w:tcW w:w="708" w:type="dxa"/>
            <w:vAlign w:val="center"/>
          </w:tcPr>
          <w:p>
            <w:pPr>
              <w:jc w:val="center"/>
              <w:rPr>
                <w:rFonts w:ascii="仿宋" w:hAnsi="仿宋" w:eastAsia="仿宋"/>
                <w:sz w:val="21"/>
                <w:szCs w:val="21"/>
              </w:rPr>
            </w:pPr>
            <w:r>
              <w:rPr>
                <w:rFonts w:ascii="仿宋" w:hAnsi="仿宋" w:eastAsia="仿宋"/>
                <w:sz w:val="21"/>
                <w:szCs w:val="21"/>
              </w:rPr>
              <w:t>是</w:t>
            </w:r>
          </w:p>
        </w:tc>
        <w:tc>
          <w:tcPr>
            <w:tcW w:w="709" w:type="dxa"/>
            <w:vAlign w:val="center"/>
          </w:tcPr>
          <w:p>
            <w:pPr>
              <w:jc w:val="center"/>
              <w:rPr>
                <w:rFonts w:ascii="仿宋" w:hAnsi="仿宋" w:eastAsia="仿宋"/>
                <w:sz w:val="21"/>
                <w:szCs w:val="21"/>
              </w:rPr>
            </w:pPr>
            <w:r>
              <w:rPr>
                <w:rFonts w:ascii="仿宋" w:hAnsi="仿宋" w:eastAsia="仿宋"/>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92" w:type="dxa"/>
            <w:vAlign w:val="center"/>
          </w:tcPr>
          <w:p>
            <w:pPr>
              <w:jc w:val="center"/>
              <w:rPr>
                <w:rFonts w:ascii="仿宋" w:hAnsi="仿宋" w:eastAsia="仿宋"/>
                <w:sz w:val="21"/>
                <w:szCs w:val="21"/>
              </w:rPr>
            </w:pPr>
            <w:r>
              <w:rPr>
                <w:rFonts w:ascii="仿宋" w:hAnsi="仿宋" w:eastAsia="仿宋"/>
                <w:sz w:val="21"/>
                <w:szCs w:val="21"/>
              </w:rPr>
              <w:t>4</w:t>
            </w:r>
          </w:p>
        </w:tc>
        <w:tc>
          <w:tcPr>
            <w:tcW w:w="850" w:type="dxa"/>
            <w:vAlign w:val="center"/>
          </w:tcPr>
          <w:p>
            <w:pPr>
              <w:jc w:val="center"/>
              <w:rPr>
                <w:rFonts w:ascii="仿宋" w:hAnsi="仿宋" w:eastAsia="仿宋"/>
                <w:sz w:val="21"/>
                <w:szCs w:val="21"/>
              </w:rPr>
            </w:pPr>
            <w:r>
              <w:rPr>
                <w:rFonts w:ascii="仿宋" w:hAnsi="仿宋" w:eastAsia="仿宋"/>
                <w:sz w:val="21"/>
                <w:szCs w:val="21"/>
              </w:rPr>
              <w:t>HF7/9系列轮毂总成</w:t>
            </w:r>
          </w:p>
        </w:tc>
        <w:tc>
          <w:tcPr>
            <w:tcW w:w="2694" w:type="dxa"/>
            <w:vAlign w:val="center"/>
          </w:tcPr>
          <w:p>
            <w:pPr>
              <w:jc w:val="center"/>
              <w:rPr>
                <w:rFonts w:ascii="仿宋" w:hAnsi="仿宋" w:eastAsia="仿宋"/>
                <w:sz w:val="21"/>
                <w:szCs w:val="21"/>
              </w:rPr>
            </w:pPr>
            <w:r>
              <w:rPr>
                <w:rFonts w:ascii="仿宋" w:hAnsi="仿宋" w:eastAsia="仿宋"/>
                <w:sz w:val="21"/>
                <w:szCs w:val="21"/>
              </w:rPr>
              <w:t>199112410010H10000/AZ9112410111H10000</w:t>
            </w:r>
          </w:p>
          <w:p>
            <w:pPr>
              <w:jc w:val="center"/>
              <w:rPr>
                <w:rFonts w:ascii="仿宋" w:hAnsi="仿宋" w:eastAsia="仿宋"/>
                <w:sz w:val="21"/>
                <w:szCs w:val="21"/>
              </w:rPr>
            </w:pPr>
            <w:r>
              <w:rPr>
                <w:rFonts w:ascii="仿宋" w:hAnsi="仿宋" w:eastAsia="仿宋"/>
                <w:sz w:val="21"/>
                <w:szCs w:val="21"/>
              </w:rPr>
              <w:t>AZ9112410112H10000/AZ9112410113H10000</w:t>
            </w:r>
          </w:p>
          <w:p>
            <w:pPr>
              <w:jc w:val="center"/>
              <w:rPr>
                <w:rFonts w:ascii="仿宋" w:hAnsi="仿宋" w:eastAsia="仿宋"/>
                <w:sz w:val="21"/>
                <w:szCs w:val="21"/>
              </w:rPr>
            </w:pPr>
            <w:r>
              <w:rPr>
                <w:rFonts w:ascii="仿宋" w:hAnsi="仿宋" w:eastAsia="仿宋"/>
                <w:sz w:val="21"/>
                <w:szCs w:val="21"/>
              </w:rPr>
              <w:t>AZ400741000005H10000</w:t>
            </w:r>
          </w:p>
        </w:tc>
        <w:tc>
          <w:tcPr>
            <w:tcW w:w="850" w:type="dxa"/>
            <w:vAlign w:val="center"/>
          </w:tcPr>
          <w:p>
            <w:pPr>
              <w:jc w:val="center"/>
              <w:rPr>
                <w:rFonts w:ascii="仿宋" w:hAnsi="仿宋" w:eastAsia="仿宋"/>
                <w:sz w:val="21"/>
                <w:szCs w:val="21"/>
              </w:rPr>
            </w:pPr>
            <w:r>
              <w:rPr>
                <w:rFonts w:ascii="仿宋" w:hAnsi="仿宋" w:eastAsia="仿宋"/>
                <w:sz w:val="21"/>
                <w:szCs w:val="21"/>
              </w:rPr>
              <w:t>≤0.2</w:t>
            </w:r>
          </w:p>
        </w:tc>
        <w:tc>
          <w:tcPr>
            <w:tcW w:w="709" w:type="dxa"/>
            <w:vAlign w:val="center"/>
          </w:tcPr>
          <w:p>
            <w:pPr>
              <w:jc w:val="center"/>
              <w:rPr>
                <w:rFonts w:ascii="仿宋" w:hAnsi="仿宋" w:eastAsia="仿宋"/>
                <w:sz w:val="21"/>
                <w:szCs w:val="21"/>
              </w:rPr>
            </w:pPr>
            <w:r>
              <w:rPr>
                <w:rFonts w:ascii="仿宋" w:hAnsi="仿宋" w:eastAsia="仿宋"/>
                <w:sz w:val="21"/>
                <w:szCs w:val="21"/>
              </w:rPr>
              <w:t>100</w:t>
            </w:r>
          </w:p>
        </w:tc>
        <w:tc>
          <w:tcPr>
            <w:tcW w:w="1130" w:type="dxa"/>
            <w:vAlign w:val="center"/>
          </w:tcPr>
          <w:p>
            <w:pPr>
              <w:jc w:val="center"/>
              <w:rPr>
                <w:rFonts w:ascii="仿宋" w:hAnsi="仿宋" w:eastAsia="仿宋"/>
                <w:sz w:val="21"/>
                <w:szCs w:val="21"/>
              </w:rPr>
            </w:pPr>
            <w:r>
              <w:rPr>
                <w:rFonts w:ascii="仿宋" w:hAnsi="仿宋" w:eastAsia="仿宋"/>
                <w:sz w:val="21"/>
                <w:szCs w:val="21"/>
              </w:rPr>
              <w:t>－</w:t>
            </w:r>
          </w:p>
        </w:tc>
        <w:tc>
          <w:tcPr>
            <w:tcW w:w="713" w:type="dxa"/>
            <w:vAlign w:val="center"/>
          </w:tcPr>
          <w:p>
            <w:pPr>
              <w:jc w:val="center"/>
              <w:rPr>
                <w:rFonts w:ascii="仿宋" w:hAnsi="仿宋" w:eastAsia="仿宋"/>
                <w:sz w:val="21"/>
                <w:szCs w:val="21"/>
              </w:rPr>
            </w:pPr>
            <w:r>
              <w:rPr>
                <w:rFonts w:ascii="仿宋" w:hAnsi="仿宋" w:eastAsia="仿宋"/>
                <w:sz w:val="21"/>
                <w:szCs w:val="21"/>
              </w:rPr>
              <w:t>10</w:t>
            </w:r>
          </w:p>
        </w:tc>
        <w:tc>
          <w:tcPr>
            <w:tcW w:w="708" w:type="dxa"/>
            <w:vAlign w:val="center"/>
          </w:tcPr>
          <w:p>
            <w:pPr>
              <w:jc w:val="center"/>
              <w:rPr>
                <w:rFonts w:ascii="仿宋" w:hAnsi="仿宋" w:eastAsia="仿宋"/>
                <w:sz w:val="21"/>
                <w:szCs w:val="21"/>
              </w:rPr>
            </w:pPr>
            <w:r>
              <w:rPr>
                <w:rFonts w:ascii="仿宋" w:hAnsi="仿宋" w:eastAsia="仿宋"/>
                <w:sz w:val="21"/>
                <w:szCs w:val="21"/>
              </w:rPr>
              <w:t>是</w:t>
            </w:r>
          </w:p>
        </w:tc>
        <w:tc>
          <w:tcPr>
            <w:tcW w:w="709" w:type="dxa"/>
            <w:vAlign w:val="center"/>
          </w:tcPr>
          <w:p>
            <w:pPr>
              <w:jc w:val="center"/>
              <w:rPr>
                <w:rFonts w:ascii="仿宋" w:hAnsi="仿宋" w:eastAsia="仿宋"/>
                <w:sz w:val="21"/>
                <w:szCs w:val="21"/>
              </w:rPr>
            </w:pPr>
            <w:r>
              <w:rPr>
                <w:rFonts w:ascii="仿宋" w:hAnsi="仿宋" w:eastAsia="仿宋"/>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392" w:type="dxa"/>
            <w:vAlign w:val="center"/>
          </w:tcPr>
          <w:p>
            <w:pPr>
              <w:jc w:val="center"/>
              <w:rPr>
                <w:rFonts w:ascii="仿宋" w:hAnsi="仿宋" w:eastAsia="仿宋"/>
                <w:sz w:val="21"/>
                <w:szCs w:val="21"/>
              </w:rPr>
            </w:pPr>
            <w:r>
              <w:rPr>
                <w:rFonts w:ascii="仿宋" w:hAnsi="仿宋" w:eastAsia="仿宋"/>
                <w:sz w:val="21"/>
                <w:szCs w:val="21"/>
              </w:rPr>
              <w:t>5</w:t>
            </w:r>
          </w:p>
        </w:tc>
        <w:tc>
          <w:tcPr>
            <w:tcW w:w="850" w:type="dxa"/>
            <w:vAlign w:val="center"/>
          </w:tcPr>
          <w:p>
            <w:pPr>
              <w:jc w:val="center"/>
              <w:rPr>
                <w:rFonts w:ascii="仿宋" w:hAnsi="仿宋" w:eastAsia="仿宋"/>
                <w:sz w:val="21"/>
                <w:szCs w:val="21"/>
              </w:rPr>
            </w:pPr>
            <w:r>
              <w:rPr>
                <w:rFonts w:ascii="仿宋" w:hAnsi="仿宋" w:eastAsia="仿宋"/>
                <w:sz w:val="21"/>
                <w:szCs w:val="21"/>
              </w:rPr>
              <w:t>VPD71D系列轮毂总成</w:t>
            </w:r>
          </w:p>
        </w:tc>
        <w:tc>
          <w:tcPr>
            <w:tcW w:w="2694" w:type="dxa"/>
            <w:vAlign w:val="center"/>
          </w:tcPr>
          <w:p>
            <w:pPr>
              <w:jc w:val="center"/>
              <w:rPr>
                <w:rFonts w:ascii="仿宋" w:hAnsi="仿宋" w:eastAsia="仿宋"/>
                <w:sz w:val="21"/>
                <w:szCs w:val="21"/>
              </w:rPr>
            </w:pPr>
            <w:r>
              <w:rPr>
                <w:rFonts w:ascii="仿宋" w:hAnsi="仿宋" w:eastAsia="仿宋"/>
                <w:sz w:val="21"/>
                <w:szCs w:val="21"/>
              </w:rPr>
              <w:t>AZ4071415032H10000/AZ4071415032H20000</w:t>
            </w:r>
          </w:p>
          <w:p>
            <w:pPr>
              <w:jc w:val="center"/>
              <w:rPr>
                <w:rFonts w:ascii="仿宋" w:hAnsi="仿宋" w:eastAsia="仿宋"/>
                <w:sz w:val="21"/>
                <w:szCs w:val="21"/>
              </w:rPr>
            </w:pPr>
            <w:r>
              <w:rPr>
                <w:rFonts w:ascii="仿宋" w:hAnsi="仿宋" w:eastAsia="仿宋"/>
                <w:sz w:val="21"/>
                <w:szCs w:val="21"/>
              </w:rPr>
              <w:t>AZ4071415034H10000/AZ4071415034H20000</w:t>
            </w:r>
          </w:p>
        </w:tc>
        <w:tc>
          <w:tcPr>
            <w:tcW w:w="850" w:type="dxa"/>
            <w:vAlign w:val="center"/>
          </w:tcPr>
          <w:p>
            <w:pPr>
              <w:jc w:val="center"/>
              <w:rPr>
                <w:rFonts w:ascii="仿宋" w:hAnsi="仿宋" w:eastAsia="仿宋"/>
                <w:sz w:val="21"/>
                <w:szCs w:val="21"/>
              </w:rPr>
            </w:pPr>
            <w:r>
              <w:rPr>
                <w:rFonts w:ascii="仿宋" w:hAnsi="仿宋" w:eastAsia="仿宋"/>
                <w:sz w:val="21"/>
                <w:szCs w:val="21"/>
              </w:rPr>
              <w:t>－</w:t>
            </w:r>
          </w:p>
        </w:tc>
        <w:tc>
          <w:tcPr>
            <w:tcW w:w="709" w:type="dxa"/>
            <w:vAlign w:val="center"/>
          </w:tcPr>
          <w:p>
            <w:pPr>
              <w:jc w:val="center"/>
              <w:rPr>
                <w:rFonts w:ascii="仿宋" w:hAnsi="仿宋" w:eastAsia="仿宋"/>
                <w:sz w:val="21"/>
                <w:szCs w:val="21"/>
              </w:rPr>
            </w:pPr>
            <w:r>
              <w:rPr>
                <w:rFonts w:ascii="仿宋" w:hAnsi="仿宋" w:eastAsia="仿宋"/>
                <w:sz w:val="21"/>
                <w:szCs w:val="21"/>
              </w:rPr>
              <w:t>－</w:t>
            </w:r>
          </w:p>
        </w:tc>
        <w:tc>
          <w:tcPr>
            <w:tcW w:w="1130" w:type="dxa"/>
            <w:vAlign w:val="center"/>
          </w:tcPr>
          <w:p>
            <w:pPr>
              <w:jc w:val="center"/>
              <w:rPr>
                <w:rFonts w:ascii="仿宋" w:hAnsi="仿宋" w:eastAsia="仿宋"/>
                <w:sz w:val="21"/>
                <w:szCs w:val="21"/>
              </w:rPr>
            </w:pPr>
            <w:r>
              <w:rPr>
                <w:rFonts w:ascii="仿宋" w:hAnsi="仿宋" w:eastAsia="仿宋"/>
                <w:sz w:val="21"/>
                <w:szCs w:val="21"/>
              </w:rPr>
              <w:t>齐平</w:t>
            </w:r>
          </w:p>
          <w:p>
            <w:pPr>
              <w:jc w:val="center"/>
              <w:rPr>
                <w:rFonts w:ascii="仿宋" w:hAnsi="仿宋" w:eastAsia="仿宋"/>
                <w:sz w:val="21"/>
                <w:szCs w:val="21"/>
              </w:rPr>
            </w:pPr>
            <w:r>
              <w:rPr>
                <w:rFonts w:ascii="仿宋" w:hAnsi="仿宋" w:eastAsia="仿宋"/>
                <w:sz w:val="21"/>
                <w:szCs w:val="21"/>
              </w:rPr>
              <w:t>≤0.5</w:t>
            </w:r>
          </w:p>
        </w:tc>
        <w:tc>
          <w:tcPr>
            <w:tcW w:w="713" w:type="dxa"/>
            <w:vAlign w:val="center"/>
          </w:tcPr>
          <w:p>
            <w:pPr>
              <w:jc w:val="center"/>
              <w:rPr>
                <w:rFonts w:ascii="仿宋" w:hAnsi="仿宋" w:eastAsia="仿宋"/>
                <w:sz w:val="21"/>
                <w:szCs w:val="21"/>
              </w:rPr>
            </w:pPr>
            <w:r>
              <w:rPr>
                <w:rFonts w:ascii="仿宋" w:hAnsi="仿宋" w:eastAsia="仿宋"/>
                <w:sz w:val="21"/>
                <w:szCs w:val="21"/>
              </w:rPr>
              <w:t>10</w:t>
            </w:r>
          </w:p>
        </w:tc>
        <w:tc>
          <w:tcPr>
            <w:tcW w:w="708" w:type="dxa"/>
            <w:vAlign w:val="center"/>
          </w:tcPr>
          <w:p>
            <w:pPr>
              <w:jc w:val="center"/>
              <w:rPr>
                <w:rFonts w:ascii="仿宋" w:hAnsi="仿宋" w:eastAsia="仿宋"/>
                <w:sz w:val="21"/>
                <w:szCs w:val="21"/>
              </w:rPr>
            </w:pPr>
            <w:r>
              <w:rPr>
                <w:rFonts w:ascii="仿宋" w:hAnsi="仿宋" w:eastAsia="仿宋"/>
                <w:sz w:val="21"/>
                <w:szCs w:val="21"/>
              </w:rPr>
              <w:t>是</w:t>
            </w:r>
          </w:p>
        </w:tc>
        <w:tc>
          <w:tcPr>
            <w:tcW w:w="709" w:type="dxa"/>
            <w:vAlign w:val="center"/>
          </w:tcPr>
          <w:p>
            <w:pPr>
              <w:jc w:val="center"/>
              <w:rPr>
                <w:rFonts w:ascii="仿宋" w:hAnsi="仿宋" w:eastAsia="仿宋"/>
                <w:sz w:val="21"/>
                <w:szCs w:val="21"/>
              </w:rPr>
            </w:pPr>
            <w:r>
              <w:rPr>
                <w:rFonts w:ascii="仿宋" w:hAnsi="仿宋" w:eastAsia="仿宋"/>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jc w:val="center"/>
        </w:trPr>
        <w:tc>
          <w:tcPr>
            <w:tcW w:w="392" w:type="dxa"/>
            <w:vAlign w:val="center"/>
          </w:tcPr>
          <w:p>
            <w:pPr>
              <w:jc w:val="center"/>
              <w:rPr>
                <w:rFonts w:ascii="仿宋" w:hAnsi="仿宋" w:eastAsia="仿宋"/>
                <w:sz w:val="21"/>
                <w:szCs w:val="21"/>
              </w:rPr>
            </w:pPr>
            <w:r>
              <w:rPr>
                <w:rFonts w:ascii="仿宋" w:hAnsi="仿宋" w:eastAsia="仿宋"/>
                <w:sz w:val="21"/>
                <w:szCs w:val="21"/>
              </w:rPr>
              <w:t>6</w:t>
            </w:r>
          </w:p>
        </w:tc>
        <w:tc>
          <w:tcPr>
            <w:tcW w:w="850" w:type="dxa"/>
            <w:vAlign w:val="center"/>
          </w:tcPr>
          <w:p>
            <w:pPr>
              <w:jc w:val="center"/>
              <w:rPr>
                <w:rFonts w:ascii="仿宋" w:hAnsi="仿宋" w:eastAsia="仿宋"/>
                <w:sz w:val="21"/>
                <w:szCs w:val="21"/>
              </w:rPr>
            </w:pPr>
            <w:r>
              <w:rPr>
                <w:rFonts w:ascii="仿宋" w:hAnsi="仿宋" w:eastAsia="仿宋"/>
                <w:sz w:val="21"/>
                <w:szCs w:val="21"/>
              </w:rPr>
              <w:t>VPD75D/95D系列轮毂总成</w:t>
            </w:r>
          </w:p>
        </w:tc>
        <w:tc>
          <w:tcPr>
            <w:tcW w:w="2694" w:type="dxa"/>
            <w:vAlign w:val="center"/>
          </w:tcPr>
          <w:p>
            <w:pPr>
              <w:jc w:val="center"/>
              <w:rPr>
                <w:rFonts w:ascii="仿宋" w:hAnsi="仿宋" w:eastAsia="仿宋"/>
                <w:sz w:val="21"/>
                <w:szCs w:val="21"/>
              </w:rPr>
            </w:pPr>
            <w:r>
              <w:rPr>
                <w:rFonts w:ascii="仿宋" w:hAnsi="仿宋" w:eastAsia="仿宋"/>
                <w:sz w:val="21"/>
                <w:szCs w:val="21"/>
              </w:rPr>
              <w:t>AZ4095415040H10000/AZ4095415040H20000</w:t>
            </w:r>
          </w:p>
          <w:p>
            <w:pPr>
              <w:jc w:val="center"/>
              <w:rPr>
                <w:rFonts w:ascii="仿宋" w:hAnsi="仿宋" w:eastAsia="仿宋"/>
                <w:sz w:val="21"/>
                <w:szCs w:val="21"/>
              </w:rPr>
            </w:pPr>
            <w:r>
              <w:rPr>
                <w:rFonts w:ascii="仿宋" w:hAnsi="仿宋" w:eastAsia="仿宋"/>
                <w:sz w:val="21"/>
                <w:szCs w:val="21"/>
              </w:rPr>
              <w:t>AZ4095415046H10000/AZ4095415046H20000</w:t>
            </w:r>
          </w:p>
          <w:p>
            <w:pPr>
              <w:jc w:val="center"/>
              <w:rPr>
                <w:rFonts w:ascii="仿宋" w:hAnsi="仿宋" w:eastAsia="仿宋"/>
                <w:sz w:val="21"/>
                <w:szCs w:val="21"/>
              </w:rPr>
            </w:pPr>
            <w:r>
              <w:rPr>
                <w:rFonts w:ascii="仿宋" w:hAnsi="仿宋" w:eastAsia="仿宋"/>
                <w:sz w:val="21"/>
                <w:szCs w:val="21"/>
              </w:rPr>
              <w:t>AZ4095415036H10000/AZ4095415036H20000/AZ400741000004H10000</w:t>
            </w:r>
          </w:p>
        </w:tc>
        <w:tc>
          <w:tcPr>
            <w:tcW w:w="850" w:type="dxa"/>
            <w:vAlign w:val="center"/>
          </w:tcPr>
          <w:p>
            <w:pPr>
              <w:jc w:val="center"/>
              <w:rPr>
                <w:rFonts w:ascii="仿宋" w:hAnsi="仿宋" w:eastAsia="仿宋"/>
                <w:sz w:val="21"/>
                <w:szCs w:val="21"/>
              </w:rPr>
            </w:pPr>
            <w:r>
              <w:rPr>
                <w:rFonts w:ascii="仿宋" w:hAnsi="仿宋" w:eastAsia="仿宋"/>
                <w:sz w:val="21"/>
                <w:szCs w:val="21"/>
              </w:rPr>
              <w:t>－</w:t>
            </w:r>
          </w:p>
        </w:tc>
        <w:tc>
          <w:tcPr>
            <w:tcW w:w="709" w:type="dxa"/>
            <w:vAlign w:val="center"/>
          </w:tcPr>
          <w:p>
            <w:pPr>
              <w:jc w:val="center"/>
              <w:rPr>
                <w:rFonts w:ascii="仿宋" w:hAnsi="仿宋" w:eastAsia="仿宋"/>
                <w:sz w:val="21"/>
                <w:szCs w:val="21"/>
              </w:rPr>
            </w:pPr>
            <w:r>
              <w:rPr>
                <w:rFonts w:ascii="仿宋" w:hAnsi="仿宋" w:eastAsia="仿宋"/>
                <w:sz w:val="21"/>
                <w:szCs w:val="21"/>
              </w:rPr>
              <w:t>－</w:t>
            </w:r>
          </w:p>
        </w:tc>
        <w:tc>
          <w:tcPr>
            <w:tcW w:w="1130" w:type="dxa"/>
            <w:vAlign w:val="center"/>
          </w:tcPr>
          <w:p>
            <w:pPr>
              <w:jc w:val="center"/>
              <w:rPr>
                <w:rFonts w:ascii="仿宋" w:hAnsi="仿宋" w:eastAsia="仿宋"/>
                <w:sz w:val="21"/>
                <w:szCs w:val="21"/>
              </w:rPr>
            </w:pPr>
            <w:r>
              <w:rPr>
                <w:rFonts w:ascii="仿宋" w:hAnsi="仿宋" w:eastAsia="仿宋"/>
                <w:sz w:val="21"/>
                <w:szCs w:val="21"/>
              </w:rPr>
              <w:t>压入0-0.5mm</w:t>
            </w:r>
          </w:p>
          <w:p>
            <w:pPr>
              <w:jc w:val="center"/>
              <w:rPr>
                <w:rFonts w:ascii="仿宋" w:hAnsi="仿宋" w:eastAsia="仿宋"/>
                <w:sz w:val="21"/>
                <w:szCs w:val="21"/>
              </w:rPr>
            </w:pPr>
            <w:r>
              <w:rPr>
                <w:rFonts w:ascii="仿宋" w:hAnsi="仿宋" w:eastAsia="仿宋"/>
                <w:sz w:val="21"/>
                <w:szCs w:val="21"/>
              </w:rPr>
              <w:t>≤0.5</w:t>
            </w:r>
          </w:p>
        </w:tc>
        <w:tc>
          <w:tcPr>
            <w:tcW w:w="713" w:type="dxa"/>
            <w:vAlign w:val="center"/>
          </w:tcPr>
          <w:p>
            <w:pPr>
              <w:jc w:val="center"/>
              <w:rPr>
                <w:rFonts w:ascii="仿宋" w:hAnsi="仿宋" w:eastAsia="仿宋"/>
                <w:sz w:val="21"/>
                <w:szCs w:val="21"/>
              </w:rPr>
            </w:pPr>
            <w:r>
              <w:rPr>
                <w:rFonts w:ascii="仿宋" w:hAnsi="仿宋" w:eastAsia="仿宋"/>
                <w:sz w:val="21"/>
                <w:szCs w:val="21"/>
              </w:rPr>
              <w:t>10</w:t>
            </w:r>
          </w:p>
        </w:tc>
        <w:tc>
          <w:tcPr>
            <w:tcW w:w="708" w:type="dxa"/>
            <w:vAlign w:val="center"/>
          </w:tcPr>
          <w:p>
            <w:pPr>
              <w:jc w:val="center"/>
              <w:rPr>
                <w:rFonts w:ascii="仿宋" w:hAnsi="仿宋" w:eastAsia="仿宋"/>
                <w:sz w:val="21"/>
                <w:szCs w:val="21"/>
              </w:rPr>
            </w:pPr>
            <w:r>
              <w:rPr>
                <w:rFonts w:ascii="仿宋" w:hAnsi="仿宋" w:eastAsia="仿宋"/>
                <w:sz w:val="21"/>
                <w:szCs w:val="21"/>
              </w:rPr>
              <w:t>是</w:t>
            </w:r>
          </w:p>
        </w:tc>
        <w:tc>
          <w:tcPr>
            <w:tcW w:w="709" w:type="dxa"/>
            <w:vAlign w:val="center"/>
          </w:tcPr>
          <w:p>
            <w:pPr>
              <w:jc w:val="center"/>
              <w:rPr>
                <w:rFonts w:ascii="仿宋" w:hAnsi="仿宋" w:eastAsia="仿宋"/>
                <w:sz w:val="21"/>
                <w:szCs w:val="21"/>
              </w:rPr>
            </w:pPr>
            <w:r>
              <w:rPr>
                <w:rFonts w:ascii="仿宋" w:hAnsi="仿宋" w:eastAsia="仿宋"/>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392" w:type="dxa"/>
            <w:vAlign w:val="center"/>
          </w:tcPr>
          <w:p>
            <w:pPr>
              <w:jc w:val="center"/>
              <w:rPr>
                <w:rFonts w:ascii="仿宋" w:hAnsi="仿宋" w:eastAsia="仿宋"/>
                <w:sz w:val="21"/>
                <w:szCs w:val="21"/>
              </w:rPr>
            </w:pPr>
            <w:r>
              <w:rPr>
                <w:rFonts w:ascii="仿宋" w:hAnsi="仿宋" w:eastAsia="仿宋"/>
                <w:sz w:val="21"/>
                <w:szCs w:val="21"/>
              </w:rPr>
              <w:t>7</w:t>
            </w:r>
          </w:p>
        </w:tc>
        <w:tc>
          <w:tcPr>
            <w:tcW w:w="850" w:type="dxa"/>
            <w:vAlign w:val="center"/>
          </w:tcPr>
          <w:p>
            <w:pPr>
              <w:jc w:val="center"/>
              <w:rPr>
                <w:rFonts w:ascii="仿宋" w:hAnsi="仿宋" w:eastAsia="仿宋"/>
                <w:sz w:val="21"/>
                <w:szCs w:val="21"/>
              </w:rPr>
            </w:pPr>
            <w:r>
              <w:rPr>
                <w:rFonts w:ascii="仿宋" w:hAnsi="仿宋" w:eastAsia="仿宋"/>
                <w:sz w:val="21"/>
                <w:szCs w:val="21"/>
              </w:rPr>
              <w:t>VPD50C系列轮毂总成</w:t>
            </w:r>
          </w:p>
        </w:tc>
        <w:tc>
          <w:tcPr>
            <w:tcW w:w="2694" w:type="dxa"/>
            <w:vAlign w:val="center"/>
          </w:tcPr>
          <w:p>
            <w:pPr>
              <w:jc w:val="center"/>
              <w:rPr>
                <w:rFonts w:ascii="仿宋" w:hAnsi="仿宋" w:eastAsia="仿宋"/>
                <w:sz w:val="21"/>
                <w:szCs w:val="21"/>
              </w:rPr>
            </w:pPr>
            <w:r>
              <w:rPr>
                <w:rFonts w:ascii="仿宋" w:hAnsi="仿宋" w:eastAsia="仿宋"/>
                <w:sz w:val="21"/>
                <w:szCs w:val="21"/>
              </w:rPr>
              <w:t>AZ400541500009H10000/AZ400541500010H10000</w:t>
            </w:r>
          </w:p>
        </w:tc>
        <w:tc>
          <w:tcPr>
            <w:tcW w:w="850" w:type="dxa"/>
            <w:vAlign w:val="center"/>
          </w:tcPr>
          <w:p>
            <w:pPr>
              <w:jc w:val="center"/>
              <w:rPr>
                <w:rFonts w:ascii="仿宋" w:hAnsi="仿宋" w:eastAsia="仿宋"/>
                <w:sz w:val="21"/>
                <w:szCs w:val="21"/>
              </w:rPr>
            </w:pPr>
            <w:r>
              <w:rPr>
                <w:rFonts w:ascii="仿宋" w:hAnsi="仿宋" w:eastAsia="仿宋"/>
                <w:sz w:val="21"/>
                <w:szCs w:val="21"/>
              </w:rPr>
              <w:t>≤0.2</w:t>
            </w:r>
          </w:p>
        </w:tc>
        <w:tc>
          <w:tcPr>
            <w:tcW w:w="709" w:type="dxa"/>
            <w:vAlign w:val="center"/>
          </w:tcPr>
          <w:p>
            <w:pPr>
              <w:jc w:val="center"/>
              <w:rPr>
                <w:rFonts w:ascii="仿宋" w:hAnsi="仿宋" w:eastAsia="仿宋"/>
                <w:sz w:val="21"/>
                <w:szCs w:val="21"/>
              </w:rPr>
            </w:pPr>
            <w:r>
              <w:rPr>
                <w:rFonts w:ascii="仿宋" w:hAnsi="仿宋" w:eastAsia="仿宋"/>
                <w:sz w:val="21"/>
                <w:szCs w:val="21"/>
              </w:rPr>
              <w:t>100</w:t>
            </w:r>
          </w:p>
        </w:tc>
        <w:tc>
          <w:tcPr>
            <w:tcW w:w="1130" w:type="dxa"/>
            <w:vAlign w:val="center"/>
          </w:tcPr>
          <w:p>
            <w:pPr>
              <w:jc w:val="center"/>
              <w:rPr>
                <w:rFonts w:ascii="仿宋" w:hAnsi="仿宋" w:eastAsia="仿宋"/>
                <w:sz w:val="21"/>
                <w:szCs w:val="21"/>
              </w:rPr>
            </w:pPr>
            <w:r>
              <w:rPr>
                <w:rFonts w:ascii="仿宋" w:hAnsi="仿宋" w:eastAsia="仿宋"/>
                <w:sz w:val="21"/>
                <w:szCs w:val="21"/>
              </w:rPr>
              <w:t>压入2±0.2mm</w:t>
            </w:r>
          </w:p>
          <w:p>
            <w:pPr>
              <w:jc w:val="center"/>
              <w:rPr>
                <w:rFonts w:ascii="仿宋" w:hAnsi="仿宋" w:eastAsia="仿宋"/>
                <w:sz w:val="21"/>
                <w:szCs w:val="21"/>
              </w:rPr>
            </w:pPr>
            <w:r>
              <w:rPr>
                <w:rFonts w:ascii="仿宋" w:hAnsi="仿宋" w:eastAsia="仿宋"/>
                <w:sz w:val="21"/>
                <w:szCs w:val="21"/>
              </w:rPr>
              <w:t>≤0.5</w:t>
            </w:r>
          </w:p>
        </w:tc>
        <w:tc>
          <w:tcPr>
            <w:tcW w:w="713" w:type="dxa"/>
            <w:vAlign w:val="center"/>
          </w:tcPr>
          <w:p>
            <w:pPr>
              <w:jc w:val="center"/>
              <w:rPr>
                <w:rFonts w:ascii="仿宋" w:hAnsi="仿宋" w:eastAsia="仿宋"/>
                <w:sz w:val="21"/>
                <w:szCs w:val="21"/>
              </w:rPr>
            </w:pPr>
            <w:r>
              <w:rPr>
                <w:rFonts w:ascii="仿宋" w:hAnsi="仿宋" w:eastAsia="仿宋"/>
                <w:sz w:val="21"/>
                <w:szCs w:val="21"/>
              </w:rPr>
              <w:t>10</w:t>
            </w:r>
          </w:p>
        </w:tc>
        <w:tc>
          <w:tcPr>
            <w:tcW w:w="708" w:type="dxa"/>
            <w:vAlign w:val="center"/>
          </w:tcPr>
          <w:p>
            <w:pPr>
              <w:jc w:val="center"/>
              <w:rPr>
                <w:rFonts w:ascii="仿宋" w:hAnsi="仿宋" w:eastAsia="仿宋"/>
                <w:sz w:val="21"/>
                <w:szCs w:val="21"/>
              </w:rPr>
            </w:pPr>
            <w:r>
              <w:rPr>
                <w:rFonts w:ascii="仿宋" w:hAnsi="仿宋" w:eastAsia="仿宋"/>
                <w:sz w:val="21"/>
                <w:szCs w:val="21"/>
              </w:rPr>
              <w:t>是</w:t>
            </w:r>
          </w:p>
        </w:tc>
        <w:tc>
          <w:tcPr>
            <w:tcW w:w="709" w:type="dxa"/>
            <w:vAlign w:val="center"/>
          </w:tcPr>
          <w:p>
            <w:pPr>
              <w:jc w:val="center"/>
              <w:rPr>
                <w:rFonts w:ascii="仿宋" w:hAnsi="仿宋" w:eastAsia="仿宋"/>
                <w:sz w:val="21"/>
                <w:szCs w:val="21"/>
              </w:rPr>
            </w:pPr>
            <w:r>
              <w:rPr>
                <w:rFonts w:ascii="仿宋" w:hAnsi="仿宋" w:eastAsia="仿宋"/>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392" w:type="dxa"/>
            <w:vAlign w:val="center"/>
          </w:tcPr>
          <w:p>
            <w:pPr>
              <w:jc w:val="center"/>
              <w:rPr>
                <w:rFonts w:ascii="仿宋" w:hAnsi="仿宋" w:eastAsia="仿宋"/>
                <w:sz w:val="21"/>
                <w:szCs w:val="21"/>
              </w:rPr>
            </w:pPr>
            <w:r>
              <w:rPr>
                <w:rFonts w:ascii="仿宋" w:hAnsi="仿宋" w:eastAsia="仿宋"/>
                <w:sz w:val="21"/>
                <w:szCs w:val="21"/>
              </w:rPr>
              <w:t>8</w:t>
            </w:r>
          </w:p>
        </w:tc>
        <w:tc>
          <w:tcPr>
            <w:tcW w:w="850" w:type="dxa"/>
            <w:vAlign w:val="center"/>
          </w:tcPr>
          <w:p>
            <w:pPr>
              <w:jc w:val="center"/>
              <w:rPr>
                <w:rFonts w:ascii="仿宋" w:hAnsi="仿宋" w:eastAsia="仿宋"/>
                <w:sz w:val="21"/>
                <w:szCs w:val="21"/>
              </w:rPr>
            </w:pPr>
            <w:r>
              <w:rPr>
                <w:rFonts w:ascii="仿宋" w:hAnsi="仿宋" w:eastAsia="仿宋"/>
                <w:sz w:val="21"/>
                <w:szCs w:val="21"/>
              </w:rPr>
              <w:t>法兰总成</w:t>
            </w:r>
          </w:p>
        </w:tc>
        <w:tc>
          <w:tcPr>
            <w:tcW w:w="2694" w:type="dxa"/>
            <w:vAlign w:val="center"/>
          </w:tcPr>
          <w:p>
            <w:pPr>
              <w:jc w:val="center"/>
              <w:rPr>
                <w:rFonts w:ascii="仿宋" w:hAnsi="仿宋" w:eastAsia="仿宋"/>
                <w:sz w:val="21"/>
                <w:szCs w:val="21"/>
              </w:rPr>
            </w:pPr>
            <w:r>
              <w:rPr>
                <w:rFonts w:ascii="仿宋" w:hAnsi="仿宋" w:eastAsia="仿宋"/>
                <w:sz w:val="21"/>
                <w:szCs w:val="21"/>
              </w:rPr>
              <w:t>AZ400741710882/AZ400741710883/AZ400741710887</w:t>
            </w:r>
          </w:p>
          <w:p>
            <w:pPr>
              <w:jc w:val="center"/>
              <w:rPr>
                <w:rFonts w:ascii="仿宋" w:hAnsi="仿宋" w:eastAsia="仿宋"/>
                <w:sz w:val="21"/>
                <w:szCs w:val="21"/>
              </w:rPr>
            </w:pPr>
            <w:r>
              <w:rPr>
                <w:rFonts w:ascii="仿宋" w:hAnsi="仿宋" w:eastAsia="仿宋"/>
                <w:sz w:val="21"/>
                <w:szCs w:val="21"/>
              </w:rPr>
              <w:t>AZ400741710888/AZ400741710805/AZ4005415355</w:t>
            </w:r>
          </w:p>
          <w:p>
            <w:pPr>
              <w:jc w:val="center"/>
              <w:rPr>
                <w:rFonts w:ascii="仿宋" w:hAnsi="仿宋" w:eastAsia="仿宋"/>
                <w:sz w:val="21"/>
                <w:szCs w:val="21"/>
              </w:rPr>
            </w:pPr>
            <w:r>
              <w:rPr>
                <w:rFonts w:ascii="仿宋" w:hAnsi="仿宋" w:eastAsia="仿宋"/>
                <w:sz w:val="21"/>
                <w:szCs w:val="21"/>
              </w:rPr>
              <w:t>AZ4005415354/AZ4007410040/AZ400741951015/AZ400741951016/AZ4007410042</w:t>
            </w:r>
          </w:p>
          <w:p>
            <w:pPr>
              <w:jc w:val="center"/>
              <w:rPr>
                <w:rFonts w:ascii="仿宋" w:hAnsi="仿宋" w:eastAsia="仿宋"/>
                <w:sz w:val="21"/>
                <w:szCs w:val="21"/>
              </w:rPr>
            </w:pPr>
            <w:r>
              <w:rPr>
                <w:rFonts w:ascii="仿宋" w:hAnsi="仿宋" w:eastAsia="仿宋"/>
                <w:sz w:val="21"/>
                <w:szCs w:val="21"/>
              </w:rPr>
              <w:t>AZ4005415343/AZ4005415342AZ400541501560/AZ400541501561/AZ4071413042H10000/AZ4075413040H20000AZ4075413042H20000/AZ4075413040H10000</w:t>
            </w:r>
          </w:p>
          <w:p>
            <w:pPr>
              <w:jc w:val="center"/>
              <w:rPr>
                <w:rFonts w:ascii="仿宋" w:hAnsi="仿宋" w:eastAsia="仿宋"/>
                <w:sz w:val="21"/>
                <w:szCs w:val="21"/>
              </w:rPr>
            </w:pPr>
            <w:r>
              <w:rPr>
                <w:rFonts w:ascii="仿宋" w:hAnsi="仿宋" w:eastAsia="仿宋"/>
                <w:sz w:val="21"/>
                <w:szCs w:val="21"/>
              </w:rPr>
              <w:t>AZ4075413042H10000/AZ4071413040H20000/AZ400541501508H10000/AZ400541501509H10000</w:t>
            </w:r>
          </w:p>
        </w:tc>
        <w:tc>
          <w:tcPr>
            <w:tcW w:w="850" w:type="dxa"/>
            <w:vAlign w:val="center"/>
          </w:tcPr>
          <w:p>
            <w:pPr>
              <w:jc w:val="center"/>
              <w:rPr>
                <w:rFonts w:ascii="仿宋" w:hAnsi="仿宋" w:eastAsia="仿宋"/>
                <w:sz w:val="21"/>
                <w:szCs w:val="21"/>
              </w:rPr>
            </w:pPr>
            <w:r>
              <w:rPr>
                <w:rFonts w:ascii="仿宋" w:hAnsi="仿宋" w:eastAsia="仿宋"/>
                <w:sz w:val="21"/>
                <w:szCs w:val="21"/>
              </w:rPr>
              <w:t>－</w:t>
            </w:r>
          </w:p>
        </w:tc>
        <w:tc>
          <w:tcPr>
            <w:tcW w:w="709" w:type="dxa"/>
            <w:vAlign w:val="center"/>
          </w:tcPr>
          <w:p>
            <w:pPr>
              <w:jc w:val="center"/>
              <w:rPr>
                <w:rFonts w:ascii="仿宋" w:hAnsi="仿宋" w:eastAsia="仿宋"/>
                <w:sz w:val="21"/>
                <w:szCs w:val="21"/>
              </w:rPr>
            </w:pPr>
            <w:r>
              <w:rPr>
                <w:rFonts w:ascii="仿宋" w:hAnsi="仿宋" w:eastAsia="仿宋"/>
                <w:sz w:val="21"/>
                <w:szCs w:val="21"/>
              </w:rPr>
              <w:t>－</w:t>
            </w:r>
          </w:p>
        </w:tc>
        <w:tc>
          <w:tcPr>
            <w:tcW w:w="1130" w:type="dxa"/>
            <w:vAlign w:val="center"/>
          </w:tcPr>
          <w:p>
            <w:pPr>
              <w:jc w:val="center"/>
              <w:rPr>
                <w:rFonts w:ascii="仿宋" w:hAnsi="仿宋" w:eastAsia="仿宋"/>
                <w:sz w:val="21"/>
                <w:szCs w:val="21"/>
              </w:rPr>
            </w:pPr>
            <w:r>
              <w:rPr>
                <w:rFonts w:ascii="仿宋" w:hAnsi="仿宋" w:eastAsia="仿宋"/>
                <w:sz w:val="21"/>
                <w:szCs w:val="21"/>
              </w:rPr>
              <w:t>－</w:t>
            </w:r>
          </w:p>
        </w:tc>
        <w:tc>
          <w:tcPr>
            <w:tcW w:w="713" w:type="dxa"/>
            <w:vAlign w:val="center"/>
          </w:tcPr>
          <w:p>
            <w:pPr>
              <w:jc w:val="center"/>
              <w:rPr>
                <w:rFonts w:ascii="仿宋" w:hAnsi="仿宋" w:eastAsia="仿宋"/>
                <w:sz w:val="21"/>
                <w:szCs w:val="21"/>
              </w:rPr>
            </w:pPr>
            <w:r>
              <w:rPr>
                <w:rFonts w:ascii="仿宋" w:hAnsi="仿宋" w:eastAsia="仿宋"/>
                <w:sz w:val="21"/>
                <w:szCs w:val="21"/>
              </w:rPr>
              <w:t>10</w:t>
            </w:r>
          </w:p>
        </w:tc>
        <w:tc>
          <w:tcPr>
            <w:tcW w:w="708" w:type="dxa"/>
            <w:vAlign w:val="center"/>
          </w:tcPr>
          <w:p>
            <w:pPr>
              <w:jc w:val="center"/>
              <w:rPr>
                <w:rFonts w:ascii="仿宋" w:hAnsi="仿宋" w:eastAsia="仿宋"/>
                <w:sz w:val="21"/>
                <w:szCs w:val="21"/>
              </w:rPr>
            </w:pPr>
            <w:r>
              <w:rPr>
                <w:rFonts w:ascii="仿宋" w:hAnsi="仿宋" w:eastAsia="仿宋"/>
                <w:sz w:val="21"/>
                <w:szCs w:val="21"/>
              </w:rPr>
              <w:t>是</w:t>
            </w:r>
          </w:p>
        </w:tc>
        <w:tc>
          <w:tcPr>
            <w:tcW w:w="709" w:type="dxa"/>
            <w:vAlign w:val="center"/>
          </w:tcPr>
          <w:p>
            <w:pPr>
              <w:jc w:val="center"/>
              <w:rPr>
                <w:rFonts w:ascii="仿宋" w:hAnsi="仿宋" w:eastAsia="仿宋"/>
                <w:sz w:val="21"/>
                <w:szCs w:val="21"/>
              </w:rPr>
            </w:pPr>
            <w:r>
              <w:rPr>
                <w:rFonts w:ascii="仿宋" w:hAnsi="仿宋" w:eastAsia="仿宋"/>
                <w:sz w:val="21"/>
                <w:szCs w:val="21"/>
              </w:rPr>
              <w:t>是</w:t>
            </w:r>
          </w:p>
        </w:tc>
      </w:tr>
    </w:tbl>
    <w:p>
      <w:pPr>
        <w:spacing w:line="360" w:lineRule="auto"/>
        <w:ind w:firstLine="420" w:firstLineChars="200"/>
        <w:jc w:val="left"/>
        <w:rPr>
          <w:rFonts w:ascii="仿宋" w:hAnsi="仿宋" w:eastAsia="仿宋" w:cs="仿宋"/>
          <w:kern w:val="0"/>
        </w:rPr>
      </w:pPr>
      <w:bookmarkStart w:id="331" w:name="_Toc18984"/>
      <w:bookmarkStart w:id="332" w:name="_Toc28832"/>
      <w:bookmarkStart w:id="333" w:name="_Toc3740"/>
      <w:bookmarkStart w:id="334" w:name="_Toc10192"/>
      <w:bookmarkStart w:id="335" w:name="_Toc26412"/>
      <w:bookmarkStart w:id="336" w:name="_Toc18742"/>
      <w:bookmarkStart w:id="337" w:name="_Toc1265"/>
      <w:bookmarkStart w:id="338" w:name="_Toc4858"/>
      <w:bookmarkStart w:id="339" w:name="_Toc12871"/>
      <w:bookmarkStart w:id="340" w:name="_Toc16070"/>
      <w:bookmarkStart w:id="341" w:name="_Toc2507"/>
      <w:bookmarkStart w:id="342" w:name="_Toc20831"/>
      <w:bookmarkStart w:id="343" w:name="_Toc4763"/>
      <w:bookmarkStart w:id="344" w:name="_Toc21078"/>
      <w:bookmarkStart w:id="345" w:name="_Toc16344"/>
      <w:bookmarkStart w:id="346" w:name="_Toc5701"/>
      <w:bookmarkStart w:id="347" w:name="_Toc1016"/>
      <w:bookmarkStart w:id="348" w:name="_Toc315"/>
      <w:bookmarkStart w:id="349" w:name="_Toc20295"/>
      <w:r>
        <w:rPr>
          <w:rFonts w:hint="eastAsia" w:ascii="仿宋" w:hAnsi="仿宋" w:eastAsia="仿宋" w:cs="仿宋"/>
          <w:kern w:val="0"/>
        </w:rPr>
        <w:t>3.2主要功能：</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pPr>
        <w:spacing w:line="360" w:lineRule="auto"/>
        <w:ind w:firstLine="420" w:firstLineChars="200"/>
        <w:jc w:val="left"/>
        <w:rPr>
          <w:rFonts w:ascii="仿宋" w:hAnsi="仿宋" w:eastAsia="仿宋" w:cs="仿宋"/>
          <w:kern w:val="0"/>
        </w:rPr>
      </w:pPr>
      <w:r>
        <w:rPr>
          <w:rFonts w:hint="eastAsia" w:ascii="仿宋" w:hAnsi="仿宋" w:eastAsia="仿宋" w:cs="仿宋"/>
          <w:kern w:val="0"/>
        </w:rPr>
        <w:t>3.2.1压力机主要功能</w:t>
      </w:r>
    </w:p>
    <w:p>
      <w:pPr>
        <w:spacing w:line="360" w:lineRule="auto"/>
        <w:ind w:firstLine="420" w:firstLineChars="200"/>
        <w:jc w:val="left"/>
        <w:rPr>
          <w:rFonts w:ascii="仿宋" w:hAnsi="仿宋" w:eastAsia="仿宋" w:cs="仿宋"/>
          <w:kern w:val="0"/>
        </w:rPr>
      </w:pPr>
      <w:r>
        <w:rPr>
          <w:rFonts w:hint="eastAsia" w:ascii="仿宋" w:hAnsi="仿宋" w:eastAsia="仿宋" w:cs="仿宋"/>
          <w:kern w:val="0"/>
        </w:rPr>
        <w:t>160T压力机中1台替代现有前轮毂总成线内的25T压力机，另1台放置在产线外单机使用，线外压力机主要用于法兰类仅需压装车轮螺栓的单工序产品，线内压力机用于生产前轮毂总成及法兰总成。产品通过辊道到达人工预装车轮螺栓工位进行车轮螺栓预装，完成后将工件移入压装工位，双手按压按钮压装车轮螺栓，一次</w:t>
      </w:r>
      <w:r>
        <w:rPr>
          <w:rFonts w:hint="eastAsia" w:ascii="仿宋" w:hAnsi="仿宋" w:eastAsia="仿宋" w:cs="仿宋"/>
          <w:kern w:val="0"/>
          <w:lang w:val="en-US" w:eastAsia="zh-CN"/>
        </w:rPr>
        <w:t>下压</w:t>
      </w:r>
      <w:r>
        <w:rPr>
          <w:rFonts w:hint="eastAsia" w:ascii="仿宋" w:hAnsi="仿宋" w:eastAsia="仿宋" w:cs="仿宋"/>
          <w:kern w:val="0"/>
        </w:rPr>
        <w:t>完成</w:t>
      </w:r>
      <w:r>
        <w:rPr>
          <w:rFonts w:hint="eastAsia" w:ascii="仿宋" w:hAnsi="仿宋" w:eastAsia="仿宋" w:cs="仿宋"/>
          <w:kern w:val="0"/>
          <w:lang w:val="en-US" w:eastAsia="zh-CN"/>
        </w:rPr>
        <w:t>全部螺栓的装配</w:t>
      </w:r>
      <w:r>
        <w:rPr>
          <w:rFonts w:hint="eastAsia" w:ascii="仿宋" w:hAnsi="仿宋" w:eastAsia="仿宋" w:cs="仿宋"/>
          <w:kern w:val="0"/>
        </w:rPr>
        <w:t>，螺栓头部端面与轮毂端面间隙≤0.15</w:t>
      </w:r>
      <w:r>
        <w:rPr>
          <w:rFonts w:hint="eastAsia" w:ascii="仿宋" w:hAnsi="仿宋" w:eastAsia="仿宋" w:cs="仿宋"/>
          <w:kern w:val="0"/>
          <w:lang w:eastAsia="zh-CN"/>
        </w:rPr>
        <w:t>（</w:t>
      </w:r>
      <w:r>
        <w:rPr>
          <w:rFonts w:hint="eastAsia" w:ascii="仿宋" w:hAnsi="仿宋" w:eastAsia="仿宋" w:cs="仿宋"/>
          <w:kern w:val="0"/>
        </w:rPr>
        <w:t>使用塞尺检测），螺栓到位后自动保压2S，双手松开按钮后压头回程，</w:t>
      </w:r>
      <w:r>
        <w:rPr>
          <w:rFonts w:hint="eastAsia" w:ascii="仿宋" w:hAnsi="仿宋" w:eastAsia="仿宋" w:cs="仿宋"/>
        </w:rPr>
        <w:t>人工</w:t>
      </w:r>
      <w:r>
        <w:rPr>
          <w:rFonts w:hint="eastAsia" w:ascii="仿宋" w:hAnsi="仿宋" w:eastAsia="仿宋" w:cs="仿宋"/>
          <w:kern w:val="0"/>
        </w:rPr>
        <w:t>将工件移至辊道线并输送至ABS综合检测工位。</w:t>
      </w:r>
    </w:p>
    <w:p>
      <w:pPr>
        <w:spacing w:line="360" w:lineRule="auto"/>
        <w:ind w:firstLine="420" w:firstLineChars="200"/>
        <w:jc w:val="left"/>
        <w:rPr>
          <w:rFonts w:ascii="仿宋" w:hAnsi="仿宋" w:eastAsia="仿宋" w:cs="仿宋"/>
          <w:kern w:val="0"/>
        </w:rPr>
      </w:pPr>
      <w:r>
        <w:rPr>
          <w:rFonts w:hint="eastAsia" w:ascii="仿宋" w:hAnsi="仿宋" w:eastAsia="仿宋" w:cs="仿宋"/>
          <w:kern w:val="0"/>
        </w:rPr>
        <w:t>设备可根据产品系列调整压力，可显示和调整保压时间。</w:t>
      </w:r>
    </w:p>
    <w:p>
      <w:pPr>
        <w:spacing w:line="360" w:lineRule="auto"/>
        <w:ind w:firstLine="420" w:firstLineChars="200"/>
        <w:jc w:val="left"/>
        <w:rPr>
          <w:rFonts w:ascii="仿宋" w:hAnsi="仿宋" w:eastAsia="仿宋" w:cs="仿宋"/>
          <w:kern w:val="0"/>
        </w:rPr>
      </w:pPr>
      <w:r>
        <w:rPr>
          <w:rFonts w:ascii="仿宋" w:hAnsi="仿宋" w:eastAsia="仿宋" w:cs="仿宋"/>
          <w:kern w:val="0"/>
        </w:rPr>
        <w:t>3.2.</w:t>
      </w:r>
      <w:r>
        <w:rPr>
          <w:rFonts w:hint="eastAsia" w:ascii="仿宋" w:hAnsi="仿宋" w:eastAsia="仿宋" w:cs="仿宋"/>
          <w:kern w:val="0"/>
        </w:rPr>
        <w:t>2 ABS齿圈综合检测机主要功能</w:t>
      </w:r>
    </w:p>
    <w:p>
      <w:pPr>
        <w:spacing w:line="360" w:lineRule="auto"/>
        <w:ind w:firstLine="420" w:firstLineChars="200"/>
        <w:jc w:val="left"/>
        <w:rPr>
          <w:rFonts w:ascii="仿宋" w:hAnsi="仿宋" w:eastAsia="仿宋" w:cs="仿宋"/>
          <w:kern w:val="0"/>
        </w:rPr>
      </w:pPr>
      <w:r>
        <w:rPr>
          <w:rFonts w:hint="eastAsia" w:ascii="仿宋" w:hAnsi="仿宋" w:eastAsia="仿宋" w:cs="仿宋"/>
          <w:kern w:val="0"/>
        </w:rPr>
        <w:t>自动/人工扫描轮毂本体流水码后，将轮毂总成定位，启动ABS齿圈综合检测机的检测程序，产品自动旋转进行综合检测，所有检测项目同时进行：使用激光传感器等非接触式传感器精确测量计算ABS齿圈齿数、ABS齿圈端面跳动、相邻齿高度差、轴密封圈端面跳动、轴密封圈压装深度、车轮螺栓数量及型号（长度一致性）防错判定，同时使用视觉拍照系统（基恩士/康耐视等同级别品牌并提供拍照成像软件）对10个螺栓螺纹部位进行拍照识别，准确识别判定螺栓有无螺纹。异常情况、检测不合格时能够及时报警,保证产品质量。</w:t>
      </w:r>
    </w:p>
    <w:p>
      <w:pPr>
        <w:spacing w:line="360" w:lineRule="auto"/>
        <w:ind w:firstLine="420" w:firstLineChars="200"/>
        <w:jc w:val="left"/>
        <w:rPr>
          <w:rFonts w:ascii="仿宋" w:hAnsi="仿宋" w:eastAsia="仿宋" w:cs="仿宋"/>
          <w:kern w:val="0"/>
        </w:rPr>
      </w:pPr>
      <w:r>
        <w:rPr>
          <w:rFonts w:hint="eastAsia" w:ascii="仿宋" w:hAnsi="仿宋" w:eastAsia="仿宋" w:cs="仿宋"/>
          <w:kern w:val="0"/>
        </w:rPr>
        <w:t>设备根据产品结构特性，以轴承孔中心为基准进行综合检测，测量完毕后各个机构复位，产品输送至辊道线进行后序流转。</w:t>
      </w:r>
    </w:p>
    <w:p>
      <w:pPr>
        <w:spacing w:line="360" w:lineRule="auto"/>
        <w:ind w:firstLine="420" w:firstLineChars="200"/>
        <w:jc w:val="left"/>
        <w:rPr>
          <w:rFonts w:ascii="仿宋" w:hAnsi="仿宋" w:eastAsia="仿宋" w:cs="仿宋"/>
          <w:kern w:val="0"/>
        </w:rPr>
      </w:pPr>
      <w:bookmarkStart w:id="350" w:name="_Toc15114"/>
      <w:bookmarkStart w:id="351" w:name="_Toc2740"/>
      <w:bookmarkStart w:id="352" w:name="_Toc30017"/>
      <w:bookmarkStart w:id="353" w:name="_Toc19625"/>
      <w:bookmarkStart w:id="354" w:name="_Toc30232"/>
      <w:bookmarkStart w:id="355" w:name="_Toc20138"/>
      <w:bookmarkStart w:id="356" w:name="_Toc6592"/>
      <w:bookmarkStart w:id="357" w:name="_Toc32014"/>
      <w:bookmarkStart w:id="358" w:name="_Toc6956"/>
      <w:bookmarkStart w:id="359" w:name="_Toc4440"/>
      <w:bookmarkStart w:id="360" w:name="_Toc6887"/>
      <w:bookmarkStart w:id="361" w:name="_Toc2103"/>
      <w:bookmarkStart w:id="362" w:name="_Toc21042"/>
      <w:bookmarkStart w:id="363" w:name="_Toc29045"/>
      <w:bookmarkStart w:id="364" w:name="_Toc14275"/>
      <w:bookmarkStart w:id="365" w:name="_Toc30729"/>
      <w:bookmarkStart w:id="366" w:name="_Toc21034"/>
      <w:bookmarkStart w:id="367" w:name="_Toc9455"/>
      <w:bookmarkStart w:id="368" w:name="_Toc12930"/>
      <w:r>
        <w:rPr>
          <w:rFonts w:hint="eastAsia" w:ascii="仿宋" w:hAnsi="仿宋" w:eastAsia="仿宋" w:cs="仿宋"/>
          <w:kern w:val="0"/>
        </w:rPr>
        <w:t>3.3技术要求及参数</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pPr>
        <w:spacing w:line="360" w:lineRule="auto"/>
        <w:ind w:firstLine="420" w:firstLineChars="200"/>
        <w:jc w:val="left"/>
        <w:rPr>
          <w:rFonts w:ascii="仿宋" w:hAnsi="仿宋" w:eastAsia="仿宋" w:cs="仿宋"/>
          <w:kern w:val="0"/>
        </w:rPr>
      </w:pPr>
      <w:r>
        <w:rPr>
          <w:rFonts w:hint="eastAsia" w:ascii="仿宋" w:hAnsi="仿宋" w:eastAsia="仿宋" w:cs="仿宋"/>
          <w:kern w:val="0"/>
        </w:rPr>
        <w:t>3.3.1压力机主要参数及精度配置</w:t>
      </w:r>
    </w:p>
    <w:p>
      <w:pPr>
        <w:spacing w:line="360" w:lineRule="auto"/>
        <w:ind w:firstLine="420" w:firstLineChars="200"/>
        <w:jc w:val="left"/>
        <w:rPr>
          <w:rFonts w:ascii="仿宋" w:hAnsi="仿宋" w:eastAsia="仿宋" w:cs="仿宋"/>
          <w:kern w:val="0"/>
        </w:rPr>
      </w:pPr>
      <w:r>
        <w:rPr>
          <w:rFonts w:hint="eastAsia" w:ascii="仿宋" w:hAnsi="仿宋" w:eastAsia="仿宋" w:cs="仿宋"/>
          <w:kern w:val="0"/>
        </w:rPr>
        <w:t>3.3.1.1主缸公称力：1600kN；</w:t>
      </w:r>
    </w:p>
    <w:p>
      <w:pPr>
        <w:spacing w:line="360" w:lineRule="auto"/>
        <w:ind w:firstLine="420" w:firstLineChars="200"/>
        <w:jc w:val="left"/>
        <w:rPr>
          <w:rFonts w:ascii="仿宋" w:hAnsi="仿宋" w:eastAsia="仿宋" w:cs="仿宋"/>
        </w:rPr>
      </w:pPr>
      <w:r>
        <w:rPr>
          <w:rFonts w:hint="eastAsia" w:ascii="仿宋" w:hAnsi="仿宋" w:eastAsia="仿宋" w:cs="仿宋"/>
          <w:kern w:val="0"/>
        </w:rPr>
        <w:t>3.3.1.2油缸行程需确保压头压柱下底面与工装定位面的最小距离</w:t>
      </w:r>
      <w:r>
        <w:rPr>
          <w:rFonts w:hint="eastAsia" w:ascii="仿宋" w:hAnsi="仿宋" w:eastAsia="仿宋" w:cs="仿宋"/>
        </w:rPr>
        <w:t>不低于350mm，保证所有产品可顺利移入/移出压装工位；</w:t>
      </w:r>
    </w:p>
    <w:p>
      <w:pPr>
        <w:pStyle w:val="23"/>
        <w:snapToGrid w:val="0"/>
        <w:spacing w:line="360" w:lineRule="auto"/>
        <w:ind w:firstLine="420" w:firstLineChars="200"/>
        <w:rPr>
          <w:rFonts w:ascii="仿宋" w:hAnsi="仿宋" w:eastAsia="仿宋" w:cs="仿宋"/>
        </w:rPr>
      </w:pPr>
      <w:r>
        <w:rPr>
          <w:rFonts w:hint="eastAsia" w:ascii="仿宋" w:hAnsi="仿宋" w:eastAsia="仿宋"/>
        </w:rPr>
        <w:t>3.3.1.3</w:t>
      </w:r>
      <w:r>
        <w:rPr>
          <w:rFonts w:hint="eastAsia" w:ascii="仿宋" w:hAnsi="仿宋" w:eastAsia="仿宋" w:cs="仿宋"/>
        </w:rPr>
        <w:t>工作台高度保证与辊道连接平顺；</w:t>
      </w:r>
      <w:r>
        <w:rPr>
          <w:rFonts w:ascii="仿宋" w:hAnsi="仿宋" w:eastAsia="仿宋" w:cs="仿宋"/>
        </w:rPr>
        <w:t xml:space="preserve"> </w:t>
      </w:r>
    </w:p>
    <w:p>
      <w:pPr>
        <w:pStyle w:val="23"/>
        <w:snapToGrid w:val="0"/>
        <w:spacing w:line="360" w:lineRule="auto"/>
        <w:ind w:firstLine="420" w:firstLineChars="200"/>
        <w:rPr>
          <w:rFonts w:ascii="仿宋" w:hAnsi="仿宋" w:eastAsia="仿宋" w:cs="仿宋"/>
        </w:rPr>
      </w:pPr>
      <w:r>
        <w:rPr>
          <w:rFonts w:hint="eastAsia" w:ascii="仿宋" w:hAnsi="仿宋" w:eastAsia="仿宋"/>
        </w:rPr>
        <w:t>3.3.1.4具有独立的动力机构和电气系统，</w:t>
      </w:r>
      <w:r>
        <w:rPr>
          <w:rFonts w:hint="eastAsia" w:ascii="仿宋" w:hAnsi="仿宋" w:eastAsia="仿宋" w:cs="仿宋"/>
        </w:rPr>
        <w:t>双按钮运行，双手操作时压头下行，确保操作安全；</w:t>
      </w:r>
      <w:r>
        <w:rPr>
          <w:rFonts w:hint="eastAsia" w:ascii="仿宋" w:hAnsi="仿宋" w:eastAsia="仿宋"/>
        </w:rPr>
        <w:t>可实现点动调整、半自动两种操作方式；</w:t>
      </w:r>
      <w:r>
        <w:rPr>
          <w:rFonts w:hint="eastAsia" w:ascii="仿宋" w:hAnsi="仿宋" w:eastAsia="仿宋" w:cs="仿宋"/>
        </w:rPr>
        <w:t>配备安全光栅，三色警示灯等，符合安全规定；</w:t>
      </w:r>
    </w:p>
    <w:p>
      <w:pPr>
        <w:pStyle w:val="23"/>
        <w:snapToGrid w:val="0"/>
        <w:spacing w:line="360" w:lineRule="auto"/>
        <w:ind w:firstLine="420" w:firstLineChars="200"/>
        <w:rPr>
          <w:rFonts w:ascii="仿宋" w:hAnsi="仿宋" w:eastAsia="仿宋" w:cs="仿宋"/>
        </w:rPr>
      </w:pPr>
      <w:r>
        <w:rPr>
          <w:rFonts w:hint="eastAsia" w:ascii="仿宋" w:hAnsi="仿宋" w:eastAsia="仿宋"/>
        </w:rPr>
        <w:t>3.3.1.5</w:t>
      </w:r>
      <w:r>
        <w:rPr>
          <w:rFonts w:hint="eastAsia" w:ascii="仿宋" w:hAnsi="仿宋" w:eastAsia="仿宋" w:cs="仿宋"/>
        </w:rPr>
        <w:t>配备下顶缸，方便前轮毂总成（含法兰总成）的压装及转运；</w:t>
      </w:r>
    </w:p>
    <w:p>
      <w:pPr>
        <w:pStyle w:val="23"/>
        <w:snapToGrid w:val="0"/>
        <w:spacing w:line="360" w:lineRule="auto"/>
        <w:ind w:firstLine="420" w:firstLineChars="200"/>
        <w:rPr>
          <w:rFonts w:ascii="仿宋" w:hAnsi="仿宋" w:eastAsia="仿宋"/>
        </w:rPr>
      </w:pPr>
      <w:r>
        <w:rPr>
          <w:rFonts w:hint="eastAsia" w:ascii="仿宋" w:hAnsi="仿宋" w:eastAsia="仿宋"/>
        </w:rPr>
        <w:t>3.3.1.6</w:t>
      </w:r>
      <w:r>
        <w:rPr>
          <w:rFonts w:hint="eastAsia" w:ascii="仿宋" w:hAnsi="仿宋" w:eastAsia="仿宋" w:cs="仿宋"/>
        </w:rPr>
        <w:t>电气系统采用PLC控制，</w:t>
      </w:r>
      <w:r>
        <w:rPr>
          <w:rFonts w:hint="eastAsia" w:ascii="仿宋" w:hAnsi="仿宋" w:eastAsia="仿宋"/>
        </w:rPr>
        <w:t>可对压装过程压力进行监控，压力及位移采用传感器控制，</w:t>
      </w:r>
      <w:r>
        <w:rPr>
          <w:rFonts w:hint="eastAsia" w:ascii="仿宋" w:hAnsi="仿宋" w:eastAsia="仿宋" w:cs="仿宋"/>
        </w:rPr>
        <w:t>备有触摸屏对压机的压力设定设置、压头位移设定设置显示，</w:t>
      </w:r>
      <w:r>
        <w:rPr>
          <w:rFonts w:hint="eastAsia" w:ascii="仿宋" w:hAnsi="仿宋" w:eastAsia="仿宋"/>
        </w:rPr>
        <w:t>以实现工作压力、行程范围可根据工艺要求进行调整的要求，可</w:t>
      </w:r>
      <w:r>
        <w:rPr>
          <w:rFonts w:hint="eastAsia" w:ascii="仿宋" w:hAnsi="仿宋" w:eastAsia="仿宋" w:cs="仿宋"/>
        </w:rPr>
        <w:t>发出相关信号控制油缸的压力检测、位移检测和报警；</w:t>
      </w:r>
    </w:p>
    <w:p>
      <w:pPr>
        <w:pStyle w:val="23"/>
        <w:snapToGrid w:val="0"/>
        <w:spacing w:line="360" w:lineRule="auto"/>
        <w:ind w:firstLine="420" w:firstLineChars="200"/>
        <w:rPr>
          <w:rFonts w:ascii="仿宋" w:hAnsi="仿宋" w:eastAsia="仿宋" w:cs="仿宋"/>
        </w:rPr>
      </w:pPr>
      <w:r>
        <w:rPr>
          <w:rFonts w:hint="eastAsia" w:ascii="仿宋" w:hAnsi="仿宋" w:eastAsia="仿宋"/>
        </w:rPr>
        <w:t>3.3.1.7</w:t>
      </w:r>
      <w:r>
        <w:rPr>
          <w:rFonts w:hint="eastAsia" w:ascii="仿宋" w:hAnsi="仿宋" w:eastAsia="仿宋" w:cs="仿宋"/>
        </w:rPr>
        <w:t>电控系统有单独的电器柜，并安有人机界面和常规按钮，在人机界面损坏的情况下仍可完成压装、回程等基本操作。电气控制箱设有急停开关；电器系统设有完备线路保护功能；</w:t>
      </w:r>
    </w:p>
    <w:p>
      <w:pPr>
        <w:pStyle w:val="23"/>
        <w:snapToGrid w:val="0"/>
        <w:spacing w:line="360" w:lineRule="auto"/>
        <w:ind w:firstLine="420" w:firstLineChars="200"/>
        <w:rPr>
          <w:rFonts w:ascii="仿宋" w:hAnsi="仿宋" w:eastAsia="仿宋" w:cs="仿宋"/>
        </w:rPr>
      </w:pPr>
      <w:r>
        <w:rPr>
          <w:rFonts w:hint="eastAsia" w:ascii="仿宋" w:hAnsi="仿宋" w:eastAsia="仿宋"/>
        </w:rPr>
        <w:t>3.3.1.8</w:t>
      </w:r>
      <w:r>
        <w:rPr>
          <w:rFonts w:hint="eastAsia" w:ascii="仿宋" w:hAnsi="仿宋" w:eastAsia="仿宋" w:cs="仿宋"/>
        </w:rPr>
        <w:t>液压系统可实现流量大、精度高的要求，结构简单、紧凑，动作灵敏可靠，设有液压过载保护装置，以防超高压造成破坏；设备所有管路及接口确保连接可靠，无漏油，且便于维修。</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3.3.2 ABS齿圈综合检测机</w:t>
      </w:r>
      <w:r>
        <w:rPr>
          <w:rFonts w:hint="eastAsia" w:ascii="仿宋" w:hAnsi="仿宋" w:eastAsia="仿宋"/>
        </w:rPr>
        <w:t>主要参数及精度配置</w:t>
      </w:r>
    </w:p>
    <w:p>
      <w:pPr>
        <w:pStyle w:val="23"/>
        <w:snapToGrid w:val="0"/>
        <w:spacing w:line="360" w:lineRule="auto"/>
        <w:ind w:firstLine="420" w:firstLineChars="200"/>
        <w:rPr>
          <w:rFonts w:ascii="仿宋" w:hAnsi="仿宋" w:eastAsia="仿宋" w:cs="仿宋"/>
        </w:rPr>
      </w:pPr>
      <w:r>
        <w:rPr>
          <w:rFonts w:ascii="仿宋" w:hAnsi="仿宋" w:eastAsia="仿宋" w:cs="仿宋"/>
        </w:rPr>
        <w:t>3.3.</w:t>
      </w:r>
      <w:r>
        <w:rPr>
          <w:rFonts w:hint="eastAsia" w:ascii="仿宋" w:hAnsi="仿宋" w:eastAsia="仿宋" w:cs="仿宋"/>
        </w:rPr>
        <w:t>2.1 ABS齿圈端面跳动、相邻齿高度差的重复测量精度±0.01mm以内；</w:t>
      </w:r>
    </w:p>
    <w:p>
      <w:pPr>
        <w:pStyle w:val="23"/>
        <w:snapToGrid w:val="0"/>
        <w:spacing w:line="360" w:lineRule="auto"/>
        <w:ind w:firstLine="420" w:firstLineChars="200"/>
        <w:rPr>
          <w:rFonts w:ascii="仿宋" w:hAnsi="仿宋" w:eastAsia="仿宋" w:cs="仿宋"/>
        </w:rPr>
      </w:pPr>
      <w:r>
        <w:rPr>
          <w:rFonts w:ascii="仿宋" w:hAnsi="仿宋" w:eastAsia="仿宋" w:cs="仿宋"/>
        </w:rPr>
        <w:t>3.3.</w:t>
      </w:r>
      <w:r>
        <w:rPr>
          <w:rFonts w:hint="eastAsia" w:ascii="仿宋" w:hAnsi="仿宋" w:eastAsia="仿宋" w:cs="仿宋"/>
        </w:rPr>
        <w:t>2.2轴密封圈端面跳动、压装深度的重复测量精度±0.02mm以内；</w:t>
      </w:r>
    </w:p>
    <w:p>
      <w:pPr>
        <w:pStyle w:val="23"/>
        <w:snapToGrid w:val="0"/>
        <w:spacing w:line="360" w:lineRule="auto"/>
        <w:ind w:firstLine="420" w:firstLineChars="200"/>
        <w:rPr>
          <w:rFonts w:ascii="仿宋" w:hAnsi="仿宋" w:eastAsia="仿宋" w:cs="仿宋"/>
        </w:rPr>
      </w:pPr>
      <w:r>
        <w:rPr>
          <w:rFonts w:ascii="仿宋" w:hAnsi="仿宋" w:eastAsia="仿宋" w:cs="仿宋"/>
        </w:rPr>
        <w:t>3.3.</w:t>
      </w:r>
      <w:r>
        <w:rPr>
          <w:rFonts w:hint="eastAsia" w:ascii="仿宋" w:hAnsi="仿宋" w:eastAsia="仿宋" w:cs="仿宋"/>
        </w:rPr>
        <w:t>2.3 ABS齿数、车轮螺栓数量及型号（长度一致性）、螺栓有无螺纹等防错判定准确；</w:t>
      </w:r>
    </w:p>
    <w:p>
      <w:pPr>
        <w:spacing w:line="360" w:lineRule="auto"/>
        <w:ind w:firstLine="420" w:firstLineChars="200"/>
        <w:jc w:val="left"/>
        <w:rPr>
          <w:rFonts w:ascii="仿宋" w:hAnsi="仿宋" w:eastAsia="仿宋" w:cs="仿宋"/>
          <w:color w:val="FF0000"/>
          <w:kern w:val="0"/>
        </w:rPr>
      </w:pPr>
      <w:r>
        <w:rPr>
          <w:rFonts w:ascii="仿宋" w:hAnsi="仿宋" w:eastAsia="仿宋" w:cs="仿宋"/>
        </w:rPr>
        <w:t>3.3.</w:t>
      </w:r>
      <w:r>
        <w:rPr>
          <w:rFonts w:hint="eastAsia" w:ascii="仿宋" w:hAnsi="仿宋" w:eastAsia="仿宋" w:cs="仿宋"/>
        </w:rPr>
        <w:t>2</w:t>
      </w:r>
      <w:r>
        <w:rPr>
          <w:rFonts w:hint="eastAsia" w:ascii="仿宋" w:hAnsi="仿宋" w:eastAsia="仿宋" w:cs="仿宋"/>
          <w:kern w:val="0"/>
        </w:rPr>
        <w:t>.4综合检测机应包括设备主体、顶升及产品定位机构、回转驱动机构、测量机构（传感器、相机、盒式油封内外圈间隙消除装置等）、电气控制单元、在线监控系统、扫码枪、PPC/HMI人机系统和外围防护网、安全光栅组件、三色塔灯一盏等部分；</w:t>
      </w:r>
    </w:p>
    <w:p>
      <w:pPr>
        <w:pStyle w:val="23"/>
        <w:snapToGrid w:val="0"/>
        <w:spacing w:line="360" w:lineRule="auto"/>
        <w:ind w:firstLine="420" w:firstLineChars="200"/>
        <w:rPr>
          <w:rFonts w:ascii="仿宋" w:hAnsi="仿宋" w:eastAsia="仿宋" w:cs="仿宋"/>
        </w:rPr>
      </w:pPr>
      <w:r>
        <w:rPr>
          <w:rFonts w:ascii="仿宋" w:hAnsi="仿宋" w:eastAsia="仿宋" w:cs="仿宋"/>
        </w:rPr>
        <w:t>3.3.</w:t>
      </w:r>
      <w:r>
        <w:rPr>
          <w:rFonts w:hint="eastAsia" w:ascii="仿宋" w:hAnsi="仿宋" w:eastAsia="仿宋" w:cs="仿宋"/>
        </w:rPr>
        <w:t>2.5回转驱动机构采用伺服电机控制，测量时带动前轮毂总成自动旋转，转速≥10转/分，可无级调整转速，检测过程轮毂旋转至少一周，旋转过程产品不晃动不影响检测精度；</w:t>
      </w:r>
    </w:p>
    <w:p>
      <w:pPr>
        <w:pStyle w:val="23"/>
        <w:snapToGrid w:val="0"/>
        <w:spacing w:line="360" w:lineRule="auto"/>
        <w:ind w:firstLine="420" w:firstLineChars="200"/>
        <w:rPr>
          <w:rFonts w:ascii="仿宋" w:hAnsi="仿宋" w:eastAsia="仿宋" w:cs="仿宋"/>
        </w:rPr>
      </w:pPr>
      <w:r>
        <w:rPr>
          <w:rFonts w:ascii="仿宋" w:hAnsi="仿宋" w:eastAsia="仿宋" w:cs="仿宋"/>
        </w:rPr>
        <w:t>3.3.</w:t>
      </w:r>
      <w:r>
        <w:rPr>
          <w:rFonts w:hint="eastAsia" w:ascii="仿宋" w:hAnsi="仿宋" w:eastAsia="仿宋" w:cs="仿宋"/>
        </w:rPr>
        <w:t>2.6在线监控系统，根据不同型号的产品设置检测程序；具备计数功能，达到设定数量后报警提示，以便操作者及时更换检测工装及程序；具备测量不合格报警功能，可储存（30万条）和实时查看所有检测数据，并与轮毂流水号信息一一对应，便于产品质量管理追溯。配备触摸屏电脑实时显示检测内容及工艺参数，预留数据网络接口；</w:t>
      </w:r>
    </w:p>
    <w:p>
      <w:pPr>
        <w:pStyle w:val="23"/>
        <w:snapToGrid w:val="0"/>
        <w:spacing w:line="360" w:lineRule="auto"/>
        <w:ind w:firstLine="420" w:firstLineChars="200"/>
        <w:rPr>
          <w:rFonts w:ascii="仿宋" w:hAnsi="仿宋" w:eastAsia="仿宋" w:cs="仿宋"/>
        </w:rPr>
      </w:pPr>
      <w:r>
        <w:rPr>
          <w:rFonts w:ascii="仿宋" w:hAnsi="仿宋" w:eastAsia="仿宋" w:cs="仿宋"/>
        </w:rPr>
        <w:t>3.3.</w:t>
      </w:r>
      <w:r>
        <w:rPr>
          <w:rFonts w:hint="eastAsia" w:ascii="仿宋" w:hAnsi="仿宋" w:eastAsia="仿宋" w:cs="仿宋"/>
        </w:rPr>
        <w:t>2.7驱动、定位机构牢固可靠、不磕碰轮毂且便于清洗、更换、维修。</w:t>
      </w:r>
    </w:p>
    <w:p>
      <w:pPr>
        <w:pStyle w:val="23"/>
        <w:snapToGrid w:val="0"/>
        <w:spacing w:line="360" w:lineRule="auto"/>
        <w:ind w:firstLine="420" w:firstLineChars="200"/>
        <w:rPr>
          <w:rFonts w:ascii="仿宋" w:hAnsi="仿宋" w:eastAsia="仿宋" w:cs="仿宋"/>
        </w:rPr>
      </w:pPr>
      <w:bookmarkStart w:id="369" w:name="_Toc7237"/>
      <w:bookmarkStart w:id="370" w:name="_Toc31070"/>
      <w:bookmarkStart w:id="371" w:name="_Toc11090"/>
      <w:bookmarkStart w:id="372" w:name="_Toc20175"/>
      <w:bookmarkStart w:id="373" w:name="_Toc3790"/>
      <w:bookmarkStart w:id="374" w:name="_Toc16054"/>
      <w:bookmarkStart w:id="375" w:name="_Toc15804"/>
      <w:bookmarkStart w:id="376" w:name="_Toc16236"/>
      <w:bookmarkStart w:id="377" w:name="_Toc21816"/>
      <w:bookmarkStart w:id="378" w:name="_Toc21455"/>
      <w:bookmarkStart w:id="379" w:name="_Toc22966"/>
      <w:bookmarkStart w:id="380" w:name="_Toc12134"/>
      <w:bookmarkStart w:id="381" w:name="_Toc5217"/>
      <w:bookmarkStart w:id="382" w:name="_Toc31998"/>
      <w:bookmarkStart w:id="383" w:name="_Toc31161"/>
      <w:bookmarkStart w:id="384" w:name="_Toc31203"/>
      <w:bookmarkStart w:id="385" w:name="_Toc19257"/>
      <w:bookmarkStart w:id="386" w:name="_Toc16004"/>
      <w:bookmarkStart w:id="387" w:name="_Toc22251"/>
      <w:r>
        <w:rPr>
          <w:rFonts w:hint="eastAsia" w:ascii="仿宋" w:hAnsi="仿宋" w:eastAsia="仿宋" w:cs="仿宋"/>
        </w:rPr>
        <w:t>3.4投标货物设备要求</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w:t>
      </w:r>
      <w:r>
        <w:rPr>
          <w:rFonts w:hint="eastAsia" w:ascii="仿宋" w:hAnsi="仿宋" w:eastAsia="仿宋" w:cs="仿宋"/>
        </w:rPr>
        <w:t>1 设备规范</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.4.1.1</w:t>
      </w:r>
      <w:r>
        <w:rPr>
          <w:rFonts w:hint="eastAsia" w:ascii="仿宋" w:hAnsi="仿宋" w:eastAsia="仿宋" w:cs="仿宋"/>
        </w:rPr>
        <w:t>设备设计合理，制造精良，性能稳定可靠，且使用维修方便，造型美观，设备的结构应保证有足够的静态、动态、热稳态刚度。</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.4.1.2</w:t>
      </w:r>
      <w:r>
        <w:rPr>
          <w:rFonts w:hint="eastAsia" w:ascii="仿宋" w:hAnsi="仿宋" w:eastAsia="仿宋" w:cs="仿宋"/>
        </w:rPr>
        <w:t>设备防护门安全性好，方便操作维修，并配置门联锁，门联锁与PLC数据程序有互锁要求，在安全门未关闭时，设备无法运行。</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.4.1.3</w:t>
      </w:r>
      <w:r>
        <w:rPr>
          <w:rFonts w:hint="eastAsia" w:ascii="仿宋" w:hAnsi="仿宋" w:eastAsia="仿宋" w:cs="仿宋"/>
        </w:rPr>
        <w:t>设备所用全部轴承、丝杠、导轨选用NSK\SKF\THK及招标方认可的同等级品牌国际名牌产品。</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电气规范</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1</w:t>
      </w:r>
      <w:r>
        <w:rPr>
          <w:rFonts w:hint="eastAsia" w:ascii="仿宋" w:hAnsi="仿宋" w:eastAsia="仿宋" w:cs="仿宋"/>
        </w:rPr>
        <w:t>电器柜标准配置采用全封闭式，电器柜加装工业空调，门框加装密封条，保证密封防尘，外形光洁美观；电器柜内的元件须布局合理，元件之间应保证有足够的空间以便于维修，装有维修用电源插座，元件的安装应整齐规范，号码清晰、耐油、不易脱落，电缆线在电气柜内应长短合适、布局美观；</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2</w:t>
      </w:r>
      <w:r>
        <w:rPr>
          <w:rFonts w:hint="eastAsia" w:ascii="仿宋" w:hAnsi="仿宋" w:eastAsia="仿宋" w:cs="仿宋"/>
        </w:rPr>
        <w:t>设备及电气系统必须要做好屏蔽和良好接地；符合相关安全规定、操控部分使用安全电压。</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3</w:t>
      </w:r>
      <w:r>
        <w:rPr>
          <w:rFonts w:hint="eastAsia" w:ascii="仿宋" w:hAnsi="仿宋" w:eastAsia="仿宋" w:cs="仿宋"/>
        </w:rPr>
        <w:t>电器元件全部采用取得国际电工认证标准的正规厂商产品，主要电器元件采用施耐德、西门子、巴鲁夫、TRUCK、IFM等世界著名品牌；</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4</w:t>
      </w:r>
      <w:r>
        <w:rPr>
          <w:rFonts w:hint="eastAsia" w:ascii="仿宋" w:hAnsi="仿宋" w:eastAsia="仿宋" w:cs="仿宋"/>
        </w:rPr>
        <w:t>设备和PLC控制系统采用西门子、三菱等世界著名品牌，输入输出点各留20%备用点；主要低压元件采用著名公司产品；气动元件、光电开关、行程开关等均采用国内外知名产品；伺服电机、变频器选用西门子等世界著名品牌。</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5</w:t>
      </w:r>
      <w:r>
        <w:rPr>
          <w:rFonts w:hint="eastAsia" w:ascii="仿宋" w:hAnsi="仿宋" w:eastAsia="仿宋" w:cs="仿宋"/>
        </w:rPr>
        <w:t>电气PLC控制器的电源前端加有隔离变压器和滤波器，防止电网的波动和噪声污染使PLC发生故障。同时通过程序实现完善的互锁保护和报警功能使系统的安全运行得以保证。</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6</w:t>
      </w:r>
      <w:r>
        <w:rPr>
          <w:rFonts w:hint="eastAsia" w:ascii="仿宋" w:hAnsi="仿宋" w:eastAsia="仿宋" w:cs="仿宋"/>
        </w:rPr>
        <w:t>整套设备配备电力计量装置。</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 xml:space="preserve">7 </w:t>
      </w:r>
      <w:r>
        <w:rPr>
          <w:rFonts w:hint="eastAsia" w:ascii="仿宋" w:hAnsi="仿宋" w:eastAsia="仿宋" w:cs="仿宋"/>
        </w:rPr>
        <w:t>采用LED亮度高、不眩目的照明设施。</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 xml:space="preserve">8 </w:t>
      </w:r>
      <w:r>
        <w:rPr>
          <w:rFonts w:hint="eastAsia" w:ascii="仿宋" w:hAnsi="仿宋" w:eastAsia="仿宋" w:cs="仿宋"/>
        </w:rPr>
        <w:t>对有电子记忆功能的设备推荐合适的电池或不间断电源设备，以使电子记忆在无电情况下不被消除。</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.4.3</w:t>
      </w:r>
      <w:r>
        <w:rPr>
          <w:rFonts w:hint="eastAsia" w:ascii="仿宋" w:hAnsi="仿宋" w:eastAsia="仿宋" w:cs="仿宋"/>
        </w:rPr>
        <w:t>设备液压系统主要配置：</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.4.3</w:t>
      </w:r>
      <w:r>
        <w:rPr>
          <w:rFonts w:hint="eastAsia" w:ascii="仿宋" w:hAnsi="仿宋" w:eastAsia="仿宋" w:cs="仿宋"/>
        </w:rPr>
        <w:t>.1液压系统加装功率足够的加热装置及强制制冷油冷机，油温控制在25-40℃，具备油位、油温显示；油冷却机的吸油口应加装过滤器，过滤器的滤芯应便于清洗和更换；油冷机采用国际知名品牌；</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.4.3</w:t>
      </w:r>
      <w:r>
        <w:rPr>
          <w:rFonts w:hint="eastAsia" w:ascii="仿宋" w:hAnsi="仿宋" w:eastAsia="仿宋" w:cs="仿宋"/>
        </w:rPr>
        <w:t>.</w:t>
      </w:r>
      <w:r>
        <w:rPr>
          <w:rFonts w:ascii="仿宋" w:hAnsi="仿宋" w:eastAsia="仿宋" w:cs="仿宋"/>
        </w:rPr>
        <w:t>2</w:t>
      </w:r>
      <w:r>
        <w:rPr>
          <w:rFonts w:hint="eastAsia" w:ascii="仿宋" w:hAnsi="仿宋" w:eastAsia="仿宋" w:cs="仿宋"/>
        </w:rPr>
        <w:t>液压阀采用叠加式，采用国际知名品牌；</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.4.3</w:t>
      </w:r>
      <w:r>
        <w:rPr>
          <w:rFonts w:hint="eastAsia" w:ascii="仿宋" w:hAnsi="仿宋" w:eastAsia="仿宋" w:cs="仿宋"/>
        </w:rPr>
        <w:t>.</w:t>
      </w:r>
      <w:r>
        <w:rPr>
          <w:rFonts w:ascii="仿宋" w:hAnsi="仿宋" w:eastAsia="仿宋" w:cs="仿宋"/>
        </w:rPr>
        <w:t>3</w:t>
      </w:r>
      <w:r>
        <w:rPr>
          <w:rFonts w:hint="eastAsia" w:ascii="仿宋" w:hAnsi="仿宋" w:eastAsia="仿宋" w:cs="仿宋"/>
        </w:rPr>
        <w:t>液压系统全部采用选用知名产密封件；</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3.4.</w:t>
      </w:r>
      <w:r>
        <w:rPr>
          <w:rFonts w:ascii="仿宋" w:hAnsi="仿宋" w:eastAsia="仿宋" w:cs="仿宋"/>
        </w:rPr>
        <w:t>3</w:t>
      </w:r>
      <w:r>
        <w:rPr>
          <w:rFonts w:hint="eastAsia" w:ascii="仿宋" w:hAnsi="仿宋" w:eastAsia="仿宋" w:cs="仿宋"/>
        </w:rPr>
        <w:t>.</w:t>
      </w:r>
      <w:r>
        <w:rPr>
          <w:rFonts w:ascii="仿宋" w:hAnsi="仿宋" w:eastAsia="仿宋" w:cs="仿宋"/>
        </w:rPr>
        <w:t>4</w:t>
      </w:r>
      <w:r>
        <w:rPr>
          <w:rFonts w:hint="eastAsia" w:ascii="仿宋" w:hAnsi="仿宋" w:eastAsia="仿宋" w:cs="仿宋"/>
        </w:rPr>
        <w:t>具备液压失压保护、报警装置；</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w:t>
      </w:r>
      <w:r>
        <w:rPr>
          <w:rFonts w:hint="eastAsia" w:ascii="仿宋" w:hAnsi="仿宋" w:eastAsia="仿宋" w:cs="仿宋"/>
        </w:rPr>
        <w:t>控制系统</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.4.4.1</w:t>
      </w:r>
      <w:r>
        <w:rPr>
          <w:rFonts w:hint="eastAsia" w:ascii="仿宋" w:hAnsi="仿宋" w:eastAsia="仿宋" w:cs="仿宋"/>
        </w:rPr>
        <w:t>控制系统具备简体中文显示的人机交互界面，应具备数据自动采集、监控并显示、数据存储、历史数据查询、生产线（设备）运行状况及生产活动信息数据等功能。生产线（设备）运行状况及生产活动信息数据不限于以下信息：生产状态统计、产品质量监控与统计、设备运行管控、程序管理等。</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3.4.4.2投标方免费提供数据交互功能，交互数据包括但不限于实时数据、历史数据、报警信息等。</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3.4.4.3控制系统须具有相应的以太网、总线等通讯接口，且免费开放所有通讯接口，提供系统涉及所有通信协议，包括但不限于以太网、RS232、RS485、PROFIBUS、PROFINET、MODBUS 等常见接口，以及设备特有的专用接口。</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w:t>
      </w:r>
      <w:r>
        <w:rPr>
          <w:rFonts w:hint="eastAsia" w:ascii="仿宋" w:hAnsi="仿宋" w:eastAsia="仿宋" w:cs="仿宋"/>
        </w:rPr>
        <w:t>4控制系统具备自动、调试、手动功能模式。</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w:t>
      </w:r>
      <w:r>
        <w:rPr>
          <w:rFonts w:hint="eastAsia" w:ascii="仿宋" w:hAnsi="仿宋" w:eastAsia="仿宋" w:cs="仿宋"/>
        </w:rPr>
        <w:t>5投标方</w:t>
      </w:r>
      <w:r>
        <w:rPr>
          <w:rFonts w:ascii="仿宋" w:hAnsi="仿宋" w:eastAsia="仿宋" w:cs="仿宋"/>
        </w:rPr>
        <w:t>必须提供所有设备程序的源代码，包括但不限于 PLC</w:t>
      </w:r>
      <w:r>
        <w:rPr>
          <w:rFonts w:hint="eastAsia" w:ascii="仿宋" w:hAnsi="仿宋" w:eastAsia="仿宋" w:cs="仿宋"/>
        </w:rPr>
        <w:t>程序、HMI 程序、机器人程序、视觉程序、伺服等。</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w:t>
      </w:r>
      <w:r>
        <w:rPr>
          <w:rFonts w:hint="eastAsia" w:ascii="仿宋" w:hAnsi="仿宋" w:eastAsia="仿宋" w:cs="仿宋"/>
        </w:rPr>
        <w:t>6</w:t>
      </w:r>
      <w:r>
        <w:rPr>
          <w:rFonts w:ascii="仿宋" w:hAnsi="仿宋" w:eastAsia="仿宋" w:cs="仿宋"/>
        </w:rPr>
        <w:t xml:space="preserve"> </w:t>
      </w:r>
      <w:r>
        <w:rPr>
          <w:rFonts w:hint="eastAsia" w:ascii="仿宋" w:hAnsi="仿宋" w:eastAsia="仿宋" w:cs="仿宋"/>
        </w:rPr>
        <w:t>投标方</w:t>
      </w:r>
      <w:r>
        <w:rPr>
          <w:rFonts w:ascii="仿宋" w:hAnsi="仿宋" w:eastAsia="仿宋" w:cs="仿宋"/>
        </w:rPr>
        <w:t>所提供的程序不得设置任何密码、保护等限制手段，</w:t>
      </w:r>
      <w:r>
        <w:rPr>
          <w:rFonts w:hint="eastAsia" w:ascii="仿宋" w:hAnsi="仿宋" w:eastAsia="仿宋" w:cs="仿宋"/>
        </w:rPr>
        <w:t>PLC 不得设置修改下载权限，功能块不得设置密码保护。HMI界面等需要密码保护的程序，投标方必须提供所有级别的用户名、密码。</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w:t>
      </w:r>
      <w:r>
        <w:rPr>
          <w:rFonts w:hint="eastAsia" w:ascii="仿宋" w:hAnsi="仿宋" w:eastAsia="仿宋" w:cs="仿宋"/>
        </w:rPr>
        <w:t>7 投标方需在设备入场前提供设备程序源码，HMI 界面各级用户名和密码，并保证与现场程序一致。</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w:t>
      </w:r>
      <w:r>
        <w:rPr>
          <w:rFonts w:hint="eastAsia" w:ascii="仿宋" w:hAnsi="仿宋" w:eastAsia="仿宋" w:cs="仿宋"/>
        </w:rPr>
        <w:t>8 投标方需在终验收前提供最新的设备程序源码和电气图纸，图纸要求为可编辑原格式（EPLAN、CAD 格式）且与实际接线一致。</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w:t>
      </w:r>
      <w:r>
        <w:rPr>
          <w:rFonts w:hint="eastAsia" w:ascii="仿宋" w:hAnsi="仿宋" w:eastAsia="仿宋" w:cs="仿宋"/>
        </w:rPr>
        <w:t>9投标方提供系统恢复盘（备份），在系统出现故障需要重装系统时，保证招标方自主重装系统后，控制系统能后恢复到投标方调试完成最终交付时的状态。</w:t>
      </w:r>
    </w:p>
    <w:p>
      <w:pPr>
        <w:pStyle w:val="23"/>
        <w:snapToGrid w:val="0"/>
        <w:spacing w:line="360" w:lineRule="auto"/>
        <w:ind w:firstLine="420" w:firstLineChars="200"/>
        <w:rPr>
          <w:rFonts w:ascii="仿宋" w:hAnsi="仿宋" w:eastAsia="仿宋" w:cs="仿宋"/>
        </w:rPr>
      </w:pPr>
      <w:bookmarkStart w:id="388" w:name="_Toc21361"/>
      <w:bookmarkStart w:id="389" w:name="_Toc2308"/>
      <w:bookmarkStart w:id="390" w:name="_Toc9566"/>
      <w:bookmarkStart w:id="391" w:name="_Toc18771"/>
      <w:bookmarkStart w:id="392" w:name="_Toc32414"/>
      <w:bookmarkStart w:id="393" w:name="_Toc25559"/>
      <w:bookmarkStart w:id="394" w:name="_Toc1066"/>
      <w:bookmarkStart w:id="395" w:name="_Toc28939"/>
      <w:bookmarkStart w:id="396" w:name="_Toc8241"/>
      <w:bookmarkStart w:id="397" w:name="_Toc16640"/>
      <w:bookmarkStart w:id="398" w:name="_Toc22074"/>
      <w:r>
        <w:rPr>
          <w:rFonts w:hint="eastAsia" w:ascii="仿宋" w:hAnsi="仿宋" w:eastAsia="仿宋" w:cs="仿宋"/>
        </w:rPr>
        <w:t>3.5夹具要求</w:t>
      </w:r>
      <w:bookmarkEnd w:id="388"/>
      <w:bookmarkEnd w:id="389"/>
      <w:bookmarkEnd w:id="390"/>
      <w:bookmarkEnd w:id="391"/>
      <w:bookmarkEnd w:id="392"/>
      <w:bookmarkEnd w:id="393"/>
      <w:bookmarkEnd w:id="394"/>
      <w:bookmarkEnd w:id="395"/>
      <w:bookmarkEnd w:id="396"/>
      <w:bookmarkEnd w:id="397"/>
      <w:bookmarkEnd w:id="398"/>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.5.1</w:t>
      </w:r>
      <w:r>
        <w:rPr>
          <w:rFonts w:hint="eastAsia" w:ascii="仿宋" w:hAnsi="仿宋" w:eastAsia="仿宋" w:cs="仿宋"/>
        </w:rPr>
        <w:t xml:space="preserve"> 压力机夹具</w:t>
      </w:r>
    </w:p>
    <w:p>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rPr>
        <w:t>每套工装包括上压头及下方的轮毂定位工装。上压头采用浮动结构，压柱采用快换结构，下方定位工装需保证压装时轮毂定位可靠。</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夹具适用不同型号的轮毂/法兰的压装,主要用于实现车轮螺栓分布圆直径为Φ335mm、数量为10 颗螺栓的产品压装，分布圆为Φ275</w:t>
      </w:r>
      <w:r>
        <w:rPr>
          <w:rFonts w:hint="eastAsia" w:ascii="仿宋" w:hAnsi="仿宋" w:eastAsia="仿宋" w:cs="仿宋"/>
          <w:lang w:eastAsia="zh-CN"/>
        </w:rPr>
        <w:t>（</w:t>
      </w:r>
      <w:r>
        <w:rPr>
          <w:rFonts w:hint="eastAsia" w:ascii="仿宋" w:hAnsi="仿宋" w:eastAsia="仿宋" w:cs="仿宋"/>
          <w:lang w:val="en-US" w:eastAsia="zh-CN"/>
        </w:rPr>
        <w:t>8颗螺栓</w:t>
      </w:r>
      <w:r>
        <w:rPr>
          <w:rFonts w:hint="eastAsia" w:ascii="仿宋" w:hAnsi="仿宋" w:eastAsia="仿宋" w:cs="仿宋"/>
          <w:lang w:eastAsia="zh-CN"/>
        </w:rPr>
        <w:t>）</w:t>
      </w:r>
      <w:r>
        <w:rPr>
          <w:rFonts w:hint="eastAsia" w:ascii="仿宋" w:hAnsi="仿宋" w:eastAsia="仿宋" w:cs="仿宋"/>
        </w:rPr>
        <w:t>、Φ285.75</w:t>
      </w:r>
      <w:r>
        <w:rPr>
          <w:rFonts w:hint="eastAsia" w:ascii="仿宋" w:hAnsi="仿宋" w:eastAsia="仿宋" w:cs="仿宋"/>
          <w:lang w:eastAsia="zh-CN"/>
        </w:rPr>
        <w:t>（</w:t>
      </w:r>
      <w:r>
        <w:rPr>
          <w:rFonts w:hint="eastAsia" w:ascii="仿宋" w:hAnsi="仿宋" w:eastAsia="仿宋" w:cs="仿宋"/>
          <w:lang w:val="en-US" w:eastAsia="zh-CN"/>
        </w:rPr>
        <w:t>10颗螺栓</w:t>
      </w:r>
      <w:r>
        <w:rPr>
          <w:rFonts w:hint="eastAsia" w:ascii="仿宋" w:hAnsi="仿宋" w:eastAsia="仿宋" w:cs="仿宋"/>
          <w:lang w:eastAsia="zh-CN"/>
        </w:rPr>
        <w:t>）</w:t>
      </w:r>
      <w:r>
        <w:rPr>
          <w:rFonts w:hint="eastAsia" w:ascii="仿宋" w:hAnsi="仿宋" w:eastAsia="仿宋" w:cs="仿宋"/>
        </w:rPr>
        <w:t>、Φ425</w:t>
      </w:r>
      <w:r>
        <w:rPr>
          <w:rFonts w:hint="eastAsia" w:ascii="仿宋" w:hAnsi="仿宋" w:eastAsia="仿宋" w:cs="仿宋"/>
          <w:lang w:eastAsia="zh-CN"/>
        </w:rPr>
        <w:t>（</w:t>
      </w:r>
      <w:r>
        <w:rPr>
          <w:rFonts w:hint="eastAsia" w:ascii="仿宋" w:hAnsi="仿宋" w:eastAsia="仿宋" w:cs="仿宋"/>
          <w:lang w:val="en-US" w:eastAsia="zh-CN"/>
        </w:rPr>
        <w:t>16颗螺栓</w:t>
      </w:r>
      <w:r>
        <w:rPr>
          <w:rFonts w:hint="eastAsia" w:ascii="仿宋" w:hAnsi="仿宋" w:eastAsia="仿宋" w:cs="仿宋"/>
          <w:lang w:eastAsia="zh-CN"/>
        </w:rPr>
        <w:t>）</w:t>
      </w:r>
      <w:r>
        <w:rPr>
          <w:rFonts w:hint="eastAsia" w:ascii="仿宋" w:hAnsi="仿宋" w:eastAsia="仿宋" w:cs="仿宋"/>
        </w:rPr>
        <w:t>、Φ500</w:t>
      </w:r>
      <w:r>
        <w:rPr>
          <w:rFonts w:hint="eastAsia" w:ascii="仿宋" w:hAnsi="仿宋" w:eastAsia="仿宋" w:cs="仿宋"/>
          <w:lang w:eastAsia="zh-CN"/>
        </w:rPr>
        <w:t>（</w:t>
      </w:r>
      <w:r>
        <w:rPr>
          <w:rFonts w:hint="eastAsia" w:ascii="仿宋" w:hAnsi="仿宋" w:eastAsia="仿宋" w:cs="仿宋"/>
          <w:lang w:val="en-US" w:eastAsia="zh-CN"/>
        </w:rPr>
        <w:t>16颗螺栓</w:t>
      </w:r>
      <w:r>
        <w:rPr>
          <w:rFonts w:hint="eastAsia" w:ascii="仿宋" w:hAnsi="仿宋" w:eastAsia="仿宋" w:cs="仿宋"/>
          <w:lang w:eastAsia="zh-CN"/>
        </w:rPr>
        <w:t>）</w:t>
      </w:r>
      <w:r>
        <w:rPr>
          <w:rFonts w:hint="eastAsia" w:ascii="仿宋" w:hAnsi="仿宋" w:eastAsia="仿宋" w:cs="仿宋"/>
        </w:rPr>
        <w:t>等型号的轮毂/法兰螺栓压装可通过使用不同分布圆的压装辅具实现。</w:t>
      </w:r>
    </w:p>
    <w:p>
      <w:pPr>
        <w:pStyle w:val="23"/>
        <w:snapToGrid w:val="0"/>
        <w:spacing w:line="360" w:lineRule="auto"/>
        <w:ind w:firstLine="420" w:firstLineChars="200"/>
        <w:rPr>
          <w:rFonts w:hint="eastAsia" w:ascii="仿宋" w:hAnsi="仿宋" w:eastAsia="仿宋" w:cs="仿宋"/>
        </w:rPr>
      </w:pP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3.5.2 ABS齿圈综合检测机夹具</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上、下测量工装定位可靠，同轴度保证0.01mm以内（附带同轴检测样件），具备快速更换和维修方便的特点，兼容项目内所有产品型号。</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.5.</w:t>
      </w:r>
      <w:r>
        <w:rPr>
          <w:rFonts w:hint="eastAsia" w:ascii="仿宋" w:hAnsi="仿宋" w:eastAsia="仿宋" w:cs="仿宋"/>
        </w:rPr>
        <w:t>3其他要求</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配备辊道，辊道上设置车轮螺栓预装工位，提高装配节拍；辊道需保证其与压力机及检测机的衔接平顺，无高度差，确保前轮毂总成转运过程中无轮毂及螺栓磕碰现象。辊道基本高度80cm，具备高度调节功能，宽度60cm，两侧有防护措施，避免运输过程中工件掉落。辊道下方设置置物架，置物架牢固可靠，存放工装、测头等生产工具。</w:t>
      </w:r>
    </w:p>
    <w:p>
      <w:pPr>
        <w:pStyle w:val="23"/>
        <w:snapToGrid w:val="0"/>
        <w:spacing w:line="360" w:lineRule="auto"/>
        <w:ind w:firstLine="420" w:firstLineChars="200"/>
        <w:rPr>
          <w:rFonts w:ascii="仿宋" w:hAnsi="仿宋" w:eastAsia="仿宋" w:cs="仿宋"/>
        </w:rPr>
      </w:pPr>
      <w:bookmarkStart w:id="399" w:name="_Toc24889"/>
      <w:bookmarkStart w:id="400" w:name="_Toc13942"/>
      <w:bookmarkStart w:id="401" w:name="_Toc6345"/>
      <w:bookmarkStart w:id="402" w:name="_Toc20611"/>
      <w:bookmarkStart w:id="403" w:name="_Toc6136"/>
      <w:bookmarkStart w:id="404" w:name="_Toc32598"/>
      <w:bookmarkStart w:id="405" w:name="_Toc16996"/>
      <w:bookmarkStart w:id="406" w:name="_Toc20368"/>
      <w:bookmarkStart w:id="407" w:name="_Toc15181"/>
      <w:bookmarkStart w:id="408" w:name="_Toc11183"/>
      <w:bookmarkStart w:id="409" w:name="_Toc2985"/>
      <w:r>
        <w:rPr>
          <w:rFonts w:hint="eastAsia" w:ascii="仿宋" w:hAnsi="仿宋" w:eastAsia="仿宋" w:cs="仿宋"/>
        </w:rPr>
        <w:t>3.6</w:t>
      </w:r>
      <w:bookmarkEnd w:id="399"/>
      <w:bookmarkEnd w:id="400"/>
      <w:bookmarkEnd w:id="401"/>
      <w:bookmarkEnd w:id="402"/>
      <w:bookmarkEnd w:id="403"/>
      <w:bookmarkEnd w:id="404"/>
      <w:bookmarkEnd w:id="405"/>
      <w:bookmarkEnd w:id="406"/>
      <w:bookmarkEnd w:id="407"/>
      <w:bookmarkEnd w:id="408"/>
      <w:bookmarkEnd w:id="409"/>
      <w:r>
        <w:rPr>
          <w:rFonts w:hint="eastAsia" w:ascii="仿宋" w:hAnsi="仿宋" w:eastAsia="仿宋" w:cs="仿宋"/>
        </w:rPr>
        <w:t>本项目供货及品牌清单</w:t>
      </w:r>
    </w:p>
    <w:tbl>
      <w:tblPr>
        <w:tblStyle w:val="42"/>
        <w:tblW w:w="8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304"/>
        <w:gridCol w:w="769"/>
        <w:gridCol w:w="1109"/>
        <w:gridCol w:w="1053"/>
        <w:gridCol w:w="1134"/>
        <w:gridCol w:w="789"/>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90" w:type="dxa"/>
            <w:vAlign w:val="center"/>
          </w:tcPr>
          <w:p>
            <w:pPr>
              <w:pStyle w:val="23"/>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序号</w:t>
            </w:r>
          </w:p>
        </w:tc>
        <w:tc>
          <w:tcPr>
            <w:tcW w:w="1304" w:type="dxa"/>
            <w:vAlign w:val="center"/>
          </w:tcPr>
          <w:p>
            <w:pPr>
              <w:pStyle w:val="23"/>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名称</w:t>
            </w:r>
          </w:p>
        </w:tc>
        <w:tc>
          <w:tcPr>
            <w:tcW w:w="769" w:type="dxa"/>
            <w:vAlign w:val="center"/>
          </w:tcPr>
          <w:p>
            <w:pPr>
              <w:pStyle w:val="23"/>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数量</w:t>
            </w:r>
          </w:p>
        </w:tc>
        <w:tc>
          <w:tcPr>
            <w:tcW w:w="1109" w:type="dxa"/>
            <w:vAlign w:val="center"/>
          </w:tcPr>
          <w:p>
            <w:pPr>
              <w:pStyle w:val="23"/>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品牌1</w:t>
            </w:r>
          </w:p>
        </w:tc>
        <w:tc>
          <w:tcPr>
            <w:tcW w:w="1053" w:type="dxa"/>
            <w:vAlign w:val="center"/>
          </w:tcPr>
          <w:p>
            <w:pPr>
              <w:pStyle w:val="23"/>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品牌2</w:t>
            </w:r>
          </w:p>
        </w:tc>
        <w:tc>
          <w:tcPr>
            <w:tcW w:w="1134" w:type="dxa"/>
            <w:vAlign w:val="center"/>
          </w:tcPr>
          <w:p>
            <w:pPr>
              <w:pStyle w:val="23"/>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品牌3</w:t>
            </w:r>
          </w:p>
        </w:tc>
        <w:tc>
          <w:tcPr>
            <w:tcW w:w="789" w:type="dxa"/>
            <w:vAlign w:val="center"/>
          </w:tcPr>
          <w:p>
            <w:pPr>
              <w:pStyle w:val="23"/>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备注</w:t>
            </w:r>
          </w:p>
        </w:tc>
        <w:tc>
          <w:tcPr>
            <w:tcW w:w="1438" w:type="dxa"/>
            <w:vAlign w:val="center"/>
          </w:tcPr>
          <w:p>
            <w:pPr>
              <w:pStyle w:val="23"/>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可验证阶段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tcPr>
          <w:p>
            <w:pPr>
              <w:pStyle w:val="23"/>
              <w:snapToGrid w:val="0"/>
              <w:spacing w:line="360" w:lineRule="auto"/>
              <w:ind w:firstLine="418"/>
              <w:rPr>
                <w:rFonts w:ascii="仿宋" w:hAnsi="仿宋" w:eastAsia="仿宋" w:cs="仿宋"/>
                <w:sz w:val="21"/>
                <w:szCs w:val="21"/>
              </w:rPr>
            </w:pPr>
          </w:p>
        </w:tc>
        <w:tc>
          <w:tcPr>
            <w:tcW w:w="1304" w:type="dxa"/>
          </w:tcPr>
          <w:p>
            <w:pPr>
              <w:pStyle w:val="23"/>
              <w:snapToGrid w:val="0"/>
              <w:spacing w:line="360" w:lineRule="auto"/>
              <w:ind w:firstLine="418"/>
              <w:rPr>
                <w:rFonts w:ascii="仿宋" w:hAnsi="仿宋" w:eastAsia="仿宋" w:cs="仿宋"/>
                <w:sz w:val="21"/>
                <w:szCs w:val="21"/>
              </w:rPr>
            </w:pPr>
          </w:p>
        </w:tc>
        <w:tc>
          <w:tcPr>
            <w:tcW w:w="769" w:type="dxa"/>
          </w:tcPr>
          <w:p>
            <w:pPr>
              <w:pStyle w:val="23"/>
              <w:snapToGrid w:val="0"/>
              <w:spacing w:line="360" w:lineRule="auto"/>
              <w:ind w:firstLine="418"/>
              <w:rPr>
                <w:rFonts w:ascii="仿宋" w:hAnsi="仿宋" w:eastAsia="仿宋" w:cs="仿宋"/>
                <w:sz w:val="21"/>
                <w:szCs w:val="21"/>
              </w:rPr>
            </w:pPr>
          </w:p>
        </w:tc>
        <w:tc>
          <w:tcPr>
            <w:tcW w:w="1109" w:type="dxa"/>
          </w:tcPr>
          <w:p>
            <w:pPr>
              <w:pStyle w:val="23"/>
              <w:snapToGrid w:val="0"/>
              <w:spacing w:line="360" w:lineRule="auto"/>
              <w:ind w:firstLine="418"/>
              <w:rPr>
                <w:rFonts w:ascii="仿宋" w:hAnsi="仿宋" w:eastAsia="仿宋" w:cs="仿宋"/>
                <w:sz w:val="21"/>
                <w:szCs w:val="21"/>
              </w:rPr>
            </w:pPr>
          </w:p>
        </w:tc>
        <w:tc>
          <w:tcPr>
            <w:tcW w:w="1053" w:type="dxa"/>
          </w:tcPr>
          <w:p>
            <w:pPr>
              <w:pStyle w:val="23"/>
              <w:snapToGrid w:val="0"/>
              <w:spacing w:line="360" w:lineRule="auto"/>
              <w:ind w:firstLine="418"/>
              <w:rPr>
                <w:rFonts w:ascii="仿宋" w:hAnsi="仿宋" w:eastAsia="仿宋" w:cs="仿宋"/>
                <w:sz w:val="21"/>
                <w:szCs w:val="21"/>
              </w:rPr>
            </w:pPr>
          </w:p>
        </w:tc>
        <w:tc>
          <w:tcPr>
            <w:tcW w:w="1134" w:type="dxa"/>
          </w:tcPr>
          <w:p>
            <w:pPr>
              <w:pStyle w:val="23"/>
              <w:snapToGrid w:val="0"/>
              <w:spacing w:line="360" w:lineRule="auto"/>
              <w:ind w:firstLine="418"/>
              <w:rPr>
                <w:rFonts w:ascii="仿宋" w:hAnsi="仿宋" w:eastAsia="仿宋" w:cs="仿宋"/>
                <w:sz w:val="21"/>
                <w:szCs w:val="21"/>
              </w:rPr>
            </w:pPr>
          </w:p>
        </w:tc>
        <w:tc>
          <w:tcPr>
            <w:tcW w:w="789" w:type="dxa"/>
          </w:tcPr>
          <w:p>
            <w:pPr>
              <w:pStyle w:val="23"/>
              <w:snapToGrid w:val="0"/>
              <w:spacing w:line="360" w:lineRule="auto"/>
              <w:ind w:firstLine="418"/>
              <w:rPr>
                <w:rFonts w:ascii="仿宋" w:hAnsi="仿宋" w:eastAsia="仿宋" w:cs="仿宋"/>
                <w:sz w:val="21"/>
                <w:szCs w:val="21"/>
              </w:rPr>
            </w:pPr>
          </w:p>
        </w:tc>
        <w:tc>
          <w:tcPr>
            <w:tcW w:w="1438" w:type="dxa"/>
          </w:tcPr>
          <w:p>
            <w:pPr>
              <w:pStyle w:val="23"/>
              <w:snapToGrid w:val="0"/>
              <w:spacing w:line="360" w:lineRule="auto"/>
              <w:ind w:firstLine="418"/>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tcPr>
          <w:p>
            <w:pPr>
              <w:pStyle w:val="23"/>
              <w:snapToGrid w:val="0"/>
              <w:spacing w:line="360" w:lineRule="auto"/>
              <w:ind w:firstLine="418"/>
              <w:rPr>
                <w:rFonts w:ascii="仿宋" w:hAnsi="仿宋" w:eastAsia="仿宋" w:cs="仿宋"/>
                <w:sz w:val="21"/>
                <w:szCs w:val="21"/>
              </w:rPr>
            </w:pPr>
          </w:p>
        </w:tc>
        <w:tc>
          <w:tcPr>
            <w:tcW w:w="1304" w:type="dxa"/>
          </w:tcPr>
          <w:p>
            <w:pPr>
              <w:pStyle w:val="23"/>
              <w:snapToGrid w:val="0"/>
              <w:spacing w:line="360" w:lineRule="auto"/>
              <w:ind w:firstLine="418"/>
              <w:rPr>
                <w:rFonts w:ascii="仿宋" w:hAnsi="仿宋" w:eastAsia="仿宋" w:cs="仿宋"/>
                <w:sz w:val="21"/>
                <w:szCs w:val="21"/>
              </w:rPr>
            </w:pPr>
          </w:p>
        </w:tc>
        <w:tc>
          <w:tcPr>
            <w:tcW w:w="769" w:type="dxa"/>
          </w:tcPr>
          <w:p>
            <w:pPr>
              <w:pStyle w:val="23"/>
              <w:snapToGrid w:val="0"/>
              <w:spacing w:line="360" w:lineRule="auto"/>
              <w:ind w:firstLine="418"/>
              <w:rPr>
                <w:rFonts w:ascii="仿宋" w:hAnsi="仿宋" w:eastAsia="仿宋" w:cs="仿宋"/>
                <w:sz w:val="21"/>
                <w:szCs w:val="21"/>
              </w:rPr>
            </w:pPr>
          </w:p>
        </w:tc>
        <w:tc>
          <w:tcPr>
            <w:tcW w:w="1109" w:type="dxa"/>
          </w:tcPr>
          <w:p>
            <w:pPr>
              <w:pStyle w:val="23"/>
              <w:snapToGrid w:val="0"/>
              <w:spacing w:line="360" w:lineRule="auto"/>
              <w:ind w:firstLine="418"/>
              <w:rPr>
                <w:rFonts w:ascii="仿宋" w:hAnsi="仿宋" w:eastAsia="仿宋" w:cs="仿宋"/>
                <w:sz w:val="21"/>
                <w:szCs w:val="21"/>
              </w:rPr>
            </w:pPr>
          </w:p>
        </w:tc>
        <w:tc>
          <w:tcPr>
            <w:tcW w:w="1053" w:type="dxa"/>
          </w:tcPr>
          <w:p>
            <w:pPr>
              <w:pStyle w:val="23"/>
              <w:snapToGrid w:val="0"/>
              <w:spacing w:line="360" w:lineRule="auto"/>
              <w:ind w:firstLine="418"/>
              <w:rPr>
                <w:rFonts w:ascii="仿宋" w:hAnsi="仿宋" w:eastAsia="仿宋" w:cs="仿宋"/>
                <w:sz w:val="21"/>
                <w:szCs w:val="21"/>
              </w:rPr>
            </w:pPr>
          </w:p>
        </w:tc>
        <w:tc>
          <w:tcPr>
            <w:tcW w:w="1134" w:type="dxa"/>
          </w:tcPr>
          <w:p>
            <w:pPr>
              <w:pStyle w:val="23"/>
              <w:snapToGrid w:val="0"/>
              <w:spacing w:line="360" w:lineRule="auto"/>
              <w:ind w:firstLine="418"/>
              <w:rPr>
                <w:rFonts w:ascii="仿宋" w:hAnsi="仿宋" w:eastAsia="仿宋" w:cs="仿宋"/>
                <w:sz w:val="21"/>
                <w:szCs w:val="21"/>
              </w:rPr>
            </w:pPr>
          </w:p>
        </w:tc>
        <w:tc>
          <w:tcPr>
            <w:tcW w:w="789" w:type="dxa"/>
          </w:tcPr>
          <w:p>
            <w:pPr>
              <w:pStyle w:val="23"/>
              <w:snapToGrid w:val="0"/>
              <w:spacing w:line="360" w:lineRule="auto"/>
              <w:ind w:firstLine="418"/>
              <w:rPr>
                <w:rFonts w:ascii="仿宋" w:hAnsi="仿宋" w:eastAsia="仿宋" w:cs="仿宋"/>
                <w:sz w:val="21"/>
                <w:szCs w:val="21"/>
              </w:rPr>
            </w:pPr>
          </w:p>
        </w:tc>
        <w:tc>
          <w:tcPr>
            <w:tcW w:w="1438" w:type="dxa"/>
          </w:tcPr>
          <w:p>
            <w:pPr>
              <w:pStyle w:val="23"/>
              <w:snapToGrid w:val="0"/>
              <w:spacing w:line="360" w:lineRule="auto"/>
              <w:ind w:firstLine="418"/>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tcPr>
          <w:p>
            <w:pPr>
              <w:pStyle w:val="23"/>
              <w:snapToGrid w:val="0"/>
              <w:spacing w:line="360" w:lineRule="auto"/>
              <w:ind w:firstLine="418"/>
              <w:rPr>
                <w:rFonts w:ascii="仿宋" w:hAnsi="仿宋" w:eastAsia="仿宋" w:cs="仿宋"/>
                <w:sz w:val="21"/>
                <w:szCs w:val="21"/>
              </w:rPr>
            </w:pPr>
          </w:p>
        </w:tc>
        <w:tc>
          <w:tcPr>
            <w:tcW w:w="1304" w:type="dxa"/>
          </w:tcPr>
          <w:p>
            <w:pPr>
              <w:pStyle w:val="23"/>
              <w:snapToGrid w:val="0"/>
              <w:spacing w:line="360" w:lineRule="auto"/>
              <w:ind w:firstLine="418"/>
              <w:rPr>
                <w:rFonts w:ascii="仿宋" w:hAnsi="仿宋" w:eastAsia="仿宋" w:cs="仿宋"/>
                <w:sz w:val="21"/>
                <w:szCs w:val="21"/>
              </w:rPr>
            </w:pPr>
          </w:p>
        </w:tc>
        <w:tc>
          <w:tcPr>
            <w:tcW w:w="769" w:type="dxa"/>
          </w:tcPr>
          <w:p>
            <w:pPr>
              <w:pStyle w:val="23"/>
              <w:snapToGrid w:val="0"/>
              <w:spacing w:line="360" w:lineRule="auto"/>
              <w:ind w:firstLine="418"/>
              <w:rPr>
                <w:rFonts w:ascii="仿宋" w:hAnsi="仿宋" w:eastAsia="仿宋" w:cs="仿宋"/>
                <w:sz w:val="21"/>
                <w:szCs w:val="21"/>
              </w:rPr>
            </w:pPr>
          </w:p>
        </w:tc>
        <w:tc>
          <w:tcPr>
            <w:tcW w:w="1109" w:type="dxa"/>
          </w:tcPr>
          <w:p>
            <w:pPr>
              <w:pStyle w:val="23"/>
              <w:snapToGrid w:val="0"/>
              <w:spacing w:line="360" w:lineRule="auto"/>
              <w:ind w:firstLine="418"/>
              <w:rPr>
                <w:rFonts w:ascii="仿宋" w:hAnsi="仿宋" w:eastAsia="仿宋" w:cs="仿宋"/>
                <w:sz w:val="21"/>
                <w:szCs w:val="21"/>
              </w:rPr>
            </w:pPr>
          </w:p>
        </w:tc>
        <w:tc>
          <w:tcPr>
            <w:tcW w:w="1053" w:type="dxa"/>
          </w:tcPr>
          <w:p>
            <w:pPr>
              <w:pStyle w:val="23"/>
              <w:snapToGrid w:val="0"/>
              <w:spacing w:line="360" w:lineRule="auto"/>
              <w:ind w:firstLine="418"/>
              <w:rPr>
                <w:rFonts w:ascii="仿宋" w:hAnsi="仿宋" w:eastAsia="仿宋" w:cs="仿宋"/>
                <w:sz w:val="21"/>
                <w:szCs w:val="21"/>
              </w:rPr>
            </w:pPr>
          </w:p>
        </w:tc>
        <w:tc>
          <w:tcPr>
            <w:tcW w:w="1134" w:type="dxa"/>
          </w:tcPr>
          <w:p>
            <w:pPr>
              <w:pStyle w:val="23"/>
              <w:snapToGrid w:val="0"/>
              <w:spacing w:line="360" w:lineRule="auto"/>
              <w:ind w:firstLine="418"/>
              <w:rPr>
                <w:rFonts w:ascii="仿宋" w:hAnsi="仿宋" w:eastAsia="仿宋" w:cs="仿宋"/>
                <w:sz w:val="21"/>
                <w:szCs w:val="21"/>
              </w:rPr>
            </w:pPr>
          </w:p>
        </w:tc>
        <w:tc>
          <w:tcPr>
            <w:tcW w:w="789" w:type="dxa"/>
          </w:tcPr>
          <w:p>
            <w:pPr>
              <w:pStyle w:val="23"/>
              <w:snapToGrid w:val="0"/>
              <w:spacing w:line="360" w:lineRule="auto"/>
              <w:ind w:firstLine="418"/>
              <w:rPr>
                <w:rFonts w:ascii="仿宋" w:hAnsi="仿宋" w:eastAsia="仿宋" w:cs="仿宋"/>
                <w:sz w:val="21"/>
                <w:szCs w:val="21"/>
              </w:rPr>
            </w:pPr>
          </w:p>
        </w:tc>
        <w:tc>
          <w:tcPr>
            <w:tcW w:w="1438" w:type="dxa"/>
          </w:tcPr>
          <w:p>
            <w:pPr>
              <w:pStyle w:val="23"/>
              <w:snapToGrid w:val="0"/>
              <w:spacing w:line="360" w:lineRule="auto"/>
              <w:ind w:firstLine="418"/>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tcPr>
          <w:p>
            <w:pPr>
              <w:pStyle w:val="23"/>
              <w:snapToGrid w:val="0"/>
              <w:spacing w:line="360" w:lineRule="auto"/>
              <w:ind w:firstLine="418"/>
              <w:rPr>
                <w:rFonts w:ascii="仿宋" w:hAnsi="仿宋" w:eastAsia="仿宋" w:cs="仿宋"/>
                <w:sz w:val="21"/>
                <w:szCs w:val="21"/>
              </w:rPr>
            </w:pPr>
          </w:p>
        </w:tc>
        <w:tc>
          <w:tcPr>
            <w:tcW w:w="1304" w:type="dxa"/>
          </w:tcPr>
          <w:p>
            <w:pPr>
              <w:pStyle w:val="23"/>
              <w:snapToGrid w:val="0"/>
              <w:spacing w:line="360" w:lineRule="auto"/>
              <w:ind w:firstLine="418"/>
              <w:rPr>
                <w:rFonts w:ascii="仿宋" w:hAnsi="仿宋" w:eastAsia="仿宋" w:cs="仿宋"/>
                <w:sz w:val="21"/>
                <w:szCs w:val="21"/>
              </w:rPr>
            </w:pPr>
          </w:p>
        </w:tc>
        <w:tc>
          <w:tcPr>
            <w:tcW w:w="769" w:type="dxa"/>
          </w:tcPr>
          <w:p>
            <w:pPr>
              <w:pStyle w:val="23"/>
              <w:snapToGrid w:val="0"/>
              <w:spacing w:line="360" w:lineRule="auto"/>
              <w:ind w:firstLine="418"/>
              <w:rPr>
                <w:rFonts w:ascii="仿宋" w:hAnsi="仿宋" w:eastAsia="仿宋" w:cs="仿宋"/>
                <w:sz w:val="21"/>
                <w:szCs w:val="21"/>
              </w:rPr>
            </w:pPr>
          </w:p>
        </w:tc>
        <w:tc>
          <w:tcPr>
            <w:tcW w:w="1109" w:type="dxa"/>
          </w:tcPr>
          <w:p>
            <w:pPr>
              <w:pStyle w:val="23"/>
              <w:snapToGrid w:val="0"/>
              <w:spacing w:line="360" w:lineRule="auto"/>
              <w:ind w:firstLine="418"/>
              <w:rPr>
                <w:rFonts w:ascii="仿宋" w:hAnsi="仿宋" w:eastAsia="仿宋" w:cs="仿宋"/>
                <w:sz w:val="21"/>
                <w:szCs w:val="21"/>
              </w:rPr>
            </w:pPr>
          </w:p>
        </w:tc>
        <w:tc>
          <w:tcPr>
            <w:tcW w:w="1053" w:type="dxa"/>
          </w:tcPr>
          <w:p>
            <w:pPr>
              <w:pStyle w:val="23"/>
              <w:snapToGrid w:val="0"/>
              <w:spacing w:line="360" w:lineRule="auto"/>
              <w:ind w:firstLine="418"/>
              <w:rPr>
                <w:rFonts w:ascii="仿宋" w:hAnsi="仿宋" w:eastAsia="仿宋" w:cs="仿宋"/>
                <w:sz w:val="21"/>
                <w:szCs w:val="21"/>
              </w:rPr>
            </w:pPr>
          </w:p>
        </w:tc>
        <w:tc>
          <w:tcPr>
            <w:tcW w:w="1134" w:type="dxa"/>
          </w:tcPr>
          <w:p>
            <w:pPr>
              <w:pStyle w:val="23"/>
              <w:snapToGrid w:val="0"/>
              <w:spacing w:line="360" w:lineRule="auto"/>
              <w:ind w:firstLine="418"/>
              <w:rPr>
                <w:rFonts w:ascii="仿宋" w:hAnsi="仿宋" w:eastAsia="仿宋" w:cs="仿宋"/>
                <w:sz w:val="21"/>
                <w:szCs w:val="21"/>
              </w:rPr>
            </w:pPr>
          </w:p>
        </w:tc>
        <w:tc>
          <w:tcPr>
            <w:tcW w:w="789" w:type="dxa"/>
          </w:tcPr>
          <w:p>
            <w:pPr>
              <w:pStyle w:val="23"/>
              <w:snapToGrid w:val="0"/>
              <w:spacing w:line="360" w:lineRule="auto"/>
              <w:ind w:firstLine="418"/>
              <w:rPr>
                <w:rFonts w:ascii="仿宋" w:hAnsi="仿宋" w:eastAsia="仿宋" w:cs="仿宋"/>
                <w:sz w:val="21"/>
                <w:szCs w:val="21"/>
              </w:rPr>
            </w:pPr>
          </w:p>
        </w:tc>
        <w:tc>
          <w:tcPr>
            <w:tcW w:w="1438" w:type="dxa"/>
          </w:tcPr>
          <w:p>
            <w:pPr>
              <w:pStyle w:val="23"/>
              <w:snapToGrid w:val="0"/>
              <w:spacing w:line="360" w:lineRule="auto"/>
              <w:ind w:firstLine="418"/>
              <w:rPr>
                <w:rFonts w:ascii="仿宋" w:hAnsi="仿宋" w:eastAsia="仿宋" w:cs="仿宋"/>
                <w:sz w:val="21"/>
                <w:szCs w:val="21"/>
              </w:rPr>
            </w:pPr>
          </w:p>
        </w:tc>
      </w:tr>
    </w:tbl>
    <w:p>
      <w:pPr>
        <w:pStyle w:val="23"/>
        <w:snapToGrid w:val="0"/>
        <w:spacing w:line="360" w:lineRule="auto"/>
        <w:ind w:firstLine="422" w:firstLineChars="200"/>
        <w:rPr>
          <w:rFonts w:ascii="仿宋" w:hAnsi="仿宋" w:eastAsia="仿宋" w:cs="仿宋"/>
          <w:kern w:val="2"/>
          <w:sz w:val="21"/>
          <w:szCs w:val="21"/>
          <w:lang w:bidi="ar"/>
        </w:rPr>
      </w:pPr>
      <w:r>
        <w:rPr>
          <w:rFonts w:hint="eastAsia" w:ascii="仿宋" w:hAnsi="仿宋" w:eastAsia="仿宋" w:cs="仿宋"/>
          <w:b/>
          <w:kern w:val="2"/>
          <w:sz w:val="21"/>
          <w:szCs w:val="21"/>
          <w:lang w:bidi="ar"/>
        </w:rPr>
        <w:t>注：</w:t>
      </w:r>
      <w:r>
        <w:rPr>
          <w:rFonts w:hint="eastAsia" w:ascii="仿宋" w:hAnsi="仿宋" w:eastAsia="仿宋" w:cs="仿宋"/>
          <w:bCs/>
          <w:kern w:val="2"/>
          <w:sz w:val="21"/>
          <w:szCs w:val="21"/>
          <w:lang w:bidi="ar"/>
        </w:rPr>
        <w:t>1.</w:t>
      </w:r>
      <w:r>
        <w:rPr>
          <w:rFonts w:hint="eastAsia" w:ascii="仿宋" w:hAnsi="仿宋" w:eastAsia="仿宋" w:cs="仿宋"/>
          <w:kern w:val="2"/>
          <w:sz w:val="21"/>
          <w:szCs w:val="21"/>
          <w:lang w:bidi="ar"/>
        </w:rPr>
        <w:t>未注明国产或进口的元件均按进口元件选定；2.出现不能满足附表选型时，应与招标方进行协商，必须取得招标方的批准；3.所有电气零部件保护等级须符合IEC：IP-54以上，如工艺要求更高的防护以实际工艺要求为准。4.本表作为投标方编制投标技术文件的一般格式。</w:t>
      </w:r>
    </w:p>
    <w:p>
      <w:pPr>
        <w:pStyle w:val="23"/>
        <w:snapToGrid w:val="0"/>
        <w:spacing w:line="360" w:lineRule="auto"/>
        <w:ind w:firstLine="420" w:firstLineChars="200"/>
        <w:rPr>
          <w:rFonts w:ascii="仿宋" w:hAnsi="仿宋" w:eastAsia="仿宋" w:cs="仿宋"/>
          <w:color w:val="0000FF"/>
        </w:rPr>
      </w:pPr>
      <w:r>
        <w:rPr>
          <w:rFonts w:hint="eastAsia" w:ascii="仿宋" w:hAnsi="仿宋" w:eastAsia="仿宋" w:cs="仿宋"/>
          <w:color w:val="0000FF"/>
        </w:rPr>
        <w:t>3.7其它主要要求</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3.7.1在线检测要求</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实现ABS齿圈、车轮螺栓、轮毂油封装配后的100%自动测量。视觉拍照系统使用基恩士、康耐视等同级别进口品牌，最低参数要求：500W像素，单次拍照和检测时间约500ms，检测视野大约400mm，彩色相机自带脉冲LED光源。配置至少5.7 英寸专用触控面板并安装视觉拍照系统调试软件。</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3.7.2产品质量追溯</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所有检测数据与轮毂流水号信息一一对应，能根据轮毂流水号追溯到此工位的所有检测信息。包括：生产时间日期、ABS齿圈齿数、ABS齿圈端面跳动、相邻齿高度差、轴密封圈端面跳动、轴密封圈压装深度、车轮螺栓数量及型号（长度一致性）防错判定以及螺纹有无等。</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3.7.3防错要求</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使用基恩士、康耐视等同级别进口品牌的非接触式激光传感器精确测量计算车轮螺栓数量及错漏装判定，使用视觉拍照系统对10个螺栓螺纹部位拍照，准确识别螺栓有无螺纹。对所有型号产品设置特定程序并可扩充型号和添加程序参数，异常情况、检测不合格时能够及时报警；具备工装/测头选取错误时的报警功能。</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3.7.4 ABS综合检测机信息化要求</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3.7.4.1 配置工位触摸屏显示屏，采用人工控制和设备自动放行。</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3.7.4.2 显示本工序内容及工艺参数，可随时对工艺参数进行更新。数据采集工控机可对所采集的数据进行查询和分析，查询方式可通过日期、轮毂编号、数据类型等多种形式。</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3.7.4.3存储的生产过程信息可自动集成，可在扫码工位 PLC 屏幕实时显示，具备自动打印功能(装配卡模式)，预留打印机联接口。</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3.7.5物流系统</w:t>
      </w:r>
    </w:p>
    <w:p>
      <w:pPr>
        <w:pStyle w:val="23"/>
        <w:snapToGrid w:val="0"/>
        <w:spacing w:line="360" w:lineRule="auto"/>
        <w:ind w:firstLine="630" w:firstLineChars="300"/>
        <w:rPr>
          <w:rFonts w:ascii="仿宋" w:hAnsi="仿宋" w:eastAsia="仿宋" w:cs="仿宋"/>
        </w:rPr>
      </w:pPr>
      <w:r>
        <w:rPr>
          <w:rFonts w:hint="eastAsia" w:ascii="仿宋" w:hAnsi="仿宋" w:eastAsia="仿宋" w:cs="仿宋"/>
        </w:rPr>
        <w:t>无</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3.7.6项目用能统计</w:t>
      </w:r>
    </w:p>
    <w:tbl>
      <w:tblPr>
        <w:tblStyle w:val="41"/>
        <w:tblW w:w="4997" w:type="pct"/>
        <w:jc w:val="center"/>
        <w:tblLayout w:type="autofit"/>
        <w:tblCellMar>
          <w:top w:w="0" w:type="dxa"/>
          <w:left w:w="0" w:type="dxa"/>
          <w:bottom w:w="0" w:type="dxa"/>
          <w:right w:w="0" w:type="dxa"/>
        </w:tblCellMar>
      </w:tblPr>
      <w:tblGrid>
        <w:gridCol w:w="490"/>
        <w:gridCol w:w="1362"/>
        <w:gridCol w:w="1480"/>
        <w:gridCol w:w="1158"/>
        <w:gridCol w:w="1340"/>
        <w:gridCol w:w="1293"/>
        <w:gridCol w:w="1134"/>
        <w:gridCol w:w="839"/>
      </w:tblGrid>
      <w:tr>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1"/>
                <w:szCs w:val="21"/>
              </w:rPr>
            </w:pPr>
            <w:r>
              <w:rPr>
                <w:rFonts w:hint="eastAsia" w:ascii="仿宋" w:hAnsi="仿宋" w:eastAsia="仿宋" w:cs="宋体"/>
                <w:color w:val="000000"/>
                <w:kern w:val="0"/>
                <w:sz w:val="21"/>
                <w:szCs w:val="21"/>
                <w:lang w:bidi="ar"/>
              </w:rPr>
              <w:t>序号</w:t>
            </w: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1"/>
                <w:szCs w:val="21"/>
              </w:rPr>
            </w:pPr>
            <w:r>
              <w:rPr>
                <w:rFonts w:hint="eastAsia" w:ascii="仿宋" w:hAnsi="仿宋" w:eastAsia="仿宋" w:cs="宋体"/>
                <w:color w:val="000000"/>
                <w:kern w:val="0"/>
                <w:sz w:val="21"/>
                <w:szCs w:val="21"/>
                <w:lang w:bidi="ar"/>
              </w:rPr>
              <w:t>项目（设备）名称</w:t>
            </w: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1"/>
                <w:szCs w:val="21"/>
              </w:rPr>
            </w:pPr>
            <w:r>
              <w:rPr>
                <w:rFonts w:hint="eastAsia" w:ascii="仿宋" w:hAnsi="仿宋" w:eastAsia="仿宋" w:cs="宋体"/>
                <w:color w:val="000000"/>
                <w:kern w:val="0"/>
                <w:sz w:val="21"/>
                <w:szCs w:val="21"/>
                <w:lang w:bidi="ar"/>
              </w:rPr>
              <w:t>项目装机容量（KW）</w:t>
            </w: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1"/>
                <w:szCs w:val="21"/>
              </w:rPr>
            </w:pPr>
            <w:r>
              <w:rPr>
                <w:rFonts w:hint="eastAsia" w:ascii="仿宋" w:hAnsi="仿宋" w:eastAsia="仿宋" w:cs="宋体"/>
                <w:color w:val="000000"/>
                <w:kern w:val="0"/>
                <w:sz w:val="21"/>
                <w:szCs w:val="21"/>
                <w:lang w:bidi="ar"/>
              </w:rPr>
              <w:t>项目压缩空气用量（m</w:t>
            </w:r>
            <w:r>
              <w:rPr>
                <w:rFonts w:hint="eastAsia" w:ascii="宋体" w:hAnsi="宋体" w:cs="宋体"/>
                <w:color w:val="000000"/>
                <w:kern w:val="0"/>
                <w:sz w:val="21"/>
                <w:szCs w:val="21"/>
                <w:lang w:bidi="ar"/>
              </w:rPr>
              <w:t>³</w:t>
            </w:r>
            <w:r>
              <w:rPr>
                <w:rFonts w:hint="eastAsia" w:ascii="仿宋" w:hAnsi="仿宋" w:eastAsia="仿宋" w:cs="宋体"/>
                <w:color w:val="000000"/>
                <w:kern w:val="0"/>
                <w:sz w:val="21"/>
                <w:szCs w:val="21"/>
                <w:lang w:bidi="ar"/>
              </w:rPr>
              <w:t>/h）</w:t>
            </w: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1"/>
                <w:szCs w:val="21"/>
              </w:rPr>
            </w:pPr>
            <w:r>
              <w:rPr>
                <w:rFonts w:hint="eastAsia" w:ascii="仿宋" w:hAnsi="仿宋" w:eastAsia="仿宋" w:cs="宋体"/>
                <w:color w:val="000000"/>
                <w:kern w:val="0"/>
                <w:sz w:val="21"/>
                <w:szCs w:val="21"/>
                <w:lang w:bidi="ar"/>
              </w:rPr>
              <w:t>项目用水量（t/h）</w:t>
            </w: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1"/>
                <w:szCs w:val="21"/>
              </w:rPr>
            </w:pPr>
            <w:r>
              <w:rPr>
                <w:rFonts w:hint="eastAsia" w:ascii="仿宋" w:hAnsi="仿宋" w:eastAsia="仿宋" w:cs="宋体"/>
                <w:color w:val="000000"/>
                <w:kern w:val="0"/>
                <w:sz w:val="21"/>
                <w:szCs w:val="21"/>
                <w:lang w:bidi="ar"/>
              </w:rPr>
              <w:t>项目蒸汽用量（t/h）</w:t>
            </w: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r>
              <w:rPr>
                <w:rFonts w:hint="eastAsia" w:ascii="仿宋" w:hAnsi="仿宋" w:eastAsia="仿宋" w:cs="宋体"/>
                <w:color w:val="000000"/>
                <w:kern w:val="0"/>
                <w:sz w:val="21"/>
                <w:szCs w:val="21"/>
                <w:lang w:bidi="ar"/>
              </w:rPr>
              <w:t>天然气用量（m</w:t>
            </w:r>
            <w:r>
              <w:rPr>
                <w:rFonts w:hint="eastAsia" w:ascii="宋体" w:hAnsi="宋体" w:cs="宋体"/>
                <w:color w:val="000000"/>
                <w:kern w:val="0"/>
                <w:sz w:val="21"/>
                <w:szCs w:val="21"/>
                <w:lang w:bidi="ar"/>
              </w:rPr>
              <w:t>³</w:t>
            </w:r>
            <w:r>
              <w:rPr>
                <w:rFonts w:hint="eastAsia" w:ascii="仿宋" w:hAnsi="仿宋" w:eastAsia="仿宋" w:cs="宋体"/>
                <w:color w:val="000000"/>
                <w:kern w:val="0"/>
                <w:sz w:val="21"/>
                <w:szCs w:val="21"/>
                <w:lang w:bidi="ar"/>
              </w:rPr>
              <w:t>/h）</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r>
              <w:rPr>
                <w:rFonts w:hint="eastAsia" w:ascii="仿宋" w:hAnsi="仿宋" w:eastAsia="仿宋" w:cs="宋体"/>
                <w:color w:val="000000"/>
                <w:kern w:val="0"/>
                <w:sz w:val="21"/>
                <w:szCs w:val="21"/>
                <w:lang w:bidi="ar"/>
              </w:rPr>
              <w:t>备注</w:t>
            </w:r>
          </w:p>
        </w:tc>
      </w:tr>
      <w:tr>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r>
      <w:tr>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r>
      <w:tr>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r>
      <w:tr>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kern w:val="0"/>
                <w:sz w:val="21"/>
                <w:szCs w:val="21"/>
                <w:lang w:bidi="ar"/>
              </w:rPr>
            </w:pPr>
          </w:p>
        </w:tc>
      </w:tr>
    </w:tbl>
    <w:p>
      <w:pPr>
        <w:rPr>
          <w:sz w:val="21"/>
          <w:szCs w:val="21"/>
        </w:rPr>
      </w:pPr>
      <w:r>
        <w:rPr>
          <w:rFonts w:hint="eastAsia" w:ascii="仿宋" w:hAnsi="仿宋" w:eastAsia="仿宋"/>
          <w:sz w:val="21"/>
          <w:szCs w:val="21"/>
        </w:rPr>
        <w:t>备注：本表作为投标方编制投标技术文件的一般格式。表中应当尽可能准确并列全。</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3.7.7安全及环保要求</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3.7.7.1投标方所供的货物（或生产线），必须符合中国最新版的安全、环保、消防及职业健康的法律、法规要求，符合行业安全标准及项目所在地政府有关特殊要求。</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3.7.7.2 货物（或生产线）应完整且所有的零部件应该安装安全、牢固，外观无损伤，所有的焊缝饱满、无残渣等缺陷且符合国家及行业相关标准。</w:t>
      </w:r>
    </w:p>
    <w:p>
      <w:pPr>
        <w:snapToGrid w:val="0"/>
        <w:spacing w:line="360" w:lineRule="auto"/>
        <w:ind w:firstLine="420" w:firstLineChars="200"/>
        <w:jc w:val="left"/>
        <w:rPr>
          <w:rFonts w:ascii="仿宋" w:hAnsi="仿宋" w:eastAsia="仿宋" w:cs="仿宋"/>
        </w:rPr>
      </w:pPr>
      <w:r>
        <w:rPr>
          <w:rFonts w:hint="eastAsia" w:ascii="仿宋" w:hAnsi="仿宋" w:eastAsia="仿宋" w:cs="仿宋"/>
        </w:rPr>
        <w:t>3.7.7.3 对生产线存在安全风险的工位必须采取安全措施，如：线体防护板、高温防护、光栅等。</w:t>
      </w:r>
    </w:p>
    <w:p>
      <w:pPr>
        <w:snapToGrid w:val="0"/>
        <w:spacing w:line="360" w:lineRule="auto"/>
        <w:ind w:firstLine="420" w:firstLineChars="200"/>
        <w:rPr>
          <w:rFonts w:ascii="仿宋" w:hAnsi="仿宋" w:eastAsia="仿宋" w:cs="仿宋"/>
        </w:rPr>
      </w:pPr>
      <w:r>
        <w:rPr>
          <w:rFonts w:hint="eastAsia" w:ascii="仿宋" w:hAnsi="仿宋" w:eastAsia="仿宋" w:cs="仿宋"/>
        </w:rPr>
        <w:t>3.7.7.4 从安全生产的角度考虑各单元及工位应设有急停按钮，并有明显标识。</w:t>
      </w:r>
    </w:p>
    <w:p>
      <w:pPr>
        <w:snapToGrid w:val="0"/>
        <w:spacing w:line="360" w:lineRule="auto"/>
        <w:ind w:firstLine="420" w:firstLineChars="200"/>
        <w:rPr>
          <w:rFonts w:ascii="仿宋" w:hAnsi="仿宋" w:eastAsia="仿宋" w:cs="仿宋"/>
        </w:rPr>
      </w:pPr>
      <w:r>
        <w:rPr>
          <w:rFonts w:hint="eastAsia" w:ascii="仿宋" w:hAnsi="仿宋" w:eastAsia="仿宋" w:cs="仿宋"/>
        </w:rPr>
        <w:t>3.7.7.</w:t>
      </w:r>
      <w:r>
        <w:rPr>
          <w:rFonts w:ascii="仿宋" w:hAnsi="仿宋" w:eastAsia="仿宋" w:cs="仿宋"/>
        </w:rPr>
        <w:t>5</w:t>
      </w:r>
      <w:r>
        <w:rPr>
          <w:rFonts w:hint="eastAsia" w:ascii="仿宋" w:hAnsi="仿宋" w:eastAsia="仿宋" w:cs="仿宋"/>
        </w:rPr>
        <w:t xml:space="preserve"> 单元操作面板上有上电按钮和急停按钮，上电后可对系统进行操作。</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3.7.7.</w:t>
      </w:r>
      <w:r>
        <w:rPr>
          <w:rFonts w:ascii="仿宋" w:hAnsi="仿宋" w:eastAsia="仿宋" w:cs="仿宋"/>
        </w:rPr>
        <w:t>6</w:t>
      </w:r>
      <w:r>
        <w:rPr>
          <w:rFonts w:hint="eastAsia" w:ascii="仿宋" w:hAnsi="仿宋" w:eastAsia="仿宋" w:cs="仿宋"/>
        </w:rPr>
        <w:t xml:space="preserve"> 所有电气安装和施工均应符合我国现行行业标准（规范），电器柜需张贴当心触电警示标识。</w:t>
      </w:r>
    </w:p>
    <w:p>
      <w:pPr>
        <w:snapToGrid w:val="0"/>
        <w:spacing w:line="360" w:lineRule="auto"/>
        <w:ind w:firstLine="420" w:firstLineChars="200"/>
        <w:rPr>
          <w:rFonts w:ascii="仿宋" w:hAnsi="仿宋" w:eastAsia="仿宋" w:cs="仿宋"/>
        </w:rPr>
      </w:pPr>
      <w:r>
        <w:rPr>
          <w:rFonts w:hint="eastAsia" w:ascii="仿宋" w:hAnsi="仿宋" w:eastAsia="仿宋" w:cs="仿宋"/>
        </w:rPr>
        <w:t>3.7.7.</w:t>
      </w:r>
      <w:r>
        <w:rPr>
          <w:rFonts w:ascii="仿宋" w:hAnsi="仿宋" w:eastAsia="仿宋" w:cs="仿宋"/>
        </w:rPr>
        <w:t>7</w:t>
      </w:r>
      <w:r>
        <w:rPr>
          <w:rFonts w:hint="eastAsia" w:ascii="仿宋" w:hAnsi="仿宋" w:eastAsia="仿宋" w:cs="仿宋"/>
        </w:rPr>
        <w:t xml:space="preserve"> 投标方必须提供所供设备相应的安全操作规程和安全事项的说明书，危险化学品“一书一签”；负责对招标方相关人员开展“四新”安全培训。</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3.7.7.</w:t>
      </w:r>
      <w:r>
        <w:rPr>
          <w:rFonts w:ascii="仿宋" w:hAnsi="仿宋" w:eastAsia="仿宋" w:cs="仿宋"/>
        </w:rPr>
        <w:t>8</w:t>
      </w:r>
      <w:r>
        <w:rPr>
          <w:rFonts w:hint="eastAsia" w:ascii="仿宋" w:hAnsi="仿宋" w:eastAsia="仿宋" w:cs="仿宋"/>
        </w:rPr>
        <w:t>货物（或生产线）应运行稳定、可靠、安全，无非正常变形，非正常振动，无异常声音；无漏水、漏液、漏气（汽）、漏电等现象。</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3.7.7.</w:t>
      </w:r>
      <w:r>
        <w:rPr>
          <w:rFonts w:ascii="仿宋" w:hAnsi="仿宋" w:eastAsia="仿宋" w:cs="仿宋"/>
        </w:rPr>
        <w:t>9</w:t>
      </w:r>
      <w:r>
        <w:rPr>
          <w:rFonts w:hint="eastAsia" w:ascii="仿宋" w:hAnsi="仿宋" w:eastAsia="仿宋" w:cs="仿宋"/>
        </w:rPr>
        <w:t xml:space="preserve"> 所有的管路和线缆等，接头应完全正确、可靠地联接；应排列有序（正确、牢固、整齐），有必要的防护，无皱褶、收缩和裂缝等不良现象。</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3.7.7.1</w:t>
      </w:r>
      <w:r>
        <w:rPr>
          <w:rFonts w:ascii="仿宋" w:hAnsi="仿宋" w:eastAsia="仿宋" w:cs="仿宋"/>
        </w:rPr>
        <w:t>0</w:t>
      </w:r>
      <w:r>
        <w:rPr>
          <w:rFonts w:hint="eastAsia" w:ascii="仿宋" w:hAnsi="仿宋" w:eastAsia="仿宋" w:cs="仿宋"/>
        </w:rPr>
        <w:t>地线联接和地极符合国际（ISO/IEC）标准规范，电器柜需张贴当心触电警示标识。</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3.7.7.1</w:t>
      </w:r>
      <w:r>
        <w:rPr>
          <w:rFonts w:ascii="仿宋" w:hAnsi="仿宋" w:eastAsia="仿宋" w:cs="仿宋"/>
        </w:rPr>
        <w:t>1</w:t>
      </w:r>
      <w:r>
        <w:rPr>
          <w:rFonts w:hint="eastAsia" w:ascii="仿宋" w:hAnsi="仿宋" w:eastAsia="仿宋" w:cs="仿宋"/>
        </w:rPr>
        <w:t>货物（或生产线）正常运行时，噪声等环境影响因素满足国家（《工作场所物理因素测量 噪声》GBZ/T 189.8-2007. 噪音≤80dB(A)（距设备一米处测量））和当地环保主管部门规定。项目验收时，投标方须提供</w:t>
      </w:r>
      <w:r>
        <w:rPr>
          <w:rFonts w:hint="eastAsia" w:ascii="仿宋_GB2312" w:hAnsi="宋体" w:eastAsia="仿宋_GB2312" w:cs="宋体"/>
          <w:lang w:bidi="ar"/>
        </w:rPr>
        <w:t>由第三方监测机构出具的噪音合格监测报告。</w:t>
      </w:r>
    </w:p>
    <w:p>
      <w:pPr>
        <w:snapToGrid w:val="0"/>
        <w:spacing w:line="360" w:lineRule="auto"/>
        <w:ind w:firstLine="420" w:firstLineChars="200"/>
        <w:rPr>
          <w:rFonts w:ascii="仿宋" w:hAnsi="仿宋" w:eastAsia="仿宋" w:cs="仿宋"/>
        </w:rPr>
      </w:pPr>
      <w:r>
        <w:rPr>
          <w:rFonts w:hint="eastAsia" w:ascii="仿宋" w:hAnsi="仿宋" w:eastAsia="仿宋" w:cs="仿宋"/>
        </w:rPr>
        <w:t>3.7.7.1</w:t>
      </w:r>
      <w:r>
        <w:rPr>
          <w:rFonts w:ascii="仿宋" w:hAnsi="仿宋" w:eastAsia="仿宋" w:cs="仿宋"/>
        </w:rPr>
        <w:t>2</w:t>
      </w:r>
      <w:r>
        <w:rPr>
          <w:rFonts w:hint="eastAsia" w:ascii="仿宋" w:hAnsi="仿宋" w:eastAsia="仿宋" w:cs="仿宋"/>
        </w:rPr>
        <w:t xml:space="preserve">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3.7.7.1</w:t>
      </w:r>
      <w:r>
        <w:rPr>
          <w:rFonts w:ascii="仿宋" w:hAnsi="仿宋" w:eastAsia="仿宋" w:cs="仿宋"/>
        </w:rPr>
        <w:t>3</w:t>
      </w:r>
      <w:r>
        <w:rPr>
          <w:rFonts w:hint="eastAsia" w:ascii="仿宋" w:hAnsi="仿宋" w:eastAsia="仿宋" w:cs="仿宋"/>
        </w:rPr>
        <w:t xml:space="preserve"> 涉及需要进行环保、职业卫生强制检测的项目（设备、设施），应由中标方提供权威第三方检测机构出具的完工检测报告。</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3.7.7.1</w:t>
      </w:r>
      <w:r>
        <w:rPr>
          <w:rFonts w:ascii="仿宋" w:hAnsi="仿宋" w:eastAsia="仿宋" w:cs="仿宋"/>
        </w:rPr>
        <w:t>4</w:t>
      </w:r>
      <w:r>
        <w:rPr>
          <w:rFonts w:hint="eastAsia" w:ascii="仿宋" w:hAnsi="仿宋" w:eastAsia="仿宋" w:cs="仿宋"/>
        </w:rPr>
        <w:t xml:space="preserve"> 特种设备应提供济南市特种设备检验研究院出具的首次检验报告，招标方协助中标方办理相关注册登记手续。</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3.7.7.1</w:t>
      </w:r>
      <w:r>
        <w:rPr>
          <w:rFonts w:ascii="仿宋" w:hAnsi="仿宋" w:eastAsia="仿宋" w:cs="仿宋"/>
        </w:rPr>
        <w:t>5</w:t>
      </w:r>
      <w:r>
        <w:rPr>
          <w:rFonts w:hint="eastAsia" w:ascii="仿宋" w:hAnsi="仿宋" w:eastAsia="仿宋" w:cs="仿宋"/>
        </w:rPr>
        <w:t>机器人作业区域安全防护。机器人作业区域需安装安全防护隔离，安全防护隔离形式：采用型钢材质整体式设计，由方管焊接框架结构和金属网格组成，防护栏立柱和防护栏采用螺栓连接；安全门采用门联锁进行安全防护。门联锁必须保证，只有当安全门处于完全关闭状态时，才容许机器人自动运行，当安全门打开时机器人须立即停止运行。</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3.7.8投标方所投货物外观颜色标准按招标方提供的标准《Q/ZZ 30070—2020》或双方书面约定的标准执行。</w:t>
      </w:r>
    </w:p>
    <w:p>
      <w:pPr>
        <w:snapToGrid w:val="0"/>
        <w:spacing w:line="360" w:lineRule="auto"/>
        <w:ind w:firstLine="422" w:firstLineChars="200"/>
        <w:outlineLvl w:val="1"/>
        <w:rPr>
          <w:rFonts w:ascii="仿宋" w:hAnsi="仿宋" w:eastAsia="仿宋" w:cs="仿宋"/>
          <w:b/>
          <w:bCs/>
        </w:rPr>
      </w:pPr>
      <w:bookmarkStart w:id="410" w:name="_Toc10838"/>
      <w:bookmarkStart w:id="411" w:name="_Toc11655"/>
      <w:bookmarkStart w:id="412" w:name="_Toc16595"/>
      <w:bookmarkStart w:id="413" w:name="_Toc14715"/>
      <w:bookmarkStart w:id="414" w:name="_Toc8256"/>
      <w:bookmarkStart w:id="415" w:name="_Toc3721"/>
      <w:bookmarkStart w:id="416" w:name="_Toc466"/>
      <w:bookmarkStart w:id="417" w:name="_Toc73112402"/>
      <w:bookmarkStart w:id="418" w:name="_Toc3096"/>
      <w:bookmarkStart w:id="419" w:name="_Toc73"/>
      <w:bookmarkStart w:id="420" w:name="_Toc24239"/>
      <w:bookmarkStart w:id="421" w:name="_Toc24311"/>
      <w:bookmarkStart w:id="422" w:name="_Toc1717"/>
      <w:bookmarkStart w:id="423" w:name="_Toc14754"/>
      <w:bookmarkStart w:id="424" w:name="_Toc8333"/>
      <w:bookmarkStart w:id="425" w:name="_Toc16458"/>
      <w:bookmarkStart w:id="426" w:name="_Toc15063"/>
      <w:bookmarkStart w:id="427" w:name="_Toc31046"/>
      <w:bookmarkStart w:id="428" w:name="_Toc11448"/>
      <w:bookmarkStart w:id="429" w:name="_Toc25096"/>
      <w:bookmarkStart w:id="430" w:name="_Toc28651"/>
      <w:bookmarkStart w:id="431" w:name="_Toc900"/>
      <w:bookmarkStart w:id="432" w:name="_Toc30526"/>
      <w:bookmarkStart w:id="433" w:name="_Toc11582"/>
      <w:bookmarkStart w:id="434" w:name="_Toc12980"/>
      <w:bookmarkStart w:id="435" w:name="_Toc13730"/>
      <w:bookmarkStart w:id="436" w:name="_Toc11237"/>
      <w:bookmarkStart w:id="437" w:name="_Toc31509"/>
      <w:bookmarkStart w:id="438" w:name="_Toc24970"/>
      <w:bookmarkStart w:id="439" w:name="_Toc10224"/>
      <w:bookmarkStart w:id="440" w:name="_Toc963"/>
      <w:bookmarkStart w:id="441" w:name="_Toc16723"/>
      <w:bookmarkStart w:id="442" w:name="_Toc4932"/>
      <w:bookmarkStart w:id="443" w:name="_Toc31832"/>
      <w:bookmarkStart w:id="444" w:name="_Toc14086"/>
      <w:bookmarkStart w:id="445" w:name="_Toc2761"/>
      <w:bookmarkStart w:id="446" w:name="_Toc14191"/>
      <w:bookmarkStart w:id="447" w:name="_Toc2382"/>
      <w:bookmarkStart w:id="448" w:name="_Toc28134"/>
      <w:bookmarkStart w:id="449" w:name="_Toc12383"/>
      <w:bookmarkStart w:id="450" w:name="_Toc28302"/>
      <w:bookmarkStart w:id="451" w:name="_Toc17206"/>
      <w:r>
        <w:rPr>
          <w:rFonts w:hint="eastAsia" w:ascii="仿宋" w:hAnsi="仿宋" w:eastAsia="仿宋" w:cs="仿宋"/>
          <w:b/>
          <w:bCs/>
        </w:rPr>
        <w:t>4特别提示</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4.1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4.2本技术要求所使用的标准、规范等，如与投标方所执行的标准、规范不一致时，应按高于本技术要求所列的标准、规范执行，并在投标文件“技术偏离”中予以说明。</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4.3投标方认为所供货物（或生产线）必需由招标方配备、解决或提供的其它要求，如设备基础隔振和减振设施、软化水、洁净气源等，均应在投标文件“技术偏离”中予以充分说明。</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4.4投标方须负责在终验收前，在招标方设备现场对投标设备实施电能质量和公用电网谐波检测并出具检测报告。检测工作由投标方负责安排第三方实施（第三方的资质须由招标方认可）。</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4.5投标文件中，针对“特别提示”条款所做的回应，将作为投标方能否中标的重要依据之一。</w:t>
      </w:r>
      <w:bookmarkStart w:id="452" w:name="_Toc133783970"/>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4.5投标方所投货物外观颜色标准按招标方提供的标准或双方书面约定的标准执行。</w:t>
      </w:r>
    </w:p>
    <w:p>
      <w:pPr>
        <w:adjustRightInd w:val="0"/>
        <w:snapToGrid w:val="0"/>
        <w:spacing w:before="163" w:beforeLines="50" w:after="163" w:afterLines="50" w:line="360" w:lineRule="auto"/>
        <w:jc w:val="center"/>
        <w:outlineLvl w:val="0"/>
        <w:rPr>
          <w:rFonts w:ascii="仿宋" w:hAnsi="仿宋" w:eastAsia="仿宋" w:cs="仿宋"/>
          <w:b/>
          <w:bCs/>
        </w:rPr>
      </w:pPr>
      <w:bookmarkStart w:id="453" w:name="_Toc1171"/>
      <w:bookmarkStart w:id="454" w:name="_Toc31816"/>
      <w:bookmarkStart w:id="455" w:name="_Toc6352"/>
      <w:bookmarkStart w:id="456" w:name="_Toc17909"/>
      <w:bookmarkStart w:id="457" w:name="_Toc4641"/>
      <w:bookmarkStart w:id="458" w:name="_Toc3808"/>
      <w:bookmarkStart w:id="459" w:name="_Toc19081"/>
      <w:bookmarkStart w:id="460" w:name="_Toc26551"/>
      <w:bookmarkStart w:id="461" w:name="_Toc1909"/>
      <w:bookmarkStart w:id="462" w:name="_Toc73112403"/>
      <w:bookmarkStart w:id="463" w:name="_Toc22156"/>
      <w:bookmarkStart w:id="464" w:name="_Toc13526"/>
      <w:bookmarkStart w:id="465" w:name="_Toc27327"/>
      <w:bookmarkStart w:id="466" w:name="_Toc11390"/>
      <w:bookmarkStart w:id="467" w:name="_Toc20260"/>
      <w:bookmarkStart w:id="468" w:name="_Toc24173"/>
      <w:bookmarkStart w:id="469" w:name="_Toc20841"/>
      <w:bookmarkStart w:id="470" w:name="_Toc16317"/>
      <w:bookmarkStart w:id="471" w:name="_Toc28745"/>
      <w:bookmarkStart w:id="472" w:name="_Toc7258"/>
      <w:bookmarkStart w:id="473" w:name="_Toc16316"/>
      <w:bookmarkStart w:id="474" w:name="_Toc8892"/>
      <w:bookmarkStart w:id="475" w:name="_Toc22710"/>
      <w:bookmarkStart w:id="476" w:name="_Toc32382"/>
      <w:bookmarkStart w:id="477" w:name="_Toc16352"/>
      <w:bookmarkStart w:id="478" w:name="_Toc28398"/>
      <w:bookmarkStart w:id="479" w:name="_Toc1962"/>
      <w:bookmarkStart w:id="480" w:name="_Toc22662"/>
      <w:bookmarkStart w:id="481" w:name="_Toc26601"/>
      <w:bookmarkStart w:id="482" w:name="_Toc19022"/>
      <w:bookmarkStart w:id="483" w:name="_Toc19812"/>
      <w:bookmarkStart w:id="484" w:name="_Toc11725"/>
      <w:bookmarkStart w:id="485" w:name="_Toc21086"/>
      <w:bookmarkStart w:id="486" w:name="_Toc20329"/>
      <w:bookmarkStart w:id="487" w:name="_Toc30892"/>
      <w:bookmarkStart w:id="488" w:name="_Toc20994"/>
      <w:bookmarkStart w:id="489" w:name="_Toc22347"/>
      <w:bookmarkStart w:id="490" w:name="_Toc14583"/>
      <w:bookmarkStart w:id="491" w:name="_Toc10828"/>
      <w:bookmarkStart w:id="492" w:name="_Toc22516"/>
      <w:bookmarkStart w:id="493" w:name="_Toc19805"/>
      <w:bookmarkStart w:id="494" w:name="_Toc29006"/>
      <w:r>
        <w:rPr>
          <w:rFonts w:hint="eastAsia" w:ascii="仿宋" w:hAnsi="仿宋" w:eastAsia="仿宋" w:cs="仿宋"/>
          <w:b/>
          <w:bCs/>
        </w:rPr>
        <w:t>第三章供货范围及供货方式</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pPr>
        <w:pStyle w:val="4"/>
        <w:snapToGrid w:val="0"/>
        <w:spacing w:before="0" w:after="0" w:line="360" w:lineRule="auto"/>
        <w:ind w:left="6" w:firstLine="474"/>
        <w:jc w:val="center"/>
        <w:rPr>
          <w:rFonts w:ascii="仿宋" w:hAnsi="仿宋" w:eastAsia="仿宋" w:cs="仿宋"/>
          <w:b w:val="0"/>
          <w:bCs w:val="0"/>
          <w:sz w:val="24"/>
          <w:szCs w:val="24"/>
        </w:rPr>
      </w:pPr>
      <w:bookmarkStart w:id="495" w:name="_Toc28344"/>
      <w:bookmarkStart w:id="496" w:name="_Toc9994"/>
      <w:bookmarkStart w:id="497" w:name="_Toc19908"/>
      <w:bookmarkStart w:id="498" w:name="_Toc969"/>
      <w:bookmarkStart w:id="499" w:name="_Toc4896"/>
      <w:bookmarkStart w:id="500" w:name="_Toc8963"/>
      <w:bookmarkStart w:id="501" w:name="_Toc13578"/>
      <w:bookmarkStart w:id="502" w:name="_Toc5131"/>
      <w:bookmarkStart w:id="503" w:name="_Toc14383"/>
      <w:bookmarkStart w:id="504" w:name="_Toc5032"/>
      <w:bookmarkStart w:id="505" w:name="_Toc32542"/>
      <w:bookmarkStart w:id="506" w:name="_Toc29751"/>
      <w:bookmarkStart w:id="507" w:name="_Toc32286"/>
      <w:bookmarkStart w:id="508" w:name="_Toc20301"/>
      <w:bookmarkStart w:id="509" w:name="_Toc3639"/>
      <w:bookmarkStart w:id="510" w:name="_Toc6219"/>
      <w:bookmarkStart w:id="511" w:name="_Toc19860"/>
      <w:bookmarkStart w:id="512" w:name="_Toc12581"/>
      <w:bookmarkStart w:id="513" w:name="_Toc27831"/>
      <w:bookmarkStart w:id="514" w:name="_Toc4032"/>
      <w:bookmarkStart w:id="515" w:name="_Toc20721"/>
      <w:bookmarkStart w:id="516" w:name="_Toc11227"/>
      <w:bookmarkStart w:id="517" w:name="_Toc133783971"/>
      <w:bookmarkStart w:id="518" w:name="_Toc27567"/>
      <w:bookmarkStart w:id="519" w:name="_Toc20066"/>
      <w:bookmarkStart w:id="520" w:name="_Toc32741"/>
      <w:bookmarkStart w:id="521" w:name="_Toc9571"/>
      <w:bookmarkStart w:id="522" w:name="_Toc2288"/>
      <w:bookmarkStart w:id="523" w:name="_Toc19111"/>
      <w:bookmarkStart w:id="524" w:name="_Toc10323"/>
      <w:bookmarkStart w:id="525" w:name="_Toc2127"/>
      <w:bookmarkStart w:id="526" w:name="_Toc19155"/>
      <w:bookmarkStart w:id="527" w:name="_Toc6864"/>
      <w:bookmarkStart w:id="528" w:name="_Toc32716"/>
      <w:bookmarkStart w:id="529" w:name="_Toc5052"/>
      <w:bookmarkStart w:id="530" w:name="_Toc11979"/>
      <w:bookmarkStart w:id="531" w:name="_Toc8238"/>
      <w:bookmarkStart w:id="532" w:name="_Toc17404"/>
      <w:bookmarkStart w:id="533" w:name="_Toc25354"/>
      <w:bookmarkStart w:id="534" w:name="_Toc32750"/>
      <w:bookmarkStart w:id="535" w:name="_Toc680"/>
      <w:bookmarkStart w:id="536" w:name="_Toc3358"/>
      <w:bookmarkStart w:id="537" w:name="_Toc73112404"/>
      <w:bookmarkStart w:id="538" w:name="_Toc31722"/>
      <w:bookmarkStart w:id="539" w:name="_Toc9580"/>
      <w:bookmarkStart w:id="540" w:name="_Toc16027"/>
      <w:bookmarkStart w:id="541" w:name="_Toc18238"/>
      <w:r>
        <w:rPr>
          <w:rFonts w:hint="eastAsia" w:ascii="仿宋" w:hAnsi="仿宋" w:eastAsia="仿宋" w:cs="仿宋"/>
          <w:b w:val="0"/>
          <w:bCs w:val="0"/>
          <w:sz w:val="24"/>
          <w:szCs w:val="24"/>
        </w:rPr>
        <w:t>第一节供货范围</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pPr>
        <w:snapToGrid w:val="0"/>
        <w:spacing w:line="360" w:lineRule="auto"/>
        <w:ind w:left="480"/>
        <w:outlineLvl w:val="2"/>
        <w:rPr>
          <w:rFonts w:ascii="仿宋" w:hAnsi="仿宋" w:eastAsia="仿宋" w:cs="仿宋"/>
          <w:b/>
          <w:bCs/>
        </w:rPr>
      </w:pPr>
      <w:bookmarkStart w:id="542" w:name="_Toc14280"/>
      <w:bookmarkStart w:id="543" w:name="_Toc73112405"/>
      <w:bookmarkStart w:id="544" w:name="_Toc21071"/>
      <w:bookmarkStart w:id="545" w:name="_Toc9769"/>
      <w:bookmarkStart w:id="546" w:name="_Toc5149"/>
      <w:bookmarkStart w:id="547" w:name="_Toc272"/>
      <w:bookmarkStart w:id="548" w:name="_Toc17608"/>
      <w:bookmarkStart w:id="549" w:name="_Toc4815"/>
      <w:bookmarkStart w:id="550" w:name="_Toc17029"/>
      <w:bookmarkStart w:id="551" w:name="_Toc13760"/>
      <w:bookmarkStart w:id="552" w:name="_Toc15878"/>
      <w:bookmarkStart w:id="553" w:name="_Toc18305"/>
      <w:bookmarkStart w:id="554" w:name="_Toc18228"/>
      <w:bookmarkStart w:id="555" w:name="_Toc17678"/>
      <w:bookmarkStart w:id="556" w:name="_Toc4850"/>
      <w:bookmarkStart w:id="557" w:name="_Toc29417"/>
      <w:bookmarkStart w:id="558" w:name="_Toc25761"/>
      <w:bookmarkStart w:id="559" w:name="_Toc6385"/>
      <w:bookmarkStart w:id="560" w:name="_Toc14137"/>
      <w:bookmarkStart w:id="561" w:name="_Toc28468"/>
      <w:r>
        <w:rPr>
          <w:rFonts w:hint="eastAsia" w:ascii="仿宋" w:hAnsi="仿宋" w:eastAsia="仿宋" w:cs="仿宋"/>
          <w:b/>
          <w:bCs/>
        </w:rPr>
        <w:t>1主要供货范围</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1.1招标方只提供所需厂房、货物（或生产线）的基本砼基础，如不满足项目需求，由投标方负责进行建设。</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1.2招标方只负责提供符合本技术标书中“采购货物概况”和“使用环境”章节所列明品质的电力、自来水、压缩空气、蒸汽、天然气（或煤气）管线至车间接口,投标方负责从车间接口到项目系统的对接。</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1.3投标方应提供包括货物（或生产线）正常运行所必需的全套连线设备、材料等；如：联接法兰外端面（含联接螺栓）之内的、电气系统接口压线板（插座等）之内的设备、材料等；</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1.4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1.5投标方应提供包括为达到环保、消防和职业健康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1.6投标方应提供包括为保证货物（或生产线）自身正常运行所必需的、适应使用地点条件的通风、冷却、降温系统等。</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1.7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1.8投标方应提供货物（或生产线）维修所必需的专用工具，并在投标报价部分说明数量。</w:t>
      </w:r>
    </w:p>
    <w:p>
      <w:pPr>
        <w:snapToGrid w:val="0"/>
        <w:spacing w:line="360" w:lineRule="auto"/>
        <w:ind w:left="480"/>
        <w:outlineLvl w:val="2"/>
        <w:rPr>
          <w:rFonts w:ascii="仿宋" w:hAnsi="仿宋" w:eastAsia="仿宋" w:cs="仿宋"/>
          <w:b/>
          <w:bCs/>
        </w:rPr>
      </w:pPr>
      <w:bookmarkStart w:id="562" w:name="_Toc29389"/>
      <w:bookmarkStart w:id="563" w:name="_Toc30087"/>
      <w:bookmarkStart w:id="564" w:name="_Toc10027"/>
      <w:bookmarkStart w:id="565" w:name="_Toc20059"/>
      <w:bookmarkStart w:id="566" w:name="_Toc10211"/>
      <w:bookmarkStart w:id="567" w:name="_Toc30004"/>
      <w:bookmarkStart w:id="568" w:name="_Toc6916"/>
      <w:bookmarkStart w:id="569" w:name="_Toc25570"/>
      <w:bookmarkStart w:id="570" w:name="_Toc18018"/>
      <w:bookmarkStart w:id="571" w:name="_Toc19187"/>
      <w:bookmarkStart w:id="572" w:name="_Toc5521"/>
      <w:bookmarkStart w:id="573" w:name="_Toc31074"/>
      <w:bookmarkStart w:id="574" w:name="_Toc31723"/>
      <w:bookmarkStart w:id="575" w:name="_Toc3726"/>
      <w:bookmarkStart w:id="576" w:name="_Toc73112406"/>
      <w:bookmarkStart w:id="577" w:name="_Toc11531"/>
      <w:bookmarkStart w:id="578" w:name="_Toc31685"/>
      <w:bookmarkStart w:id="579" w:name="_Toc2744"/>
      <w:bookmarkStart w:id="580" w:name="_Toc434"/>
      <w:bookmarkStart w:id="581" w:name="_Toc8330"/>
      <w:r>
        <w:rPr>
          <w:rFonts w:hint="eastAsia" w:ascii="仿宋" w:hAnsi="仿宋" w:eastAsia="仿宋" w:cs="仿宋"/>
          <w:b/>
          <w:bCs/>
        </w:rPr>
        <w:t>2备品备件、易损件和专用耗材供货范围</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2.1招标方招标文件所指备品备件、易损件和专用耗材，是招标方为保证货物（或生产线）质保期之后正常运行一年所自备自用的备品备件、易损件和专用耗材。</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2.2投标方按照招标文件要求提供、或投标方认为招标方应当储备的备品备件、易损件和专用耗材，投标方应当在投标报价部分分别说明所列备品备件、易损件和专用耗材的使用时间。</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2.3投标方应提供易损件和专用耗材的制造图纸及其技术要求等资料。</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2.4投标文件中，应当有备品备件、易损件和专用耗材的详细清单（内容包括名称、型号、规格、单位、数量、生产厂家、单价、总价等）。机床和机器人的主要参数、配置表、关键件和进口外购明细表、随机附明细表、技术文件明细表等。</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2.5备品备件、易损件和专用耗材的费用应分类单列，并计入投标总报价之内。</w:t>
      </w:r>
    </w:p>
    <w:p>
      <w:pPr>
        <w:snapToGrid w:val="0"/>
        <w:spacing w:line="360" w:lineRule="auto"/>
        <w:ind w:left="480"/>
        <w:outlineLvl w:val="2"/>
        <w:rPr>
          <w:rFonts w:ascii="仿宋" w:hAnsi="仿宋" w:eastAsia="仿宋" w:cs="仿宋"/>
          <w:b/>
          <w:bCs/>
        </w:rPr>
      </w:pPr>
      <w:bookmarkStart w:id="582" w:name="_Toc19082"/>
      <w:bookmarkStart w:id="583" w:name="_Toc13573"/>
      <w:bookmarkStart w:id="584" w:name="_Toc73112407"/>
      <w:bookmarkStart w:id="585" w:name="_Toc26974"/>
      <w:bookmarkStart w:id="586" w:name="_Toc29526"/>
      <w:bookmarkStart w:id="587" w:name="_Toc30333"/>
      <w:bookmarkStart w:id="588" w:name="_Toc20956"/>
      <w:bookmarkStart w:id="589" w:name="_Toc8994"/>
      <w:bookmarkStart w:id="590" w:name="_Toc29622"/>
      <w:bookmarkStart w:id="591" w:name="_Toc253"/>
      <w:bookmarkStart w:id="592" w:name="_Toc8769"/>
      <w:bookmarkStart w:id="593" w:name="_Toc30460"/>
      <w:bookmarkStart w:id="594" w:name="_Toc6474"/>
      <w:bookmarkStart w:id="595" w:name="_Toc29028"/>
      <w:bookmarkStart w:id="596" w:name="_Toc21438"/>
      <w:bookmarkStart w:id="597" w:name="_Toc14387"/>
      <w:bookmarkStart w:id="598" w:name="_Toc11396"/>
      <w:bookmarkStart w:id="599" w:name="_Toc27176"/>
      <w:bookmarkStart w:id="600" w:name="_Toc23668"/>
      <w:bookmarkStart w:id="601" w:name="_Toc30185"/>
      <w:r>
        <w:rPr>
          <w:rFonts w:hint="eastAsia" w:ascii="仿宋" w:hAnsi="仿宋" w:eastAsia="仿宋" w:cs="仿宋"/>
          <w:b/>
          <w:bCs/>
        </w:rPr>
        <w:t>3技术资料供货范围</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pPr>
        <w:pStyle w:val="23"/>
        <w:snapToGrid w:val="0"/>
        <w:spacing w:line="360" w:lineRule="auto"/>
        <w:ind w:left="6" w:firstLine="474" w:firstLineChars="0"/>
        <w:rPr>
          <w:rFonts w:ascii="仿宋" w:hAnsi="仿宋" w:eastAsia="仿宋" w:cs="仿宋"/>
        </w:rPr>
      </w:pPr>
      <w:bookmarkStart w:id="602" w:name="_Toc133783972"/>
      <w:r>
        <w:rPr>
          <w:rFonts w:hint="eastAsia" w:ascii="仿宋" w:hAnsi="仿宋" w:eastAsia="仿宋" w:cs="仿宋"/>
        </w:rPr>
        <w:t>技术资料（进口设备要求中英文对照）包括：</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3.1设备安全操作规程和使用手册；</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3.2 PLC编程手册和使用手册；</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3.3维修手册及保养手册；</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3.4液压原理图（含动作顺序表）、气动原理图（含动作顺序表）、润滑原理图、电气原理图、电器接线图、电气元件分布图、梯形图（带中文注释）；</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3.5总装配图和主要部件的装配图，全部自制零件正规图纸，提供机床所有零件的明细表，零件号与装配图应一一对应，且能方便地查找零件在装配图上的位置。提供关键件、易损件零件图。</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3.6采购部件提供正规装配图及零件明细;标准件提供明细（包括型号、规格、部位、数量、制造厂家）并与装配图一一对应；提供关键件，易损件明细。</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3.7提供所有电气元件，液压元件，气动元件，润滑元件明细表（包括型号、规格、部位、数量、制造厂家）。</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3.8 主要外购装置、外购件的使用指导说明书。</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3.9主要零部件、元器件，由投标方负责检验，并提供检验报告。</w:t>
      </w:r>
    </w:p>
    <w:p>
      <w:pPr>
        <w:snapToGrid w:val="0"/>
        <w:spacing w:line="360" w:lineRule="auto"/>
        <w:ind w:left="6" w:firstLine="474"/>
        <w:rPr>
          <w:rFonts w:ascii="仿宋" w:hAnsi="仿宋" w:eastAsia="仿宋" w:cs="仿宋"/>
          <w:kern w:val="0"/>
        </w:rPr>
      </w:pPr>
      <w:r>
        <w:rPr>
          <w:rFonts w:hint="eastAsia" w:ascii="仿宋" w:hAnsi="仿宋" w:eastAsia="仿宋" w:cs="仿宋"/>
        </w:rPr>
        <w:t>3.10 应提供设备出厂所必须的具备国际标准或国内标准规定的具备相关计量检定资质单位精度检验证书、性能测试记录和报告。校准（标定）作业指导书。</w:t>
      </w:r>
    </w:p>
    <w:p>
      <w:pPr>
        <w:snapToGrid w:val="0"/>
        <w:spacing w:line="360" w:lineRule="auto"/>
        <w:ind w:left="6" w:firstLine="474"/>
        <w:rPr>
          <w:rFonts w:ascii="仿宋" w:hAnsi="仿宋" w:eastAsia="仿宋" w:cs="仿宋"/>
        </w:rPr>
      </w:pPr>
      <w:r>
        <w:rPr>
          <w:rFonts w:hint="eastAsia" w:ascii="仿宋" w:hAnsi="仿宋" w:eastAsia="仿宋" w:cs="仿宋"/>
        </w:rPr>
        <w:t>应提供具有测量、检定、校准等功能设备及具备有压力、温度、流量、位移等计量监控要求的计量器具进行检定/校准/标定所用受控标准器具及作业指导书、检定机构名单。</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3.11 提供设备消耗水、电、气的详细资料。</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3.12 保证设备正常运行、维护和保养必需的其他参数和资料。</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3.13、投标方须负责在合同签订后</w:t>
      </w:r>
      <w:r>
        <w:rPr>
          <w:rFonts w:hint="eastAsia" w:ascii="仿宋" w:hAnsi="仿宋" w:eastAsia="仿宋" w:cs="仿宋"/>
          <w:u w:val="single"/>
          <w:shd w:val="pct10" w:color="auto" w:fill="FFFFFF"/>
        </w:rPr>
        <w:t>30</w:t>
      </w:r>
      <w:r>
        <w:rPr>
          <w:rFonts w:hint="eastAsia" w:ascii="仿宋" w:hAnsi="仿宋" w:eastAsia="仿宋" w:cs="仿宋"/>
        </w:rPr>
        <w:t>日内，提供设备基础及相关的安装、设计资料，并提供电子版资料文件，文件格式为：.doc,.dwg或.dxf；（进口货物、设备应有中外文对照）；并同时提出对厂房、基础、公用设施、消防、环保等不超出招标文件、投标文件、答疑文件、技术交流文件、技术协议书和合同等规定的、有特殊要求的解释、说明和要求；</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3.14投标方须负责在预验收前，提供设备各部分的功能描述文件、图片、影像等资料（进口、设备应有中外文对照）；</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3.15投标方须负责在终验收前，提供招标方所需全套的工装、模具、吊（挂）具明细及其图纸、具体技术要求等资料；</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3.16投标方须负责在终验收前，提供确定的设备的外购件、外协件、电气元件及主要原材料的供货厂家明细表；</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3.17投标方须负责在设备到达招标方工厂时，与设备一并提供包括设备的备品备件、易损件和专用耗材规定的图纸及技术参数、技术要求等资料；</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3.18投标方须负责在设备到达招标方工厂时，与设备一并提供包括设备的操作维护手册，保养维修手册、安全操作规程和安全事项的说明书、仪器仪表检定和使用维修说明书、产品样本等技术资料、图片、影像等资料(对于进口设备，应有中外文资料说明)；</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3.19投标方须负责在设备到达招标方工厂时，与设备一并提供包括设备的设计总图、设备全线布置图、电气资料（包括接线图、原理图、布线图、梯形图等）、液压（气动）原理图和系统图、安装基础图、维修图等有关的资料、图片、影像等资料(对于进口设备，应有中外文资料说明)；</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 xml:space="preserve">3.20投标方在设备入场前提供接口的技术文档和参数说明，包括但不限于接口协议、通讯速率、数据格式等。 </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3.21本“技术资料范围”所列的技术资料、图片、影像等，投标方应各提供</w:t>
      </w:r>
      <w:r>
        <w:rPr>
          <w:rFonts w:hint="eastAsia" w:ascii="仿宋" w:hAnsi="仿宋" w:eastAsia="仿宋" w:cs="仿宋"/>
          <w:shd w:val="pct10" w:color="auto" w:fill="FFFFFF"/>
        </w:rPr>
        <w:t>4</w:t>
      </w:r>
      <w:r>
        <w:rPr>
          <w:rFonts w:hint="eastAsia" w:ascii="仿宋" w:hAnsi="仿宋" w:eastAsia="仿宋" w:cs="仿宋"/>
        </w:rPr>
        <w:t>套，其中</w:t>
      </w:r>
      <w:r>
        <w:rPr>
          <w:rFonts w:hint="eastAsia" w:ascii="仿宋" w:hAnsi="仿宋" w:eastAsia="仿宋" w:cs="仿宋"/>
          <w:shd w:val="pct10" w:color="auto" w:fill="FFFFFF"/>
        </w:rPr>
        <w:t>2</w:t>
      </w:r>
      <w:r>
        <w:rPr>
          <w:rFonts w:hint="eastAsia" w:ascii="仿宋" w:hAnsi="仿宋" w:eastAsia="仿宋" w:cs="仿宋"/>
        </w:rPr>
        <w:t>套为电子版光（软）盘；每份技术文件应装有目录清单；</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rPr>
        <w:t>3.22本“技术资料范围”所列要求，如招标方认为投标方提供的资料不能满足要求时，有权要求投标方补充或增加。</w:t>
      </w:r>
    </w:p>
    <w:p>
      <w:pPr>
        <w:adjustRightInd w:val="0"/>
        <w:snapToGrid w:val="0"/>
        <w:spacing w:before="163" w:beforeLines="50" w:after="163" w:afterLines="50" w:line="360" w:lineRule="auto"/>
        <w:jc w:val="center"/>
        <w:outlineLvl w:val="1"/>
        <w:rPr>
          <w:rFonts w:ascii="仿宋" w:hAnsi="仿宋" w:eastAsia="仿宋" w:cs="仿宋"/>
          <w:b/>
          <w:bCs/>
        </w:rPr>
      </w:pPr>
      <w:bookmarkStart w:id="603" w:name="_Toc18839"/>
      <w:bookmarkStart w:id="604" w:name="_Toc12288"/>
      <w:bookmarkStart w:id="605" w:name="_Toc10692"/>
      <w:bookmarkStart w:id="606" w:name="_Toc4676"/>
      <w:bookmarkStart w:id="607" w:name="_Toc17660"/>
      <w:bookmarkStart w:id="608" w:name="_Toc22358"/>
      <w:bookmarkStart w:id="609" w:name="_Toc29792"/>
      <w:bookmarkStart w:id="610" w:name="_Toc24898"/>
      <w:bookmarkStart w:id="611" w:name="_Toc29107"/>
      <w:bookmarkStart w:id="612" w:name="_Toc15671"/>
      <w:bookmarkStart w:id="613" w:name="_Toc27960"/>
      <w:bookmarkStart w:id="614" w:name="_Toc4601"/>
      <w:bookmarkStart w:id="615" w:name="_Toc81"/>
      <w:bookmarkStart w:id="616" w:name="_Toc17572"/>
      <w:bookmarkStart w:id="617" w:name="_Toc1897"/>
      <w:bookmarkStart w:id="618" w:name="_Toc5634"/>
      <w:bookmarkStart w:id="619" w:name="_Toc16163"/>
      <w:bookmarkStart w:id="620" w:name="_Toc21360"/>
      <w:bookmarkStart w:id="621" w:name="_Toc18118"/>
      <w:bookmarkStart w:id="622" w:name="_Toc23025"/>
      <w:bookmarkStart w:id="623" w:name="_Toc15620"/>
      <w:bookmarkStart w:id="624" w:name="_Toc13201"/>
      <w:bookmarkStart w:id="625" w:name="_Toc6313"/>
      <w:bookmarkStart w:id="626" w:name="_Toc11851"/>
      <w:bookmarkStart w:id="627" w:name="_Toc4183"/>
      <w:bookmarkStart w:id="628" w:name="_Toc18492"/>
      <w:bookmarkStart w:id="629" w:name="_Toc19194"/>
      <w:bookmarkStart w:id="630" w:name="_Toc16689"/>
      <w:bookmarkStart w:id="631" w:name="_Toc20754"/>
      <w:bookmarkStart w:id="632" w:name="_Toc23856"/>
      <w:bookmarkStart w:id="633" w:name="_Toc3580"/>
      <w:bookmarkStart w:id="634" w:name="_Toc27636"/>
      <w:bookmarkStart w:id="635" w:name="_Toc8309"/>
      <w:bookmarkStart w:id="636" w:name="_Toc603"/>
      <w:bookmarkStart w:id="637" w:name="_Toc11837"/>
      <w:bookmarkStart w:id="638" w:name="_Toc4381"/>
      <w:bookmarkStart w:id="639" w:name="_Toc30635"/>
      <w:bookmarkStart w:id="640" w:name="_Toc25983"/>
      <w:bookmarkStart w:id="641" w:name="_Toc17613"/>
      <w:bookmarkStart w:id="642" w:name="_Toc3548"/>
      <w:bookmarkStart w:id="643" w:name="_Toc1998"/>
      <w:bookmarkStart w:id="644" w:name="_Toc73112408"/>
      <w:r>
        <w:rPr>
          <w:rFonts w:hint="eastAsia" w:ascii="仿宋" w:hAnsi="仿宋" w:eastAsia="仿宋" w:cs="仿宋"/>
          <w:b/>
          <w:bCs/>
        </w:rPr>
        <w:t>第二节供货方式</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pPr>
        <w:snapToGrid w:val="0"/>
        <w:spacing w:line="360" w:lineRule="auto"/>
        <w:ind w:left="480"/>
        <w:outlineLvl w:val="2"/>
        <w:rPr>
          <w:rFonts w:ascii="仿宋" w:hAnsi="仿宋" w:eastAsia="仿宋" w:cs="仿宋"/>
          <w:b/>
          <w:bCs/>
        </w:rPr>
      </w:pPr>
      <w:bookmarkStart w:id="645" w:name="_Toc3032"/>
      <w:bookmarkStart w:id="646" w:name="_Toc20263"/>
      <w:bookmarkStart w:id="647" w:name="_Toc19237"/>
      <w:bookmarkStart w:id="648" w:name="_Toc4344"/>
      <w:bookmarkStart w:id="649" w:name="_Toc27005"/>
      <w:bookmarkStart w:id="650" w:name="_Toc11533"/>
      <w:bookmarkStart w:id="651" w:name="_Toc28759"/>
      <w:bookmarkStart w:id="652" w:name="_Toc1474"/>
      <w:bookmarkStart w:id="653" w:name="_Toc14135"/>
      <w:bookmarkStart w:id="654" w:name="_Toc22679"/>
      <w:bookmarkStart w:id="655" w:name="_Toc32491"/>
      <w:bookmarkStart w:id="656" w:name="_Toc24179"/>
      <w:bookmarkStart w:id="657" w:name="_Toc10286"/>
      <w:bookmarkStart w:id="658" w:name="_Toc28360"/>
      <w:bookmarkStart w:id="659" w:name="_Toc28222"/>
      <w:bookmarkStart w:id="660" w:name="_Toc1116"/>
      <w:bookmarkStart w:id="661" w:name="_Toc18282"/>
      <w:bookmarkStart w:id="662" w:name="_Toc73112409"/>
      <w:bookmarkStart w:id="663" w:name="_Toc28534"/>
      <w:bookmarkStart w:id="664" w:name="_Toc28962"/>
      <w:r>
        <w:rPr>
          <w:rFonts w:hint="eastAsia" w:ascii="仿宋" w:hAnsi="仿宋" w:eastAsia="仿宋" w:cs="仿宋"/>
          <w:b/>
          <w:bCs/>
        </w:rPr>
        <w:t>1供货地点</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pPr>
        <w:pStyle w:val="23"/>
        <w:snapToGrid w:val="0"/>
        <w:spacing w:line="360" w:lineRule="auto"/>
        <w:ind w:firstLine="420" w:firstLineChars="200"/>
        <w:rPr>
          <w:rFonts w:ascii="仿宋" w:hAnsi="仿宋" w:eastAsia="仿宋" w:cs="仿宋"/>
        </w:rPr>
      </w:pPr>
      <w:r>
        <w:rPr>
          <w:rFonts w:hint="eastAsia" w:ascii="仿宋" w:hAnsi="仿宋" w:eastAsia="仿宋" w:cs="仿宋"/>
        </w:rPr>
        <w:t>本项目建设工地。</w:t>
      </w:r>
    </w:p>
    <w:p>
      <w:pPr>
        <w:snapToGrid w:val="0"/>
        <w:spacing w:line="360" w:lineRule="auto"/>
        <w:ind w:left="480"/>
        <w:outlineLvl w:val="2"/>
        <w:rPr>
          <w:rFonts w:ascii="仿宋" w:hAnsi="仿宋" w:eastAsia="仿宋" w:cs="仿宋"/>
          <w:b/>
          <w:bCs/>
        </w:rPr>
      </w:pPr>
      <w:bookmarkStart w:id="665" w:name="_Toc5862"/>
      <w:bookmarkStart w:id="666" w:name="_Toc22044"/>
      <w:bookmarkStart w:id="667" w:name="_Toc6707"/>
      <w:bookmarkStart w:id="668" w:name="_Toc31657"/>
      <w:bookmarkStart w:id="669" w:name="_Toc531"/>
      <w:bookmarkStart w:id="670" w:name="_Toc27724"/>
      <w:bookmarkStart w:id="671" w:name="_Toc11086"/>
      <w:bookmarkStart w:id="672" w:name="_Toc26611"/>
      <w:bookmarkStart w:id="673" w:name="_Toc6963"/>
      <w:bookmarkStart w:id="674" w:name="_Toc26178"/>
      <w:bookmarkStart w:id="675" w:name="_Toc4215"/>
      <w:bookmarkStart w:id="676" w:name="_Toc9856"/>
      <w:bookmarkStart w:id="677" w:name="_Toc8043"/>
      <w:bookmarkStart w:id="678" w:name="_Toc30858"/>
      <w:bookmarkStart w:id="679" w:name="_Toc21521"/>
      <w:bookmarkStart w:id="680" w:name="_Toc2280"/>
      <w:bookmarkStart w:id="681" w:name="_Toc20257"/>
      <w:bookmarkStart w:id="682" w:name="_Toc27558"/>
      <w:bookmarkStart w:id="683" w:name="_Toc11152"/>
      <w:bookmarkStart w:id="684" w:name="_Toc73112410"/>
      <w:r>
        <w:rPr>
          <w:rFonts w:hint="eastAsia" w:ascii="仿宋" w:hAnsi="仿宋" w:eastAsia="仿宋" w:cs="仿宋"/>
          <w:b/>
          <w:bCs/>
        </w:rPr>
        <w:t>2供货时间</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pPr>
        <w:snapToGrid w:val="0"/>
        <w:spacing w:line="360" w:lineRule="auto"/>
        <w:ind w:firstLine="420" w:firstLineChars="200"/>
        <w:jc w:val="left"/>
        <w:rPr>
          <w:rFonts w:ascii="仿宋" w:hAnsi="仿宋" w:eastAsia="仿宋" w:cs="仿宋"/>
          <w:strike/>
        </w:rPr>
      </w:pPr>
      <w:r>
        <w:rPr>
          <w:rFonts w:hint="eastAsia" w:ascii="仿宋" w:hAnsi="仿宋" w:eastAsia="仿宋" w:cs="仿宋"/>
        </w:rPr>
        <w:t>2.1投标方应自接到中标通知后，</w:t>
      </w:r>
      <w:r>
        <w:rPr>
          <w:rFonts w:hint="eastAsia" w:ascii="仿宋" w:hAnsi="仿宋" w:eastAsia="仿宋" w:cs="仿宋"/>
          <w:u w:val="single"/>
          <w:shd w:val="pct10" w:color="auto" w:fill="FFFFFF"/>
        </w:rPr>
        <w:t>180</w:t>
      </w:r>
      <w:r>
        <w:rPr>
          <w:rFonts w:hint="eastAsia" w:ascii="仿宋" w:hAnsi="仿宋" w:eastAsia="仿宋" w:cs="仿宋"/>
        </w:rPr>
        <w:t>日历日之内交货至供货地点。</w:t>
      </w:r>
    </w:p>
    <w:p>
      <w:pPr>
        <w:snapToGrid w:val="0"/>
        <w:spacing w:line="360" w:lineRule="auto"/>
        <w:ind w:firstLine="420" w:firstLineChars="200"/>
        <w:jc w:val="left"/>
        <w:rPr>
          <w:rFonts w:ascii="仿宋" w:hAnsi="仿宋" w:eastAsia="仿宋" w:cs="仿宋"/>
        </w:rPr>
      </w:pPr>
      <w:r>
        <w:rPr>
          <w:rFonts w:hint="eastAsia" w:ascii="仿宋" w:hAnsi="仿宋" w:eastAsia="仿宋" w:cs="仿宋"/>
        </w:rPr>
        <w:t>2.2连续</w:t>
      </w:r>
      <w:r>
        <w:rPr>
          <w:rFonts w:hint="eastAsia" w:ascii="仿宋" w:hAnsi="仿宋" w:eastAsia="仿宋" w:cs="仿宋"/>
          <w:u w:val="single"/>
        </w:rPr>
        <w:t xml:space="preserve"> </w:t>
      </w:r>
      <w:r>
        <w:rPr>
          <w:rFonts w:hint="eastAsia" w:ascii="仿宋" w:hAnsi="仿宋" w:eastAsia="仿宋" w:cs="仿宋"/>
          <w:u w:val="single"/>
          <w:shd w:val="pct10" w:color="auto" w:fill="FFFFFF"/>
        </w:rPr>
        <w:t>30</w:t>
      </w:r>
      <w:r>
        <w:rPr>
          <w:rFonts w:hint="eastAsia" w:ascii="仿宋" w:hAnsi="仿宋" w:eastAsia="仿宋" w:cs="仿宋"/>
        </w:rPr>
        <w:t>个日历日之内安装调试完毕；</w:t>
      </w:r>
    </w:p>
    <w:p>
      <w:pPr>
        <w:snapToGrid w:val="0"/>
        <w:spacing w:line="360" w:lineRule="auto"/>
        <w:ind w:firstLine="420" w:firstLineChars="200"/>
        <w:jc w:val="left"/>
        <w:rPr>
          <w:rFonts w:ascii="仿宋" w:hAnsi="仿宋" w:eastAsia="仿宋" w:cs="仿宋"/>
        </w:rPr>
      </w:pPr>
      <w:r>
        <w:rPr>
          <w:rFonts w:hint="eastAsia" w:ascii="仿宋" w:hAnsi="仿宋" w:eastAsia="仿宋" w:cs="仿宋"/>
        </w:rPr>
        <w:t>2.3连续</w:t>
      </w:r>
      <w:r>
        <w:rPr>
          <w:rFonts w:hint="eastAsia" w:ascii="仿宋" w:hAnsi="仿宋" w:eastAsia="仿宋" w:cs="仿宋"/>
          <w:u w:val="single"/>
          <w:shd w:val="pct10" w:color="auto" w:fill="FFFFFF"/>
        </w:rPr>
        <w:t xml:space="preserve"> 30</w:t>
      </w:r>
      <w:r>
        <w:rPr>
          <w:rFonts w:hint="eastAsia" w:ascii="仿宋" w:hAnsi="仿宋" w:eastAsia="仿宋" w:cs="仿宋"/>
          <w:u w:val="single"/>
        </w:rPr>
        <w:t xml:space="preserve"> </w:t>
      </w:r>
      <w:r>
        <w:rPr>
          <w:rFonts w:hint="eastAsia" w:ascii="仿宋" w:hAnsi="仿宋" w:eastAsia="仿宋" w:cs="仿宋"/>
        </w:rPr>
        <w:t>个日历日之内完成终验收。</w:t>
      </w:r>
    </w:p>
    <w:p>
      <w:pPr>
        <w:snapToGrid w:val="0"/>
        <w:spacing w:line="360" w:lineRule="auto"/>
        <w:ind w:firstLine="420" w:firstLineChars="200"/>
        <w:jc w:val="left"/>
        <w:rPr>
          <w:rFonts w:ascii="仿宋" w:hAnsi="仿宋" w:eastAsia="仿宋" w:cs="仿宋"/>
        </w:rPr>
      </w:pPr>
      <w:r>
        <w:rPr>
          <w:rFonts w:hint="eastAsia" w:ascii="仿宋" w:hAnsi="仿宋" w:eastAsia="仿宋" w:cs="仿宋"/>
        </w:rPr>
        <w:t>2.4必要时，投标方应当提供详细的工期计划。</w:t>
      </w:r>
    </w:p>
    <w:p>
      <w:pPr>
        <w:snapToGrid w:val="0"/>
        <w:spacing w:line="360" w:lineRule="auto"/>
        <w:ind w:left="480"/>
        <w:outlineLvl w:val="2"/>
        <w:rPr>
          <w:rFonts w:ascii="仿宋" w:hAnsi="仿宋" w:eastAsia="仿宋" w:cs="仿宋"/>
          <w:b/>
          <w:bCs/>
        </w:rPr>
      </w:pPr>
      <w:bookmarkStart w:id="685" w:name="_Toc23122"/>
      <w:bookmarkStart w:id="686" w:name="_Toc17489"/>
      <w:bookmarkStart w:id="687" w:name="_Toc31485"/>
      <w:bookmarkStart w:id="688" w:name="_Toc18845"/>
      <w:bookmarkStart w:id="689" w:name="_Toc73112411"/>
      <w:bookmarkStart w:id="690" w:name="_Toc22968"/>
      <w:bookmarkStart w:id="691" w:name="_Toc8193"/>
      <w:bookmarkStart w:id="692" w:name="_Toc4431"/>
      <w:bookmarkStart w:id="693" w:name="_Toc24587"/>
      <w:bookmarkStart w:id="694" w:name="_Toc30983"/>
      <w:bookmarkStart w:id="695" w:name="_Toc16960"/>
      <w:bookmarkStart w:id="696" w:name="_Toc11749"/>
      <w:bookmarkStart w:id="697" w:name="_Toc18153"/>
      <w:bookmarkStart w:id="698" w:name="_Toc22394"/>
      <w:bookmarkStart w:id="699" w:name="_Toc17351"/>
      <w:bookmarkStart w:id="700" w:name="_Toc8419"/>
      <w:bookmarkStart w:id="701" w:name="_Toc22617"/>
      <w:bookmarkStart w:id="702" w:name="_Toc9507"/>
      <w:bookmarkStart w:id="703" w:name="_Toc5288"/>
      <w:bookmarkStart w:id="704" w:name="_Toc29786"/>
      <w:r>
        <w:rPr>
          <w:rFonts w:hint="eastAsia" w:ascii="仿宋" w:hAnsi="仿宋" w:eastAsia="仿宋" w:cs="仿宋"/>
          <w:b/>
          <w:bCs/>
        </w:rPr>
        <w:t>3质保期</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pPr>
        <w:snapToGrid w:val="0"/>
        <w:spacing w:line="360" w:lineRule="auto"/>
        <w:ind w:firstLine="420" w:firstLineChars="200"/>
        <w:rPr>
          <w:rFonts w:ascii="仿宋" w:hAnsi="仿宋" w:eastAsia="仿宋" w:cs="仿宋"/>
          <w:strike/>
        </w:rPr>
      </w:pPr>
      <w:r>
        <w:rPr>
          <w:rFonts w:hint="eastAsia" w:ascii="仿宋" w:hAnsi="仿宋" w:eastAsia="仿宋" w:cs="仿宋"/>
        </w:rPr>
        <w:t>3.1投标方所提供货物（或生产线）涉及的全部供货范围内的设备、材料、零配件和工器具等，除合同特别约定外，其质保期均自终验收签字生效之日起</w:t>
      </w:r>
      <w:r>
        <w:rPr>
          <w:rFonts w:hint="eastAsia" w:ascii="仿宋" w:hAnsi="仿宋" w:eastAsia="仿宋" w:cs="仿宋"/>
          <w:u w:val="single"/>
          <w:shd w:val="pct10" w:color="auto" w:fill="FFFFFF"/>
        </w:rPr>
        <w:t>12</w:t>
      </w:r>
      <w:r>
        <w:rPr>
          <w:rFonts w:hint="eastAsia" w:ascii="仿宋" w:hAnsi="仿宋" w:eastAsia="仿宋" w:cs="仿宋"/>
        </w:rPr>
        <w:t>个月。</w:t>
      </w:r>
    </w:p>
    <w:p>
      <w:pPr>
        <w:snapToGrid w:val="0"/>
        <w:spacing w:line="360" w:lineRule="auto"/>
        <w:ind w:firstLine="420" w:firstLineChars="200"/>
        <w:jc w:val="left"/>
        <w:rPr>
          <w:rFonts w:ascii="仿宋" w:hAnsi="仿宋" w:eastAsia="仿宋" w:cs="仿宋"/>
        </w:rPr>
      </w:pPr>
      <w:r>
        <w:rPr>
          <w:rFonts w:hint="eastAsia" w:ascii="仿宋" w:hAnsi="仿宋" w:eastAsia="仿宋" w:cs="仿宋"/>
        </w:rPr>
        <w:t>3.2质保期之内，如果货物（或生产线）出现关键设备、总成、零部件或者多处一般设备、总成、零部件的更换或维修行为，则质保期自更换或维修行为结束、货物（或生产线）能够正常运行使用之日起重新计算。</w:t>
      </w:r>
    </w:p>
    <w:p>
      <w:pPr>
        <w:snapToGrid w:val="0"/>
        <w:spacing w:line="360" w:lineRule="auto"/>
        <w:ind w:left="480"/>
        <w:outlineLvl w:val="2"/>
        <w:rPr>
          <w:rFonts w:ascii="仿宋" w:hAnsi="仿宋" w:eastAsia="仿宋" w:cs="仿宋"/>
          <w:b/>
          <w:bCs/>
        </w:rPr>
      </w:pPr>
      <w:bookmarkStart w:id="705" w:name="_Toc5126"/>
      <w:bookmarkStart w:id="706" w:name="_Toc426"/>
      <w:bookmarkStart w:id="707" w:name="_Toc27377"/>
      <w:bookmarkStart w:id="708" w:name="_Toc14622"/>
      <w:bookmarkStart w:id="709" w:name="_Toc19011"/>
      <w:bookmarkStart w:id="710" w:name="_Toc12791"/>
      <w:bookmarkStart w:id="711" w:name="_Toc73112412"/>
      <w:bookmarkStart w:id="712" w:name="_Toc29090"/>
      <w:bookmarkStart w:id="713" w:name="_Toc10272"/>
      <w:bookmarkStart w:id="714" w:name="_Toc21555"/>
      <w:bookmarkStart w:id="715" w:name="_Toc17320"/>
      <w:bookmarkStart w:id="716" w:name="_Toc21924"/>
      <w:bookmarkStart w:id="717" w:name="_Toc26040"/>
      <w:bookmarkStart w:id="718" w:name="_Toc16664"/>
      <w:bookmarkStart w:id="719" w:name="_Toc20400"/>
      <w:bookmarkStart w:id="720" w:name="_Toc27080"/>
      <w:bookmarkStart w:id="721" w:name="_Toc27729"/>
      <w:bookmarkStart w:id="722" w:name="_Toc28907"/>
      <w:bookmarkStart w:id="723" w:name="_Toc16381"/>
      <w:bookmarkStart w:id="724" w:name="_Toc20248"/>
      <w:r>
        <w:rPr>
          <w:rFonts w:hint="eastAsia" w:ascii="仿宋" w:hAnsi="仿宋" w:eastAsia="仿宋" w:cs="仿宋"/>
          <w:b/>
          <w:bCs/>
        </w:rPr>
        <w:t>4包装</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4.1投标方所提供货物（或设备）的包装，应遵照国家标准和有关包装、包皮的技术条件，或按照最好的商业惯例进行包装。</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4.2包装应能满足所需要采取的运输方式（船运、汽运或铁路运输）、多次吊装卸装、卸货以及长期露天堆放要求，应能防止雨淋、受潮、生锈、腐蚀、受振、受磁以及机械和化学因素等引起的损坏。</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4.3投标方所提供货物（或设备）的包装，应能防止其一般性被窃或受外力破坏；一般不得采用有大缝隙的板条包装。</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4.4投标方应对包装件做必要的加固和固定等防护措施，以防止运输可能造成的损坏。</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4.5每个包装件应有装箱单，并至少标明名称、型号规格、数量、净重和毛重、投标方（或供货商）名称和制造日期等相关内容。</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4.6每个包装箱应有明显标志，并具有中文书写的合同号、装运标志、发货和到货地点名称、发货人和收货人名称、货物（或生产线）名称和项目号、箱号和外型尺寸等内容。</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4.7投标方还应按照不同的装运要求在包装箱上标明“小心轻放”、“箭头向上”、“防潮”、“防磁”、“不准平放”等标志，以及其它适用的国标通用标志。</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4.8包装箱应连续编号，不应出现重复编号。</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4.9在不受到外界破坏情况下，包装应保证自交货日起一年内货物（或设备）完好无损。</w:t>
      </w:r>
    </w:p>
    <w:p>
      <w:pPr>
        <w:snapToGrid w:val="0"/>
        <w:spacing w:line="360" w:lineRule="auto"/>
        <w:ind w:left="480"/>
        <w:outlineLvl w:val="2"/>
        <w:rPr>
          <w:rFonts w:ascii="仿宋" w:hAnsi="仿宋" w:eastAsia="仿宋" w:cs="仿宋"/>
          <w:b/>
          <w:bCs/>
        </w:rPr>
      </w:pPr>
      <w:bookmarkStart w:id="725" w:name="_Toc21886"/>
      <w:bookmarkStart w:id="726" w:name="_Toc22949"/>
      <w:bookmarkStart w:id="727" w:name="_Toc73112413"/>
      <w:bookmarkStart w:id="728" w:name="_Toc31538"/>
      <w:bookmarkStart w:id="729" w:name="_Toc4346"/>
      <w:bookmarkStart w:id="730" w:name="_Toc26302"/>
      <w:bookmarkStart w:id="731" w:name="_Toc22792"/>
      <w:bookmarkStart w:id="732" w:name="_Toc25305"/>
      <w:bookmarkStart w:id="733" w:name="_Toc23221"/>
      <w:bookmarkStart w:id="734" w:name="_Toc5373"/>
      <w:bookmarkStart w:id="735" w:name="_Toc8"/>
      <w:bookmarkStart w:id="736" w:name="_Toc21308"/>
      <w:bookmarkStart w:id="737" w:name="_Toc7889"/>
      <w:bookmarkStart w:id="738" w:name="_Toc20536"/>
      <w:bookmarkStart w:id="739" w:name="_Toc17881"/>
      <w:bookmarkStart w:id="740" w:name="_Toc1857"/>
      <w:bookmarkStart w:id="741" w:name="_Toc7046"/>
      <w:bookmarkStart w:id="742" w:name="_Toc17990"/>
      <w:bookmarkStart w:id="743" w:name="_Toc32266"/>
      <w:bookmarkStart w:id="744" w:name="_Toc22992"/>
      <w:r>
        <w:rPr>
          <w:rFonts w:hint="eastAsia" w:ascii="仿宋" w:hAnsi="仿宋" w:eastAsia="仿宋" w:cs="仿宋"/>
          <w:b/>
          <w:bCs/>
        </w:rPr>
        <w:t>5运输</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5.1投标方应负责将货物（或设备）运到目的地，并必须做到货物（或设备）在任何运输过程中不受损坏和遗失</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5.2同批货物（或设备）应统一包装、编号运输。</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5.3一般情况下，经由铁路、公路运输的包装件尺寸和重量不应超过国家所规定的尺寸限制。特殊情况应予以说明。</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5.4在每批货物（或设备）发出后，投标方应立即通知招标方；通知中应指明：合同号、货运单号、件数、重量和货物（或设备）发出日期等相关内容。</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5.5货物（或设备）运抵招标方现场后，投标方应负责货物（或设备）的卸货、搬运、保管等事宜；或按照合同约定。</w:t>
      </w:r>
      <w:bookmarkStart w:id="745" w:name="_Toc133783973"/>
    </w:p>
    <w:p>
      <w:pPr>
        <w:adjustRightInd w:val="0"/>
        <w:snapToGrid w:val="0"/>
        <w:spacing w:before="163" w:beforeLines="50" w:after="163" w:afterLines="50" w:line="360" w:lineRule="auto"/>
        <w:jc w:val="center"/>
        <w:outlineLvl w:val="0"/>
        <w:rPr>
          <w:rFonts w:ascii="仿宋" w:hAnsi="仿宋" w:eastAsia="仿宋" w:cs="仿宋"/>
          <w:b/>
          <w:bCs/>
        </w:rPr>
      </w:pPr>
      <w:bookmarkStart w:id="746" w:name="_Toc16036"/>
      <w:bookmarkStart w:id="747" w:name="_Toc14916"/>
      <w:bookmarkStart w:id="748" w:name="_Toc14229"/>
      <w:bookmarkStart w:id="749" w:name="_Toc19133"/>
      <w:bookmarkStart w:id="750" w:name="_Toc29063"/>
      <w:bookmarkStart w:id="751" w:name="_Toc2668"/>
      <w:bookmarkStart w:id="752" w:name="_Toc7501"/>
      <w:bookmarkStart w:id="753" w:name="_Toc25292"/>
      <w:bookmarkStart w:id="754" w:name="_Toc3739"/>
      <w:bookmarkStart w:id="755" w:name="_Toc14862"/>
      <w:bookmarkStart w:id="756" w:name="_Toc26651"/>
      <w:bookmarkStart w:id="757" w:name="_Toc10894"/>
      <w:bookmarkStart w:id="758" w:name="_Toc26671"/>
      <w:bookmarkStart w:id="759" w:name="_Toc27169"/>
      <w:bookmarkStart w:id="760" w:name="_Toc12478"/>
      <w:bookmarkStart w:id="761" w:name="_Toc14023"/>
      <w:bookmarkStart w:id="762" w:name="_Toc11027"/>
      <w:bookmarkStart w:id="763" w:name="_Toc24978"/>
      <w:bookmarkStart w:id="764" w:name="_Toc27085"/>
      <w:bookmarkStart w:id="765" w:name="_Toc18423"/>
      <w:bookmarkStart w:id="766" w:name="_Toc25044"/>
      <w:bookmarkStart w:id="767" w:name="_Toc73112414"/>
      <w:bookmarkStart w:id="768" w:name="_Toc19986"/>
      <w:bookmarkStart w:id="769" w:name="_Toc12021"/>
      <w:bookmarkStart w:id="770" w:name="_Toc14414"/>
      <w:bookmarkStart w:id="771" w:name="_Toc24415"/>
      <w:bookmarkStart w:id="772" w:name="_Toc28164"/>
      <w:bookmarkStart w:id="773" w:name="_Toc7672"/>
      <w:bookmarkStart w:id="774" w:name="_Toc9059"/>
      <w:bookmarkStart w:id="775" w:name="_Toc24397"/>
      <w:bookmarkStart w:id="776" w:name="_Toc28211"/>
      <w:bookmarkStart w:id="777" w:name="_Toc22680"/>
      <w:bookmarkStart w:id="778" w:name="_Toc1740"/>
      <w:bookmarkStart w:id="779" w:name="_Toc31301"/>
      <w:bookmarkStart w:id="780" w:name="_Toc15153"/>
      <w:bookmarkStart w:id="781" w:name="_Toc32280"/>
      <w:bookmarkStart w:id="782" w:name="_Toc10676"/>
      <w:bookmarkStart w:id="783" w:name="_Toc23255"/>
      <w:bookmarkStart w:id="784" w:name="_Toc13927"/>
      <w:bookmarkStart w:id="785" w:name="_Toc14171"/>
      <w:bookmarkStart w:id="786" w:name="_Toc8515"/>
      <w:bookmarkStart w:id="787" w:name="_Toc25780"/>
      <w:bookmarkStart w:id="788" w:name="_Toc10275"/>
      <w:r>
        <w:rPr>
          <w:rFonts w:hint="eastAsia" w:ascii="仿宋" w:hAnsi="仿宋" w:eastAsia="仿宋" w:cs="仿宋"/>
          <w:b/>
          <w:bCs/>
        </w:rPr>
        <w:t>第四章售中售后服务</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pPr>
        <w:snapToGrid w:val="0"/>
        <w:spacing w:line="360" w:lineRule="auto"/>
        <w:ind w:left="480"/>
        <w:outlineLvl w:val="1"/>
        <w:rPr>
          <w:rFonts w:ascii="仿宋" w:hAnsi="仿宋" w:eastAsia="仿宋" w:cs="仿宋"/>
          <w:b/>
          <w:bCs/>
        </w:rPr>
      </w:pPr>
      <w:bookmarkStart w:id="789" w:name="_Toc16066"/>
      <w:bookmarkStart w:id="790" w:name="_Toc29262"/>
      <w:bookmarkStart w:id="791" w:name="_Toc3697"/>
      <w:bookmarkStart w:id="792" w:name="_Toc9079"/>
      <w:bookmarkStart w:id="793" w:name="_Toc217"/>
      <w:bookmarkStart w:id="794" w:name="_Toc4180"/>
      <w:bookmarkStart w:id="795" w:name="_Toc13551"/>
      <w:bookmarkStart w:id="796" w:name="_Toc13786"/>
      <w:bookmarkStart w:id="797" w:name="_Toc3722"/>
      <w:bookmarkStart w:id="798" w:name="_Toc19735"/>
      <w:bookmarkStart w:id="799" w:name="_Toc8465"/>
      <w:bookmarkStart w:id="800" w:name="_Toc18522"/>
      <w:bookmarkStart w:id="801" w:name="_Toc8910"/>
      <w:bookmarkStart w:id="802" w:name="_Toc9919"/>
      <w:bookmarkStart w:id="803" w:name="_Toc23541"/>
      <w:bookmarkStart w:id="804" w:name="_Toc20772"/>
      <w:bookmarkStart w:id="805" w:name="_Toc24654"/>
      <w:bookmarkStart w:id="806" w:name="_Toc14199"/>
      <w:bookmarkStart w:id="807" w:name="_Toc24344"/>
      <w:bookmarkStart w:id="808" w:name="_Toc10787"/>
      <w:bookmarkStart w:id="809" w:name="_Toc788"/>
      <w:bookmarkStart w:id="810" w:name="_Toc17645"/>
      <w:bookmarkStart w:id="811" w:name="_Toc7723"/>
      <w:bookmarkStart w:id="812" w:name="_Toc7036"/>
      <w:bookmarkStart w:id="813" w:name="_Toc10791"/>
      <w:bookmarkStart w:id="814" w:name="_Toc73112415"/>
      <w:bookmarkStart w:id="815" w:name="_Toc414"/>
      <w:bookmarkStart w:id="816" w:name="_Toc28487"/>
      <w:bookmarkStart w:id="817" w:name="_Toc19576"/>
      <w:bookmarkStart w:id="818" w:name="_Toc29321"/>
      <w:bookmarkStart w:id="819" w:name="_Toc17832"/>
      <w:bookmarkStart w:id="820" w:name="_Toc2564"/>
      <w:bookmarkStart w:id="821" w:name="_Toc344"/>
      <w:bookmarkStart w:id="822" w:name="_Toc23493"/>
      <w:bookmarkStart w:id="823" w:name="_Toc23892"/>
      <w:bookmarkStart w:id="824" w:name="_Toc2661"/>
      <w:bookmarkStart w:id="825" w:name="_Toc20514"/>
      <w:bookmarkStart w:id="826" w:name="_Toc27811"/>
      <w:bookmarkStart w:id="827" w:name="_Toc4952"/>
      <w:bookmarkStart w:id="828" w:name="_Toc12793"/>
      <w:bookmarkStart w:id="829" w:name="_Toc4682"/>
      <w:bookmarkStart w:id="830" w:name="_Toc25505"/>
      <w:r>
        <w:rPr>
          <w:rFonts w:hint="eastAsia" w:ascii="仿宋" w:hAnsi="仿宋" w:eastAsia="仿宋" w:cs="仿宋"/>
          <w:b/>
          <w:bCs/>
        </w:rPr>
        <w:t>1技术及培训服务</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1.1投标方应负责对招标方</w:t>
      </w:r>
      <w:r>
        <w:rPr>
          <w:rFonts w:hint="eastAsia" w:ascii="仿宋" w:hAnsi="仿宋" w:eastAsia="仿宋" w:cs="仿宋"/>
          <w:u w:val="single"/>
          <w:shd w:val="pct10" w:color="auto" w:fill="FFFFFF"/>
        </w:rPr>
        <w:t xml:space="preserve"> 5</w:t>
      </w:r>
      <w:r>
        <w:rPr>
          <w:rFonts w:hint="eastAsia" w:ascii="仿宋" w:hAnsi="仿宋" w:eastAsia="仿宋" w:cs="仿宋"/>
          <w:u w:val="single"/>
        </w:rPr>
        <w:t xml:space="preserve"> </w:t>
      </w:r>
      <w:r>
        <w:rPr>
          <w:rFonts w:hint="eastAsia" w:ascii="仿宋" w:hAnsi="仿宋" w:eastAsia="仿宋" w:cs="仿宋"/>
        </w:rPr>
        <w:t>名工程技术人员、维修人员和操作人员提供不少于</w:t>
      </w:r>
      <w:r>
        <w:rPr>
          <w:rFonts w:hint="eastAsia" w:ascii="仿宋" w:hAnsi="仿宋" w:eastAsia="仿宋" w:cs="仿宋"/>
          <w:u w:val="single"/>
          <w:shd w:val="pct10" w:color="auto" w:fill="FFFFFF"/>
        </w:rPr>
        <w:t xml:space="preserve"> 10</w:t>
      </w:r>
      <w:r>
        <w:rPr>
          <w:rFonts w:hint="eastAsia" w:ascii="仿宋" w:hAnsi="仿宋" w:eastAsia="仿宋" w:cs="仿宋"/>
          <w:u w:val="single"/>
        </w:rPr>
        <w:t xml:space="preserve"> </w:t>
      </w:r>
      <w:r>
        <w:rPr>
          <w:rFonts w:hint="eastAsia" w:ascii="仿宋" w:hAnsi="仿宋" w:eastAsia="仿宋" w:cs="仿宋"/>
        </w:rPr>
        <w:t>个日历日的免费的、生产制造现场的理论、技术和操作、维修、安全等方面的指导和培训，并为招标方受培训人员提供免费的培训地交通、食宿条件。</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1.2投标方应负责在招标方货物（或生产线）使用现场，进行</w:t>
      </w:r>
      <w:r>
        <w:rPr>
          <w:rFonts w:hint="eastAsia" w:ascii="仿宋" w:hAnsi="仿宋" w:eastAsia="仿宋" w:cs="仿宋"/>
          <w:shd w:val="pct10" w:color="auto" w:fill="FFFFFF"/>
        </w:rPr>
        <w:t>2～3</w:t>
      </w:r>
      <w:r>
        <w:rPr>
          <w:rFonts w:hint="eastAsia" w:ascii="仿宋" w:hAnsi="仿宋" w:eastAsia="仿宋" w:cs="仿宋"/>
        </w:rPr>
        <w:t>次免费的技术指导和培训，并接受招标方有关人员的技术咨询。</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1.3投标方应免费提供全套培训资料。所有设备均需要配备产品说明书，包括设备的内部结构、组成及保养、维护、调试等相关内容，便于生产人员及维修人员查阅。</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1.4投标方应按要求，免费积极协助和提供招标方以及招标方所委托的工程设计单位有关人员所需要的、与货物（或生产线）有关的工程设计资料、技术咨询等。</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1.5若投标方提供的货物（或生产线）涉及到外购外协货物、而且该货物的技术质量等较为关键、功能实现或操作较为困难，凡招标方提出需求的，投标方应能得到配套厂家的技术支持，并免费为招标方提供技术服务及培训。</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1.6投标方负责制定对招标方人员在设备安全、操作运行、职业防护、诊断维修、使用保养和试验等方面的培训计划，并有专人负责实施培训计划，负责指导招标方受培训人员正确理解设计和制造意图，认识设备的特点和特性，掌握在运行、维修和使用管理中应遵守的规则等方面的综合知识。</w:t>
      </w:r>
    </w:p>
    <w:p>
      <w:pPr>
        <w:snapToGrid w:val="0"/>
        <w:spacing w:line="360" w:lineRule="auto"/>
        <w:ind w:left="480"/>
        <w:outlineLvl w:val="1"/>
        <w:rPr>
          <w:rFonts w:ascii="仿宋" w:hAnsi="仿宋" w:eastAsia="仿宋" w:cs="仿宋"/>
          <w:b/>
          <w:bCs/>
        </w:rPr>
      </w:pPr>
      <w:bookmarkStart w:id="831" w:name="_Toc11516"/>
      <w:bookmarkStart w:id="832" w:name="_Toc13970"/>
      <w:bookmarkStart w:id="833" w:name="_Toc14504"/>
      <w:bookmarkStart w:id="834" w:name="_Toc16207"/>
      <w:bookmarkStart w:id="835" w:name="_Toc3892"/>
      <w:bookmarkStart w:id="836" w:name="_Toc1176"/>
      <w:bookmarkStart w:id="837" w:name="_Toc21693"/>
      <w:bookmarkStart w:id="838" w:name="_Toc6394"/>
      <w:bookmarkStart w:id="839" w:name="_Toc22693"/>
      <w:bookmarkStart w:id="840" w:name="_Toc25347"/>
      <w:bookmarkStart w:id="841" w:name="_Toc19866"/>
      <w:bookmarkStart w:id="842" w:name="_Toc16867"/>
      <w:bookmarkStart w:id="843" w:name="_Toc11060"/>
      <w:bookmarkStart w:id="844" w:name="_Toc15460"/>
      <w:bookmarkStart w:id="845" w:name="_Toc3042"/>
      <w:bookmarkStart w:id="846" w:name="_Toc29981"/>
      <w:bookmarkStart w:id="847" w:name="_Toc25721"/>
      <w:bookmarkStart w:id="848" w:name="_Toc16493"/>
      <w:bookmarkStart w:id="849" w:name="_Toc29413"/>
      <w:bookmarkStart w:id="850" w:name="_Toc22719"/>
      <w:bookmarkStart w:id="851" w:name="_Toc3976"/>
      <w:bookmarkStart w:id="852" w:name="_Toc9824"/>
      <w:bookmarkStart w:id="853" w:name="_Toc22880"/>
      <w:bookmarkStart w:id="854" w:name="_Toc5703"/>
      <w:bookmarkStart w:id="855" w:name="_Toc15028"/>
      <w:bookmarkStart w:id="856" w:name="_Toc26430"/>
      <w:bookmarkStart w:id="857" w:name="_Toc17849"/>
      <w:bookmarkStart w:id="858" w:name="_Toc19800"/>
      <w:bookmarkStart w:id="859" w:name="_Toc31039"/>
      <w:bookmarkStart w:id="860" w:name="_Toc73112416"/>
      <w:bookmarkStart w:id="861" w:name="_Toc1420"/>
      <w:bookmarkStart w:id="862" w:name="_Toc30271"/>
      <w:bookmarkStart w:id="863" w:name="_Toc13864"/>
      <w:bookmarkStart w:id="864" w:name="_Toc17516"/>
      <w:bookmarkStart w:id="865" w:name="_Toc10782"/>
      <w:bookmarkStart w:id="866" w:name="_Toc26880"/>
      <w:bookmarkStart w:id="867" w:name="_Toc16259"/>
      <w:bookmarkStart w:id="868" w:name="_Toc13235"/>
      <w:bookmarkStart w:id="869" w:name="_Toc17865"/>
      <w:bookmarkStart w:id="870" w:name="_Toc3907"/>
      <w:bookmarkStart w:id="871" w:name="_Toc32690"/>
      <w:r>
        <w:rPr>
          <w:rFonts w:hint="eastAsia" w:ascii="仿宋" w:hAnsi="仿宋" w:eastAsia="仿宋" w:cs="仿宋"/>
          <w:b/>
          <w:bCs/>
        </w:rPr>
        <w:t>2安装调试服务</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pPr>
        <w:pStyle w:val="23"/>
        <w:snapToGrid w:val="0"/>
        <w:spacing w:line="360" w:lineRule="auto"/>
        <w:ind w:firstLine="420" w:firstLineChars="200"/>
        <w:rPr>
          <w:rFonts w:ascii="仿宋" w:hAnsi="仿宋" w:eastAsia="仿宋" w:cs="仿宋"/>
        </w:rPr>
      </w:pPr>
      <w:r>
        <w:rPr>
          <w:rFonts w:hint="eastAsia" w:ascii="仿宋" w:hAnsi="仿宋" w:eastAsia="仿宋" w:cs="仿宋"/>
        </w:rPr>
        <w:t>2.1根据货物（或生产线）的要求，调试可分空载和负载两个阶段进行；招标方将予以积极配合，协助投标方达到货物（或生产线）的各项技术指标和性能要求。</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2.2安装调试与验收期间，若投标方提供的货物（或生产线）涉及到外购外协货物、而且该货物的技术质量等较为关键、功能实现或操作较为困难时，凡招标方提出需求的，投标方应能得到配套厂家的技术支持，并免费为招标方提供安装使用现场的指导与协调。</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2.3投标方提供收费的或免费的、指导安装调试或负责安装调试，至少应在投标文件的报价章节中，予以明确说明。</w:t>
      </w:r>
    </w:p>
    <w:p>
      <w:pPr>
        <w:snapToGrid w:val="0"/>
        <w:spacing w:line="360" w:lineRule="auto"/>
        <w:ind w:left="480"/>
        <w:outlineLvl w:val="1"/>
        <w:rPr>
          <w:rFonts w:ascii="仿宋" w:hAnsi="仿宋" w:eastAsia="仿宋" w:cs="仿宋"/>
          <w:b/>
          <w:bCs/>
        </w:rPr>
      </w:pPr>
      <w:bookmarkStart w:id="872" w:name="_Toc17427"/>
      <w:bookmarkStart w:id="873" w:name="_Toc7783"/>
      <w:bookmarkStart w:id="874" w:name="_Toc16337"/>
      <w:bookmarkStart w:id="875" w:name="_Toc32442"/>
      <w:bookmarkStart w:id="876" w:name="_Toc19674"/>
      <w:bookmarkStart w:id="877" w:name="_Toc30193"/>
      <w:bookmarkStart w:id="878" w:name="_Toc2097"/>
      <w:bookmarkStart w:id="879" w:name="_Toc2657"/>
      <w:bookmarkStart w:id="880" w:name="_Toc7956"/>
      <w:bookmarkStart w:id="881" w:name="_Toc3170"/>
      <w:bookmarkStart w:id="882" w:name="_Toc4751"/>
      <w:bookmarkStart w:id="883" w:name="_Toc9329"/>
      <w:bookmarkStart w:id="884" w:name="_Toc73112417"/>
      <w:bookmarkStart w:id="885" w:name="_Toc8975"/>
      <w:bookmarkStart w:id="886" w:name="_Toc16706"/>
      <w:bookmarkStart w:id="887" w:name="_Toc30398"/>
      <w:bookmarkStart w:id="888" w:name="_Toc1585"/>
      <w:bookmarkStart w:id="889" w:name="_Toc1565"/>
      <w:bookmarkStart w:id="890" w:name="_Toc12739"/>
      <w:bookmarkStart w:id="891" w:name="_Toc16435"/>
      <w:bookmarkStart w:id="892" w:name="_Toc10635"/>
      <w:bookmarkStart w:id="893" w:name="_Toc22871"/>
      <w:bookmarkStart w:id="894" w:name="_Toc16373"/>
      <w:bookmarkStart w:id="895" w:name="_Toc29126"/>
      <w:bookmarkStart w:id="896" w:name="_Toc2510"/>
      <w:bookmarkStart w:id="897" w:name="_Toc218"/>
      <w:bookmarkStart w:id="898" w:name="_Toc29125"/>
      <w:bookmarkStart w:id="899" w:name="_Toc628"/>
      <w:bookmarkStart w:id="900" w:name="_Toc32488"/>
      <w:bookmarkStart w:id="901" w:name="_Toc17284"/>
      <w:bookmarkStart w:id="902" w:name="_Toc25079"/>
      <w:bookmarkStart w:id="903" w:name="_Toc9878"/>
      <w:bookmarkStart w:id="904" w:name="_Toc19810"/>
      <w:bookmarkStart w:id="905" w:name="_Toc29245"/>
      <w:bookmarkStart w:id="906" w:name="_Toc13921"/>
      <w:bookmarkStart w:id="907" w:name="_Toc4076"/>
      <w:bookmarkStart w:id="908" w:name="_Toc24615"/>
      <w:bookmarkStart w:id="909" w:name="_Toc9269"/>
      <w:bookmarkStart w:id="910" w:name="_Toc13443"/>
      <w:bookmarkStart w:id="911" w:name="_Toc11229"/>
      <w:bookmarkStart w:id="912" w:name="_Toc16916"/>
      <w:bookmarkStart w:id="913" w:name="_Toc18269"/>
      <w:r>
        <w:rPr>
          <w:rFonts w:hint="eastAsia" w:ascii="仿宋" w:hAnsi="仿宋" w:eastAsia="仿宋" w:cs="仿宋"/>
          <w:b/>
          <w:bCs/>
        </w:rPr>
        <w:t>3验收服务</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3.1投标方在招标方现场进行的货物（或生产线）的预验收和终验收配合或指导，应当是免费的。</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货物（或生产线）验收时，若投标方提供的货物（或生产线）涉及到外购外协货物、而且该货物的技术质量等较为关键、功能实现或操作较为困难时，凡招标方提出需求的，投标方应能得到配套厂家的技术支持，并免费为招标方提供使用现场验收的配合或指导。</w:t>
      </w:r>
    </w:p>
    <w:p>
      <w:pPr>
        <w:tabs>
          <w:tab w:val="left" w:pos="-1800"/>
          <w:tab w:val="left" w:pos="720"/>
        </w:tabs>
        <w:snapToGrid w:val="0"/>
        <w:spacing w:line="360" w:lineRule="auto"/>
        <w:ind w:firstLine="420" w:firstLineChars="200"/>
        <w:rPr>
          <w:rFonts w:ascii="仿宋" w:hAnsi="仿宋" w:eastAsia="仿宋" w:cs="仿宋"/>
        </w:rPr>
      </w:pPr>
      <w:r>
        <w:rPr>
          <w:rFonts w:hint="eastAsia" w:ascii="仿宋" w:hAnsi="仿宋" w:eastAsia="仿宋" w:cs="仿宋"/>
        </w:rPr>
        <w:t>3.3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pPr>
        <w:snapToGrid w:val="0"/>
        <w:spacing w:line="360" w:lineRule="auto"/>
        <w:ind w:firstLine="420" w:firstLineChars="200"/>
        <w:rPr>
          <w:rFonts w:ascii="仿宋" w:hAnsi="仿宋" w:eastAsia="仿宋" w:cs="仿宋"/>
        </w:rPr>
      </w:pPr>
      <w:r>
        <w:rPr>
          <w:rFonts w:hint="eastAsia" w:ascii="仿宋" w:hAnsi="仿宋" w:eastAsia="仿宋" w:cs="仿宋"/>
        </w:rPr>
        <w:t>3.4合格验收时，投标方提供测量功能设备及计量器具资质合格证书，招标方根据实际情况进行相关复检，复检合格视为合格。</w:t>
      </w:r>
    </w:p>
    <w:p>
      <w:pPr>
        <w:snapToGrid w:val="0"/>
        <w:spacing w:line="360" w:lineRule="auto"/>
        <w:ind w:left="480"/>
        <w:outlineLvl w:val="1"/>
        <w:rPr>
          <w:rFonts w:ascii="仿宋" w:hAnsi="仿宋" w:eastAsia="仿宋" w:cs="仿宋"/>
          <w:b/>
          <w:bCs/>
        </w:rPr>
      </w:pPr>
      <w:bookmarkStart w:id="914" w:name="_Toc19397"/>
      <w:bookmarkStart w:id="915" w:name="_Toc20717"/>
      <w:bookmarkStart w:id="916" w:name="_Toc20081"/>
      <w:bookmarkStart w:id="917" w:name="_Toc32682"/>
      <w:bookmarkStart w:id="918" w:name="_Toc26554"/>
      <w:bookmarkStart w:id="919" w:name="_Toc29778"/>
      <w:bookmarkStart w:id="920" w:name="_Toc18968"/>
      <w:bookmarkStart w:id="921" w:name="_Toc19441"/>
      <w:bookmarkStart w:id="922" w:name="_Toc20426"/>
      <w:bookmarkStart w:id="923" w:name="_Toc11699"/>
      <w:bookmarkStart w:id="924" w:name="_Toc20916"/>
      <w:bookmarkStart w:id="925" w:name="_Toc542"/>
      <w:bookmarkStart w:id="926" w:name="_Toc1311"/>
      <w:bookmarkStart w:id="927" w:name="_Toc9592"/>
      <w:bookmarkStart w:id="928" w:name="_Toc10808"/>
      <w:bookmarkStart w:id="929" w:name="_Toc1454"/>
      <w:bookmarkStart w:id="930" w:name="_Toc29633"/>
      <w:bookmarkStart w:id="931" w:name="_Toc10014"/>
      <w:bookmarkStart w:id="932" w:name="_Toc21987"/>
      <w:bookmarkStart w:id="933" w:name="_Toc18836"/>
      <w:bookmarkStart w:id="934" w:name="_Toc17056"/>
      <w:bookmarkStart w:id="935" w:name="_Toc1199"/>
      <w:bookmarkStart w:id="936" w:name="_Toc73112418"/>
      <w:bookmarkStart w:id="937" w:name="_Toc14739"/>
      <w:bookmarkStart w:id="938" w:name="_Toc32079"/>
      <w:bookmarkStart w:id="939" w:name="_Toc6232"/>
      <w:bookmarkStart w:id="940" w:name="_Toc27224"/>
      <w:bookmarkStart w:id="941" w:name="_Toc4417"/>
      <w:bookmarkStart w:id="942" w:name="_Toc29300"/>
      <w:bookmarkStart w:id="943" w:name="_Toc26773"/>
      <w:bookmarkStart w:id="944" w:name="_Toc28635"/>
      <w:bookmarkStart w:id="945" w:name="_Toc22965"/>
      <w:bookmarkStart w:id="946" w:name="_Toc17895"/>
      <w:bookmarkStart w:id="947" w:name="_Toc7782"/>
      <w:bookmarkStart w:id="948" w:name="_Toc2093"/>
      <w:bookmarkStart w:id="949" w:name="_Toc11213"/>
      <w:bookmarkStart w:id="950" w:name="_Toc7478"/>
      <w:bookmarkStart w:id="951" w:name="_Toc30412"/>
      <w:bookmarkStart w:id="952" w:name="_Toc8078"/>
      <w:bookmarkStart w:id="953" w:name="_Toc22392"/>
      <w:bookmarkStart w:id="954" w:name="_Toc6099"/>
      <w:bookmarkStart w:id="955" w:name="_Toc3798"/>
      <w:r>
        <w:rPr>
          <w:rFonts w:hint="eastAsia" w:ascii="仿宋" w:hAnsi="仿宋" w:eastAsia="仿宋" w:cs="仿宋"/>
          <w:b/>
          <w:bCs/>
        </w:rPr>
        <w:t>4售后服务</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4.1所有的售后服务均由投标方受理。如果发生问题并且收到报告，投标方应当在2小时内予以答复。</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4.2如发现所提供的货物（或生产线）存在问题，需要投标方解决或配合解决时：在质保期之内，应在接到通知后</w:t>
      </w:r>
      <w:r>
        <w:rPr>
          <w:rFonts w:hint="eastAsia" w:ascii="仿宋" w:hAnsi="仿宋" w:eastAsia="仿宋" w:cs="仿宋"/>
          <w:u w:val="single"/>
          <w:shd w:val="pct10" w:color="auto" w:fill="FFFFFF"/>
        </w:rPr>
        <w:t>24</w:t>
      </w:r>
      <w:r>
        <w:rPr>
          <w:rFonts w:hint="eastAsia" w:ascii="仿宋" w:hAnsi="仿宋" w:eastAsia="仿宋" w:cs="仿宋"/>
          <w:u w:val="single"/>
        </w:rPr>
        <w:t xml:space="preserve"> </w:t>
      </w:r>
      <w:r>
        <w:rPr>
          <w:rFonts w:hint="eastAsia" w:ascii="仿宋" w:hAnsi="仿宋" w:eastAsia="仿宋" w:cs="仿宋"/>
        </w:rPr>
        <w:t>小时内派有关人员到达现场；在质保期之外，应在接到通知后</w:t>
      </w:r>
      <w:r>
        <w:rPr>
          <w:rFonts w:hint="eastAsia" w:ascii="仿宋" w:hAnsi="仿宋" w:eastAsia="仿宋" w:cs="仿宋"/>
          <w:u w:val="single"/>
          <w:shd w:val="pct10" w:color="auto" w:fill="FFFFFF"/>
        </w:rPr>
        <w:t>48</w:t>
      </w:r>
      <w:r>
        <w:rPr>
          <w:rFonts w:hint="eastAsia" w:ascii="仿宋" w:hAnsi="仿宋" w:eastAsia="仿宋" w:cs="仿宋"/>
          <w:u w:val="single"/>
        </w:rPr>
        <w:t xml:space="preserve"> </w:t>
      </w:r>
      <w:r>
        <w:rPr>
          <w:rFonts w:hint="eastAsia" w:ascii="仿宋" w:hAnsi="仿宋" w:eastAsia="仿宋" w:cs="仿宋"/>
        </w:rPr>
        <w:t>小时内派有关人员到达现场。</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4.3投标方派往招标方使用现场的人员，应具有较高的业务素质；现场解决问题时，不得无故拖延或推迟，应为招标方提供最佳的服务。</w:t>
      </w:r>
    </w:p>
    <w:p>
      <w:pPr>
        <w:adjustRightInd w:val="0"/>
        <w:snapToGrid w:val="0"/>
        <w:spacing w:line="360" w:lineRule="auto"/>
        <w:ind w:firstLine="420" w:firstLineChars="200"/>
        <w:rPr>
          <w:rFonts w:eastAsia="仿宋"/>
        </w:rPr>
      </w:pPr>
      <w:r>
        <w:rPr>
          <w:rFonts w:hint="eastAsia" w:ascii="仿宋" w:hAnsi="仿宋" w:eastAsia="仿宋" w:cs="仿宋"/>
        </w:rPr>
        <w:t>4.4设备（或生产线）在使用周期内，投标方免费派遣技术人员与甲方调试团队共同进行设备通讯接口的调试工作。</w:t>
      </w:r>
    </w:p>
    <w:p>
      <w:pPr>
        <w:snapToGrid w:val="0"/>
        <w:spacing w:line="360" w:lineRule="auto"/>
        <w:ind w:left="480"/>
        <w:outlineLvl w:val="1"/>
        <w:rPr>
          <w:rFonts w:ascii="仿宋" w:hAnsi="仿宋" w:eastAsia="仿宋" w:cs="仿宋"/>
          <w:b/>
          <w:bCs/>
        </w:rPr>
      </w:pPr>
      <w:bookmarkStart w:id="956" w:name="_Toc17891"/>
      <w:bookmarkStart w:id="957" w:name="_Toc10752"/>
      <w:bookmarkStart w:id="958" w:name="_Toc20936"/>
      <w:bookmarkStart w:id="959" w:name="_Toc115"/>
      <w:bookmarkStart w:id="960" w:name="_Toc7130"/>
      <w:bookmarkStart w:id="961" w:name="_Toc32366"/>
      <w:bookmarkStart w:id="962" w:name="_Toc27733"/>
      <w:bookmarkStart w:id="963" w:name="_Toc1573"/>
      <w:bookmarkStart w:id="964" w:name="_Toc26976"/>
      <w:bookmarkStart w:id="965" w:name="_Toc6107"/>
      <w:bookmarkStart w:id="966" w:name="_Toc20327"/>
      <w:bookmarkStart w:id="967" w:name="_Toc19301"/>
      <w:bookmarkStart w:id="968" w:name="_Toc30999"/>
      <w:bookmarkStart w:id="969" w:name="_Toc16849"/>
      <w:bookmarkStart w:id="970" w:name="_Toc913"/>
      <w:bookmarkStart w:id="971" w:name="_Toc6354"/>
      <w:bookmarkStart w:id="972" w:name="_Toc28927"/>
      <w:bookmarkStart w:id="973" w:name="_Toc4793"/>
      <w:bookmarkStart w:id="974" w:name="_Toc27505"/>
      <w:bookmarkStart w:id="975" w:name="_Toc73112419"/>
      <w:bookmarkStart w:id="976" w:name="_Toc25693"/>
      <w:bookmarkStart w:id="977" w:name="_Toc13974"/>
      <w:bookmarkStart w:id="978" w:name="_Toc22593"/>
      <w:bookmarkStart w:id="979" w:name="_Toc12294"/>
      <w:bookmarkStart w:id="980" w:name="_Toc31498"/>
      <w:bookmarkStart w:id="981" w:name="_Toc21895"/>
      <w:bookmarkStart w:id="982" w:name="_Toc25242"/>
      <w:bookmarkStart w:id="983" w:name="_Toc27285"/>
      <w:bookmarkStart w:id="984" w:name="_Toc25994"/>
      <w:bookmarkStart w:id="985" w:name="_Toc18148"/>
      <w:bookmarkStart w:id="986" w:name="_Toc26287"/>
      <w:bookmarkStart w:id="987" w:name="_Toc6730"/>
      <w:bookmarkStart w:id="988" w:name="_Toc9982"/>
      <w:bookmarkStart w:id="989" w:name="_Toc1118"/>
      <w:bookmarkStart w:id="990" w:name="_Toc30887"/>
      <w:bookmarkStart w:id="991" w:name="_Toc26623"/>
      <w:bookmarkStart w:id="992" w:name="_Toc32502"/>
      <w:bookmarkStart w:id="993" w:name="_Toc14349"/>
      <w:bookmarkStart w:id="994" w:name="_Toc6984"/>
      <w:bookmarkStart w:id="995" w:name="_Toc3819"/>
      <w:bookmarkStart w:id="996" w:name="_Toc22732"/>
      <w:bookmarkStart w:id="997" w:name="_Toc9688"/>
      <w:r>
        <w:rPr>
          <w:rFonts w:hint="eastAsia" w:ascii="仿宋" w:hAnsi="仿宋" w:eastAsia="仿宋" w:cs="仿宋"/>
          <w:b/>
          <w:bCs/>
        </w:rPr>
        <w:t>5其它服务</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5.1若投标方所提供货物（或生产线）有需要进口的，投标方一般应自行、自费办理；必要时，招标方和投标方共同办理。</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5.2除招标文件、投标文件、答疑文件、技术协议、合同等约定之外，投标方应免费负责必要的或强制性的货物（或生产线）的检验、试验、化验等直接费用。</w:t>
      </w:r>
      <w:bookmarkStart w:id="998" w:name="_Toc133783974"/>
    </w:p>
    <w:p>
      <w:pPr>
        <w:adjustRightInd w:val="0"/>
        <w:snapToGrid w:val="0"/>
        <w:spacing w:before="163" w:beforeLines="50" w:after="163" w:afterLines="50" w:line="360" w:lineRule="auto"/>
        <w:jc w:val="center"/>
        <w:outlineLvl w:val="0"/>
        <w:rPr>
          <w:rFonts w:ascii="仿宋" w:hAnsi="仿宋" w:eastAsia="仿宋" w:cs="仿宋"/>
          <w:b/>
          <w:bCs/>
        </w:rPr>
      </w:pPr>
      <w:bookmarkStart w:id="999" w:name="_Toc12454"/>
      <w:bookmarkStart w:id="1000" w:name="_Toc10438"/>
      <w:bookmarkStart w:id="1001" w:name="_Toc30293"/>
      <w:bookmarkStart w:id="1002" w:name="_Toc32409"/>
      <w:bookmarkStart w:id="1003" w:name="_Toc4011"/>
      <w:bookmarkStart w:id="1004" w:name="_Toc32483"/>
      <w:bookmarkStart w:id="1005" w:name="_Toc15356"/>
      <w:bookmarkStart w:id="1006" w:name="_Toc29269"/>
      <w:bookmarkStart w:id="1007" w:name="_Toc5013"/>
      <w:bookmarkStart w:id="1008" w:name="_Toc10873"/>
      <w:bookmarkStart w:id="1009" w:name="_Toc11150"/>
      <w:bookmarkStart w:id="1010" w:name="_Toc73112420"/>
      <w:bookmarkStart w:id="1011" w:name="_Toc26489"/>
      <w:bookmarkStart w:id="1012" w:name="_Toc18030"/>
      <w:bookmarkStart w:id="1013" w:name="_Toc8547"/>
      <w:bookmarkStart w:id="1014" w:name="_Toc10492"/>
      <w:bookmarkStart w:id="1015" w:name="_Toc24752"/>
      <w:bookmarkStart w:id="1016" w:name="_Toc25825"/>
      <w:bookmarkStart w:id="1017" w:name="_Toc25057"/>
      <w:bookmarkStart w:id="1018" w:name="_Toc5996"/>
      <w:bookmarkStart w:id="1019" w:name="_Toc12013"/>
      <w:bookmarkStart w:id="1020" w:name="_Toc19942"/>
      <w:bookmarkStart w:id="1021" w:name="_Toc2140"/>
      <w:bookmarkStart w:id="1022" w:name="_Toc23730"/>
      <w:bookmarkStart w:id="1023" w:name="_Toc13250"/>
      <w:bookmarkStart w:id="1024" w:name="_Toc9121"/>
      <w:bookmarkStart w:id="1025" w:name="_Toc22725"/>
      <w:bookmarkStart w:id="1026" w:name="_Toc19017"/>
      <w:bookmarkStart w:id="1027" w:name="_Toc29777"/>
      <w:bookmarkStart w:id="1028" w:name="_Toc8076"/>
      <w:bookmarkStart w:id="1029" w:name="_Toc27484"/>
      <w:bookmarkStart w:id="1030" w:name="_Toc9482"/>
      <w:bookmarkStart w:id="1031" w:name="_Toc7461"/>
      <w:bookmarkStart w:id="1032" w:name="_Toc14411"/>
      <w:bookmarkStart w:id="1033" w:name="_Toc18621"/>
      <w:bookmarkStart w:id="1034" w:name="_Toc21122"/>
      <w:bookmarkStart w:id="1035" w:name="_Toc19208"/>
      <w:bookmarkStart w:id="1036" w:name="_Toc9498"/>
      <w:bookmarkStart w:id="1037" w:name="_Toc2800"/>
      <w:bookmarkStart w:id="1038" w:name="_Toc13895"/>
      <w:bookmarkStart w:id="1039" w:name="_Toc6228"/>
      <w:bookmarkStart w:id="1040" w:name="_Toc16355"/>
      <w:bookmarkStart w:id="1041" w:name="_Toc16312"/>
      <w:r>
        <w:rPr>
          <w:rFonts w:hint="eastAsia" w:ascii="仿宋" w:hAnsi="仿宋" w:eastAsia="仿宋" w:cs="仿宋"/>
          <w:b/>
          <w:bCs/>
        </w:rPr>
        <w:t>第五章预验收和终验收</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pPr>
        <w:snapToGrid w:val="0"/>
        <w:spacing w:line="360" w:lineRule="auto"/>
        <w:ind w:left="482"/>
        <w:outlineLvl w:val="1"/>
        <w:rPr>
          <w:rFonts w:ascii="仿宋" w:hAnsi="仿宋" w:eastAsia="仿宋" w:cs="仿宋"/>
          <w:b/>
          <w:bCs/>
        </w:rPr>
      </w:pPr>
      <w:bookmarkStart w:id="1042" w:name="_Toc9902"/>
      <w:bookmarkStart w:id="1043" w:name="_Toc14541"/>
      <w:bookmarkStart w:id="1044" w:name="_Toc12676"/>
      <w:bookmarkStart w:id="1045" w:name="_Toc21557"/>
      <w:bookmarkStart w:id="1046" w:name="_Toc22140"/>
      <w:bookmarkStart w:id="1047" w:name="_Toc15025"/>
      <w:bookmarkStart w:id="1048" w:name="_Toc24517"/>
      <w:bookmarkStart w:id="1049" w:name="_Toc29287"/>
      <w:bookmarkStart w:id="1050" w:name="_Toc22981"/>
      <w:bookmarkStart w:id="1051" w:name="_Toc25574"/>
      <w:bookmarkStart w:id="1052" w:name="_Toc7184"/>
      <w:bookmarkStart w:id="1053" w:name="_Toc27225"/>
      <w:bookmarkStart w:id="1054" w:name="_Toc29608"/>
      <w:bookmarkStart w:id="1055" w:name="_Toc73112421"/>
      <w:bookmarkStart w:id="1056" w:name="_Toc2326"/>
      <w:bookmarkStart w:id="1057" w:name="_Toc6924"/>
      <w:bookmarkStart w:id="1058" w:name="_Toc4070"/>
      <w:bookmarkStart w:id="1059" w:name="_Toc17620"/>
      <w:bookmarkStart w:id="1060" w:name="_Toc3676"/>
      <w:bookmarkStart w:id="1061" w:name="_Toc31478"/>
      <w:bookmarkStart w:id="1062" w:name="_Toc242"/>
      <w:bookmarkStart w:id="1063" w:name="_Toc10033"/>
      <w:bookmarkStart w:id="1064" w:name="_Toc7191"/>
      <w:bookmarkStart w:id="1065" w:name="_Toc12239"/>
      <w:bookmarkStart w:id="1066" w:name="_Toc27951"/>
      <w:bookmarkStart w:id="1067" w:name="_Toc13718"/>
      <w:bookmarkStart w:id="1068" w:name="_Toc29964"/>
      <w:bookmarkStart w:id="1069" w:name="_Toc7463"/>
      <w:bookmarkStart w:id="1070" w:name="_Toc29611"/>
      <w:bookmarkStart w:id="1071" w:name="_Toc11331"/>
      <w:bookmarkStart w:id="1072" w:name="_Toc21206"/>
      <w:bookmarkStart w:id="1073" w:name="_Toc22207"/>
      <w:bookmarkStart w:id="1074" w:name="_Toc27448"/>
      <w:bookmarkStart w:id="1075" w:name="_Toc6378"/>
      <w:bookmarkStart w:id="1076" w:name="_Toc24809"/>
      <w:bookmarkStart w:id="1077" w:name="_Toc23191"/>
      <w:bookmarkStart w:id="1078" w:name="_Toc28506"/>
      <w:bookmarkStart w:id="1079" w:name="_Toc14965"/>
      <w:bookmarkStart w:id="1080" w:name="_Toc23231"/>
      <w:bookmarkStart w:id="1081" w:name="_Toc1286"/>
      <w:bookmarkStart w:id="1082" w:name="_Toc28073"/>
      <w:bookmarkStart w:id="1083" w:name="_Toc5401"/>
      <w:r>
        <w:rPr>
          <w:rFonts w:hint="eastAsia" w:ascii="仿宋" w:hAnsi="仿宋" w:eastAsia="仿宋" w:cs="仿宋"/>
          <w:b/>
          <w:bCs/>
        </w:rPr>
        <w:t>1验收的一般约定</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1.1验收标准一般以技术协议书和合同规定验收。</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1.2如果验收过程中，发现招标文件、投标文件、答疑文件、技术交流文件等与技术协议书、合同存在差异，原则上以涉及条款中对买方最有利条款为验收依据。</w:t>
      </w:r>
    </w:p>
    <w:p>
      <w:pPr>
        <w:snapToGrid w:val="0"/>
        <w:spacing w:line="360" w:lineRule="auto"/>
        <w:ind w:left="482"/>
        <w:outlineLvl w:val="1"/>
        <w:rPr>
          <w:rFonts w:ascii="仿宋" w:hAnsi="仿宋" w:eastAsia="仿宋" w:cs="仿宋"/>
          <w:b/>
          <w:bCs/>
        </w:rPr>
      </w:pPr>
      <w:bookmarkStart w:id="1084" w:name="_Toc19505"/>
      <w:bookmarkStart w:id="1085" w:name="_Toc21568"/>
      <w:bookmarkStart w:id="1086" w:name="_Toc22158"/>
      <w:bookmarkStart w:id="1087" w:name="_Toc7457"/>
      <w:bookmarkStart w:id="1088" w:name="_Toc2310"/>
      <w:bookmarkStart w:id="1089" w:name="_Toc8338"/>
      <w:bookmarkStart w:id="1090" w:name="_Toc11248"/>
      <w:bookmarkStart w:id="1091" w:name="_Toc15379"/>
      <w:bookmarkStart w:id="1092" w:name="_Toc18517"/>
      <w:bookmarkStart w:id="1093" w:name="_Toc8916"/>
      <w:bookmarkStart w:id="1094" w:name="_Toc513"/>
      <w:bookmarkStart w:id="1095" w:name="_Toc7863"/>
      <w:bookmarkStart w:id="1096" w:name="_Toc27120"/>
      <w:bookmarkStart w:id="1097" w:name="_Toc29669"/>
      <w:bookmarkStart w:id="1098" w:name="_Toc9729"/>
      <w:bookmarkStart w:id="1099" w:name="_Toc21722"/>
      <w:bookmarkStart w:id="1100" w:name="_Toc6471"/>
      <w:bookmarkStart w:id="1101" w:name="_Toc8742"/>
      <w:bookmarkStart w:id="1102" w:name="_Toc8093"/>
      <w:bookmarkStart w:id="1103" w:name="_Toc73112422"/>
      <w:bookmarkStart w:id="1104" w:name="_Toc27467"/>
      <w:bookmarkStart w:id="1105" w:name="_Toc31116"/>
      <w:bookmarkStart w:id="1106" w:name="_Toc28873"/>
      <w:bookmarkStart w:id="1107" w:name="_Toc17720"/>
      <w:bookmarkStart w:id="1108" w:name="_Toc13173"/>
      <w:bookmarkStart w:id="1109" w:name="_Toc1155"/>
      <w:bookmarkStart w:id="1110" w:name="_Toc11335"/>
      <w:bookmarkStart w:id="1111" w:name="_Toc25951"/>
      <w:bookmarkStart w:id="1112" w:name="_Toc23133"/>
      <w:bookmarkStart w:id="1113" w:name="_Toc16943"/>
      <w:bookmarkStart w:id="1114" w:name="_Toc22558"/>
      <w:bookmarkStart w:id="1115" w:name="_Toc21414"/>
      <w:bookmarkStart w:id="1116" w:name="_Toc28925"/>
      <w:bookmarkStart w:id="1117" w:name="_Toc32581"/>
      <w:bookmarkStart w:id="1118" w:name="_Toc10200"/>
      <w:bookmarkStart w:id="1119" w:name="_Toc30274"/>
      <w:bookmarkStart w:id="1120" w:name="_Toc6206"/>
      <w:bookmarkStart w:id="1121" w:name="_Toc13736"/>
      <w:bookmarkStart w:id="1122" w:name="_Toc20876"/>
      <w:bookmarkStart w:id="1123" w:name="_Toc23919"/>
      <w:bookmarkStart w:id="1124" w:name="_Toc17335"/>
      <w:bookmarkStart w:id="1125" w:name="_Toc10568"/>
      <w:r>
        <w:rPr>
          <w:rFonts w:hint="eastAsia" w:ascii="仿宋" w:hAnsi="仿宋" w:eastAsia="仿宋" w:cs="仿宋"/>
          <w:b/>
          <w:bCs/>
        </w:rPr>
        <w:t>2检验</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2.1国产货物（或生产线）的检验由卖买双方按照合同要求或在制造现场进行。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2.2进口货物（或生产线）的检验按照下述要求进行：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2.1.1进口货物（或生产线）发货前，卖方应对货物（或生产线）的质量、型号、规格、性能和数量/重量作精密、全面的检验，并出具证明书，证明所供货物（或生产线）符合合同规定。</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2.1.2卖方应依据合同规定的要求，提供买卖双方达成一致的货物（或生产线）的验收标准和装箱单，作为买方检验的依据。</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2.1.3进口货物（或生产线）到达目的地后，买方有权申请中国商品检验检疫局进行检验，如发现货物（或生产线）的品质及规格与合同或发票不符，除买方的责任外，买方有权在货物（或生产线）到达卸货目的地后</w:t>
      </w:r>
      <w:r>
        <w:rPr>
          <w:rFonts w:hint="eastAsia" w:ascii="仿宋" w:hAnsi="仿宋" w:eastAsia="仿宋" w:cs="仿宋"/>
          <w:shd w:val="pct10" w:color="auto" w:fill="FFFFFF"/>
        </w:rPr>
        <w:t>180</w:t>
      </w:r>
      <w:r>
        <w:rPr>
          <w:rFonts w:hint="eastAsia" w:ascii="仿宋" w:hAnsi="仿宋" w:eastAsia="仿宋" w:cs="仿宋"/>
        </w:rPr>
        <w:t>个日历日内，根据中国商品检验检疫局出具的证明书向卖方提出索赔，因索赔所发生的一切费用(包括检验检疫费等)均由卖方承担。</w:t>
      </w:r>
    </w:p>
    <w:p>
      <w:pPr>
        <w:snapToGrid w:val="0"/>
        <w:spacing w:line="360" w:lineRule="auto"/>
        <w:ind w:left="482"/>
        <w:outlineLvl w:val="1"/>
        <w:rPr>
          <w:rFonts w:ascii="仿宋" w:hAnsi="仿宋" w:eastAsia="仿宋" w:cs="仿宋"/>
          <w:b/>
          <w:bCs/>
        </w:rPr>
      </w:pPr>
      <w:bookmarkStart w:id="1126" w:name="_Toc1969"/>
      <w:bookmarkStart w:id="1127" w:name="_Toc14904"/>
      <w:bookmarkStart w:id="1128" w:name="_Toc14587"/>
      <w:bookmarkStart w:id="1129" w:name="_Toc21757"/>
      <w:bookmarkStart w:id="1130" w:name="_Toc27145"/>
      <w:bookmarkStart w:id="1131" w:name="_Toc5604"/>
      <w:bookmarkStart w:id="1132" w:name="_Toc8214"/>
      <w:bookmarkStart w:id="1133" w:name="_Toc27310"/>
      <w:bookmarkStart w:id="1134" w:name="_Toc31780"/>
      <w:bookmarkStart w:id="1135" w:name="_Toc6506"/>
      <w:bookmarkStart w:id="1136" w:name="_Toc23252"/>
      <w:bookmarkStart w:id="1137" w:name="_Toc14993"/>
      <w:bookmarkStart w:id="1138" w:name="_Toc8664"/>
      <w:bookmarkStart w:id="1139" w:name="_Toc5653"/>
      <w:bookmarkStart w:id="1140" w:name="_Toc16878"/>
      <w:bookmarkStart w:id="1141" w:name="_Toc27538"/>
      <w:bookmarkStart w:id="1142" w:name="_Toc1461"/>
      <w:bookmarkStart w:id="1143" w:name="_Toc28225"/>
      <w:bookmarkStart w:id="1144" w:name="_Toc1041"/>
      <w:bookmarkStart w:id="1145" w:name="_Toc16665"/>
      <w:bookmarkStart w:id="1146" w:name="_Toc228"/>
      <w:bookmarkStart w:id="1147" w:name="_Toc21487"/>
      <w:bookmarkStart w:id="1148" w:name="_Toc15488"/>
      <w:bookmarkStart w:id="1149" w:name="_Toc8477"/>
      <w:bookmarkStart w:id="1150" w:name="_Toc23250"/>
      <w:bookmarkStart w:id="1151" w:name="_Toc14844"/>
      <w:bookmarkStart w:id="1152" w:name="_Toc17499"/>
      <w:bookmarkStart w:id="1153" w:name="_Toc11780"/>
      <w:bookmarkStart w:id="1154" w:name="_Toc10879"/>
      <w:bookmarkStart w:id="1155" w:name="_Toc18036"/>
      <w:bookmarkStart w:id="1156" w:name="_Toc32111"/>
      <w:bookmarkStart w:id="1157" w:name="_Toc18595"/>
      <w:bookmarkStart w:id="1158" w:name="_Toc30797"/>
      <w:bookmarkStart w:id="1159" w:name="_Toc27594"/>
      <w:bookmarkStart w:id="1160" w:name="_Toc11846"/>
      <w:bookmarkStart w:id="1161" w:name="_Toc25654"/>
      <w:bookmarkStart w:id="1162" w:name="_Toc73112423"/>
      <w:bookmarkStart w:id="1163" w:name="_Toc8128"/>
      <w:bookmarkStart w:id="1164" w:name="_Toc22379"/>
      <w:bookmarkStart w:id="1165" w:name="_Toc29497"/>
      <w:bookmarkStart w:id="1166" w:name="_Toc19311"/>
      <w:bookmarkStart w:id="1167" w:name="_Toc27629"/>
      <w:r>
        <w:rPr>
          <w:rFonts w:hint="eastAsia" w:ascii="仿宋" w:hAnsi="仿宋" w:eastAsia="仿宋" w:cs="仿宋"/>
          <w:b/>
          <w:bCs/>
        </w:rPr>
        <w:t>3验收条件</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买卖双方按照合同约定执行了合同，同时货物（或生产线）完成了试运行并经检验合格，则具备验收条件。</w:t>
      </w:r>
    </w:p>
    <w:p>
      <w:pPr>
        <w:adjustRightInd w:val="0"/>
        <w:snapToGrid w:val="0"/>
        <w:spacing w:line="360" w:lineRule="auto"/>
        <w:ind w:firstLine="420" w:firstLineChars="200"/>
        <w:rPr>
          <w:rFonts w:ascii="仿宋" w:hAnsi="仿宋" w:eastAsia="仿宋" w:cs="仿宋"/>
        </w:rPr>
      </w:pPr>
      <w:bookmarkStart w:id="1168" w:name="_Toc18963"/>
      <w:bookmarkStart w:id="1169" w:name="_Toc4741"/>
      <w:bookmarkStart w:id="1170" w:name="_Toc11234"/>
      <w:bookmarkStart w:id="1171" w:name="_Toc7303"/>
      <w:bookmarkStart w:id="1172" w:name="_Toc25547"/>
      <w:bookmarkStart w:id="1173" w:name="_Toc3034"/>
      <w:bookmarkStart w:id="1174" w:name="_Toc16974"/>
      <w:bookmarkStart w:id="1175" w:name="_Toc23170"/>
      <w:bookmarkStart w:id="1176" w:name="_Toc10052"/>
      <w:bookmarkStart w:id="1177" w:name="_Toc11902"/>
      <w:bookmarkStart w:id="1178" w:name="_Toc31328"/>
      <w:bookmarkStart w:id="1179" w:name="_Toc20504"/>
      <w:bookmarkStart w:id="1180" w:name="_Toc24921"/>
      <w:bookmarkStart w:id="1181" w:name="_Toc4157"/>
      <w:bookmarkStart w:id="1182" w:name="_Toc18487"/>
      <w:bookmarkStart w:id="1183" w:name="_Toc1849"/>
      <w:bookmarkStart w:id="1184" w:name="_Toc16622"/>
      <w:bookmarkStart w:id="1185" w:name="_Toc20087"/>
      <w:bookmarkStart w:id="1186" w:name="_Toc5952"/>
      <w:bookmarkStart w:id="1187" w:name="_Toc362"/>
      <w:bookmarkStart w:id="1188" w:name="_Toc6731"/>
      <w:bookmarkStart w:id="1189" w:name="_Toc22247"/>
      <w:bookmarkStart w:id="1190" w:name="_Toc771"/>
      <w:bookmarkStart w:id="1191" w:name="_Toc6977"/>
      <w:bookmarkStart w:id="1192" w:name="_Toc27856"/>
      <w:bookmarkStart w:id="1193" w:name="_Toc27848"/>
      <w:bookmarkStart w:id="1194" w:name="_Toc10586"/>
      <w:bookmarkStart w:id="1195" w:name="_Toc24814"/>
      <w:bookmarkStart w:id="1196" w:name="_Toc21811"/>
      <w:bookmarkStart w:id="1197" w:name="_Toc23548"/>
      <w:bookmarkStart w:id="1198" w:name="_Toc31639"/>
      <w:bookmarkStart w:id="1199" w:name="_Toc5473"/>
      <w:bookmarkStart w:id="1200" w:name="_Toc10389"/>
      <w:bookmarkStart w:id="1201" w:name="_Toc32498"/>
      <w:bookmarkStart w:id="1202" w:name="_Toc17709"/>
      <w:bookmarkStart w:id="1203" w:name="_Toc11412"/>
      <w:bookmarkStart w:id="1204" w:name="_Toc18903"/>
      <w:bookmarkStart w:id="1205" w:name="_Toc9015"/>
      <w:bookmarkStart w:id="1206" w:name="_Toc24377"/>
      <w:bookmarkStart w:id="1207" w:name="_Toc30563"/>
      <w:bookmarkStart w:id="1208" w:name="_Toc19344"/>
      <w:r>
        <w:rPr>
          <w:rFonts w:hint="eastAsia" w:ascii="仿宋" w:hAnsi="仿宋" w:eastAsia="仿宋" w:cs="仿宋"/>
        </w:rPr>
        <w:t>3.1预验收一般条件</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3.1.1卖方已经按照“供货范围”要求提供了预验收资料，并且资料齐全、完整和有效。</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3.1.2货物（或生产线）应运行稳定、可靠、安全，无非正常变形，非正常振动，无异常声音；无漏水、漏液、漏气（汽）、漏电等现象。运动的零部件（如链条、联轴器、离合器、主轴、工作台等）动作平稳、灵活运动准确。</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3.1.3货物（或生产线）应完整且所有的零部件应该安装安全、牢固，外观无损伤，所有的焊缝饱满、无残渣等缺陷。</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3.1.4一般情况下，所有的管路和线缆等，接头应完全正确、可靠地联接；应排列有序（正确、牢固、整齐），有必要的防护，无皱褶、收缩和裂缝等不良现象。</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3.1.5货物（或生产线）的润滑系统工作正常、可靠，润滑点易于到达。</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3.1.6使用的压力容器、电气等应具备合格证（如果有压力容器），</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3.1.7货物（或生产线）的油漆质量应饱满、有光泽，无掉漆、无色差、无“桔皮”等不良现象（特殊标志除外）。</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3.1.8货物（或生产线）标牌完整、清晰、明确。</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3.1.9地线联接和地极符合国际（ISO/IEC）标准规范。</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3.1.10货物（或生产线）的安全要求符合中国最新的相关法律、法规、标准和规范以及合同要求。</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3.1.11预验收试件的发放：试件品种及数量由技术协议约定，试件由招标方发到中标方所产生的一切费用（或损失）由中标方承担。</w:t>
      </w:r>
    </w:p>
    <w:p>
      <w:pPr>
        <w:adjustRightInd w:val="0"/>
        <w:snapToGrid w:val="0"/>
        <w:spacing w:line="360" w:lineRule="auto"/>
        <w:ind w:firstLine="420" w:firstLineChars="200"/>
        <w:rPr>
          <w:rFonts w:ascii="仿宋" w:hAnsi="仿宋" w:eastAsia="仿宋" w:cs="仿宋"/>
        </w:rPr>
      </w:pPr>
      <w:bookmarkStart w:id="1209" w:name="_Toc931"/>
      <w:bookmarkStart w:id="1210" w:name="_Toc26496"/>
      <w:bookmarkStart w:id="1211" w:name="_Toc20374"/>
      <w:bookmarkStart w:id="1212" w:name="_Toc29661"/>
      <w:bookmarkStart w:id="1213" w:name="_Toc8320"/>
      <w:bookmarkStart w:id="1214" w:name="_Toc30498"/>
      <w:bookmarkStart w:id="1215" w:name="_Toc1293"/>
      <w:bookmarkStart w:id="1216" w:name="_Toc4643"/>
      <w:bookmarkStart w:id="1217" w:name="_Toc29327"/>
      <w:bookmarkStart w:id="1218" w:name="_Toc18823"/>
      <w:bookmarkStart w:id="1219" w:name="_Toc8879"/>
      <w:bookmarkStart w:id="1220" w:name="_Toc7060"/>
      <w:bookmarkStart w:id="1221" w:name="_Toc19728"/>
      <w:bookmarkStart w:id="1222" w:name="_Toc17924"/>
      <w:bookmarkStart w:id="1223" w:name="_Toc21629"/>
      <w:bookmarkStart w:id="1224" w:name="_Toc16821"/>
      <w:bookmarkStart w:id="1225" w:name="_Toc2134"/>
      <w:bookmarkStart w:id="1226" w:name="_Toc3329"/>
      <w:bookmarkStart w:id="1227" w:name="_Toc21953"/>
      <w:bookmarkStart w:id="1228" w:name="_Toc23596"/>
      <w:bookmarkStart w:id="1229" w:name="_Toc11537"/>
      <w:bookmarkStart w:id="1230" w:name="_Toc9105"/>
      <w:bookmarkStart w:id="1231" w:name="_Toc27491"/>
      <w:bookmarkStart w:id="1232" w:name="_Toc24950"/>
      <w:bookmarkStart w:id="1233" w:name="_Toc24874"/>
      <w:bookmarkStart w:id="1234" w:name="_Toc19887"/>
      <w:bookmarkStart w:id="1235" w:name="_Toc15751"/>
      <w:bookmarkStart w:id="1236" w:name="_Toc12439"/>
      <w:bookmarkStart w:id="1237" w:name="_Toc22891"/>
      <w:bookmarkStart w:id="1238" w:name="_Toc5422"/>
      <w:bookmarkStart w:id="1239" w:name="_Toc2362"/>
      <w:bookmarkStart w:id="1240" w:name="_Toc4066"/>
      <w:bookmarkStart w:id="1241" w:name="_Toc28390"/>
      <w:bookmarkStart w:id="1242" w:name="_Toc17523"/>
      <w:bookmarkStart w:id="1243" w:name="_Toc12987"/>
      <w:bookmarkStart w:id="1244" w:name="_Toc4108"/>
      <w:bookmarkStart w:id="1245" w:name="_Toc8938"/>
      <w:bookmarkStart w:id="1246" w:name="_Toc17491"/>
      <w:bookmarkStart w:id="1247" w:name="_Toc6062"/>
      <w:bookmarkStart w:id="1248" w:name="_Toc14552"/>
      <w:bookmarkStart w:id="1249" w:name="_Toc21671"/>
      <w:r>
        <w:rPr>
          <w:rFonts w:hint="eastAsia" w:ascii="仿宋" w:hAnsi="仿宋" w:eastAsia="仿宋" w:cs="仿宋"/>
        </w:rPr>
        <w:t>3.2终验收一般条件</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3.2.1经过预验收而且没有出现新的质量问题，或者满足预验收条款。</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3.2.2货物（或生产线）安装调试完毕，并至少经过了验收要求的负荷试运行。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3.2.3货物（或生产线）正常运行时，噪声等环境影响因素满足国家（《工作场所物理因素测量 噪声》GBZ/T 189.8-2007. 噪音≤80dB(A)）和当地环保主管部门规定。投标方需提供由第三方检测机构出具的检测报告 ，检测事宜及费用由投标方负责，招标方负责相关配合协调工作。</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3.2.4计量仪器、仪表配套合理，采用中国的法定计量单位，计量准确、灵敏可靠。保证设计指标和仪器说明书的参数的实现。</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3.2.5试运行期间或之后无维修、调整等行为（特殊情况除外）。</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3.2.6货物（或生产线）质量、技术性能等，达到签定的技术协议书和合同规定的终验收标准。</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3.2.7试件：终验收完成前的所有试件，大件可允许报废</w:t>
      </w:r>
      <w:r>
        <w:rPr>
          <w:rFonts w:hint="eastAsia" w:ascii="仿宋" w:hAnsi="仿宋" w:eastAsia="仿宋" w:cs="仿宋"/>
          <w:shd w:val="pct10" w:color="auto" w:fill="FFFFFF"/>
        </w:rPr>
        <w:t>5</w:t>
      </w:r>
      <w:r>
        <w:rPr>
          <w:rFonts w:hint="eastAsia" w:ascii="仿宋" w:hAnsi="仿宋" w:eastAsia="仿宋" w:cs="仿宋"/>
        </w:rPr>
        <w:t>件，中小件可允许报废</w:t>
      </w:r>
      <w:r>
        <w:rPr>
          <w:rFonts w:hint="eastAsia" w:ascii="仿宋" w:hAnsi="仿宋" w:eastAsia="仿宋" w:cs="仿宋"/>
          <w:shd w:val="pct10" w:color="auto" w:fill="FFFFFF"/>
        </w:rPr>
        <w:t>10</w:t>
      </w:r>
      <w:r>
        <w:rPr>
          <w:rFonts w:hint="eastAsia" w:ascii="仿宋" w:hAnsi="仿宋" w:eastAsia="仿宋" w:cs="仿宋"/>
        </w:rPr>
        <w:t>件，超过此数量的产品损失费用由中标方承担。</w:t>
      </w:r>
      <w:bookmarkStart w:id="1250" w:name="_Toc193"/>
      <w:bookmarkStart w:id="1251" w:name="_Toc25411"/>
      <w:bookmarkStart w:id="1252" w:name="_Toc1804"/>
    </w:p>
    <w:p>
      <w:pPr>
        <w:snapToGrid w:val="0"/>
        <w:spacing w:line="360" w:lineRule="auto"/>
        <w:ind w:left="482"/>
        <w:outlineLvl w:val="1"/>
        <w:rPr>
          <w:rFonts w:ascii="仿宋" w:hAnsi="仿宋" w:eastAsia="仿宋" w:cs="仿宋"/>
          <w:b/>
          <w:bCs/>
        </w:rPr>
      </w:pPr>
      <w:bookmarkStart w:id="1253" w:name="_Toc26083"/>
      <w:bookmarkStart w:id="1254" w:name="_Toc22500"/>
      <w:bookmarkStart w:id="1255" w:name="_Toc7243"/>
      <w:bookmarkStart w:id="1256" w:name="_Toc17549"/>
      <w:bookmarkStart w:id="1257" w:name="_Toc1885"/>
      <w:bookmarkStart w:id="1258" w:name="_Toc17223"/>
      <w:bookmarkStart w:id="1259" w:name="_Toc11114"/>
      <w:bookmarkStart w:id="1260" w:name="_Toc9027"/>
      <w:bookmarkStart w:id="1261" w:name="_Toc32661"/>
      <w:bookmarkStart w:id="1262" w:name="_Toc20983"/>
      <w:bookmarkStart w:id="1263" w:name="_Toc1761"/>
      <w:bookmarkStart w:id="1264" w:name="_Toc21504"/>
      <w:bookmarkStart w:id="1265" w:name="_Toc1961"/>
      <w:bookmarkStart w:id="1266" w:name="_Toc1469"/>
      <w:bookmarkStart w:id="1267" w:name="_Toc73112424"/>
      <w:bookmarkStart w:id="1268" w:name="_Toc6573"/>
      <w:bookmarkStart w:id="1269" w:name="_Toc21291"/>
      <w:bookmarkStart w:id="1270" w:name="_Toc10673"/>
      <w:r>
        <w:rPr>
          <w:rFonts w:hint="eastAsia" w:ascii="仿宋" w:hAnsi="仿宋" w:eastAsia="仿宋" w:cs="仿宋"/>
          <w:b/>
          <w:bCs/>
        </w:rPr>
        <w:t>4终验收基本要求</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4.1货物（或生产线）允许情况下，一般先连续空运转</w:t>
      </w:r>
      <w:r>
        <w:rPr>
          <w:rFonts w:hint="eastAsia" w:ascii="仿宋" w:hAnsi="仿宋" w:eastAsia="仿宋" w:cs="仿宋"/>
          <w:u w:val="single"/>
          <w:shd w:val="pct10" w:color="auto" w:fill="FFFFFF"/>
        </w:rPr>
        <w:t>8</w:t>
      </w:r>
      <w:r>
        <w:rPr>
          <w:rFonts w:hint="eastAsia" w:ascii="仿宋" w:hAnsi="仿宋" w:eastAsia="仿宋" w:cs="仿宋"/>
        </w:rPr>
        <w:t>小时，然后再进行负荷运行。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4.2负荷运行时，货物（或生产线）应连续运行</w:t>
      </w:r>
      <w:r>
        <w:rPr>
          <w:rFonts w:hint="eastAsia" w:ascii="仿宋" w:hAnsi="仿宋" w:eastAsia="仿宋" w:cs="仿宋"/>
          <w:u w:val="single"/>
        </w:rPr>
        <w:t xml:space="preserve"> </w:t>
      </w:r>
      <w:r>
        <w:rPr>
          <w:rFonts w:hint="eastAsia" w:ascii="仿宋" w:hAnsi="仿宋" w:eastAsia="仿宋" w:cs="仿宋"/>
          <w:u w:val="single"/>
          <w:shd w:val="pct10" w:color="auto" w:fill="FFFFFF"/>
        </w:rPr>
        <w:t xml:space="preserve">5 </w:t>
      </w:r>
      <w:r>
        <w:rPr>
          <w:rFonts w:hint="eastAsia" w:ascii="仿宋" w:hAnsi="仿宋" w:eastAsia="仿宋" w:cs="仿宋"/>
        </w:rPr>
        <w:t>天，每天连续</w:t>
      </w:r>
      <w:r>
        <w:rPr>
          <w:rFonts w:hint="eastAsia" w:ascii="仿宋" w:hAnsi="仿宋" w:eastAsia="仿宋" w:cs="仿宋"/>
          <w:u w:val="single"/>
        </w:rPr>
        <w:t xml:space="preserve"> </w:t>
      </w:r>
      <w:r>
        <w:rPr>
          <w:rFonts w:hint="eastAsia" w:ascii="仿宋" w:hAnsi="仿宋" w:eastAsia="仿宋" w:cs="仿宋"/>
          <w:u w:val="single"/>
          <w:shd w:val="pct10" w:color="auto" w:fill="FFFFFF"/>
        </w:rPr>
        <w:t xml:space="preserve">8 </w:t>
      </w:r>
      <w:r>
        <w:rPr>
          <w:rFonts w:hint="eastAsia" w:ascii="仿宋" w:hAnsi="仿宋" w:eastAsia="仿宋" w:cs="仿宋"/>
        </w:rPr>
        <w:t>小时，除用户方面因素外，必须达到以下要求：</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4.2.1在整个验收过程中没有维修、更换零部件或元件行为；</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4.2.2所有出现的调整，每次调整时间均不超过</w:t>
      </w:r>
      <w:r>
        <w:rPr>
          <w:rFonts w:hint="eastAsia" w:ascii="仿宋" w:hAnsi="仿宋" w:eastAsia="仿宋" w:cs="仿宋"/>
          <w:u w:val="single"/>
          <w:shd w:val="pct10" w:color="auto" w:fill="FFFFFF"/>
        </w:rPr>
        <w:t>120</w:t>
      </w:r>
      <w:r>
        <w:rPr>
          <w:rFonts w:hint="eastAsia" w:ascii="仿宋" w:hAnsi="仿宋" w:eastAsia="仿宋" w:cs="仿宋"/>
        </w:rPr>
        <w:t>分钟；</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4.2.3所有调整时间的总和不超过总运行时间的</w:t>
      </w:r>
      <w:r>
        <w:rPr>
          <w:rFonts w:hint="eastAsia" w:ascii="仿宋" w:hAnsi="仿宋" w:eastAsia="仿宋" w:cs="仿宋"/>
          <w:u w:val="single"/>
          <w:shd w:val="pct10" w:color="auto" w:fill="FFFFFF"/>
        </w:rPr>
        <w:t>10</w:t>
      </w:r>
      <w:r>
        <w:rPr>
          <w:rFonts w:hint="eastAsia" w:ascii="仿宋" w:hAnsi="仿宋" w:eastAsia="仿宋" w:cs="仿宋"/>
        </w:rPr>
        <w:t>%；</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4.2.4累计负载运行实际性能（或生产率）达到合同规定；</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4.2.5终验收原则上要求一次完成。若一次验收不成功，最多允许两次；</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4.2.6终验收通过后签署终验收报告（终验收报告以买方提供的签署完毕并盖章的《新增设备安装竣工验收转资单》为准），并移交、核对全部供货范围内物品。</w:t>
      </w:r>
      <w:bookmarkStart w:id="1271" w:name="_Toc133783975"/>
    </w:p>
    <w:p>
      <w:pPr>
        <w:adjustRightInd w:val="0"/>
        <w:snapToGrid w:val="0"/>
        <w:spacing w:before="163" w:beforeLines="50" w:after="163" w:afterLines="50" w:line="360" w:lineRule="auto"/>
        <w:jc w:val="center"/>
        <w:outlineLvl w:val="0"/>
        <w:rPr>
          <w:rFonts w:ascii="仿宋" w:hAnsi="仿宋" w:eastAsia="仿宋" w:cs="仿宋"/>
          <w:b/>
          <w:bCs/>
        </w:rPr>
      </w:pPr>
      <w:bookmarkStart w:id="1272" w:name="_Toc23397"/>
      <w:bookmarkStart w:id="1273" w:name="_Toc28594"/>
      <w:bookmarkStart w:id="1274" w:name="_Toc23268"/>
      <w:bookmarkStart w:id="1275" w:name="_Toc28136"/>
      <w:bookmarkStart w:id="1276" w:name="_Toc17110"/>
      <w:bookmarkStart w:id="1277" w:name="_Toc20836"/>
      <w:bookmarkStart w:id="1278" w:name="_Toc19911"/>
      <w:bookmarkStart w:id="1279" w:name="_Toc10830"/>
      <w:bookmarkStart w:id="1280" w:name="_Toc18146"/>
      <w:bookmarkStart w:id="1281" w:name="_Toc2249"/>
      <w:bookmarkStart w:id="1282" w:name="_Toc1705"/>
      <w:bookmarkStart w:id="1283" w:name="_Toc4953"/>
      <w:bookmarkStart w:id="1284" w:name="_Toc663"/>
      <w:bookmarkStart w:id="1285" w:name="_Toc14133"/>
      <w:bookmarkStart w:id="1286" w:name="_Toc18510"/>
      <w:bookmarkStart w:id="1287" w:name="_Toc8015"/>
      <w:bookmarkStart w:id="1288" w:name="_Toc24925"/>
      <w:bookmarkStart w:id="1289" w:name="_Toc30219"/>
      <w:bookmarkStart w:id="1290" w:name="_Toc30187"/>
      <w:bookmarkStart w:id="1291" w:name="_Toc2957"/>
      <w:bookmarkStart w:id="1292" w:name="_Toc30125"/>
      <w:bookmarkStart w:id="1293" w:name="_Toc27346"/>
      <w:bookmarkStart w:id="1294" w:name="_Toc73112425"/>
      <w:bookmarkStart w:id="1295" w:name="_Toc15914"/>
      <w:bookmarkStart w:id="1296" w:name="_Toc23616"/>
      <w:bookmarkStart w:id="1297" w:name="_Toc8435"/>
      <w:bookmarkStart w:id="1298" w:name="_Toc1673"/>
      <w:bookmarkStart w:id="1299" w:name="_Toc14217"/>
      <w:bookmarkStart w:id="1300" w:name="_Toc1228"/>
      <w:bookmarkStart w:id="1301" w:name="_Toc22179"/>
      <w:bookmarkStart w:id="1302" w:name="_Toc26248"/>
      <w:bookmarkStart w:id="1303" w:name="_Toc29322"/>
      <w:bookmarkStart w:id="1304" w:name="_Toc7458"/>
      <w:bookmarkStart w:id="1305" w:name="_Toc1195"/>
      <w:bookmarkStart w:id="1306" w:name="_Toc2612"/>
      <w:bookmarkStart w:id="1307" w:name="_Toc32074"/>
      <w:bookmarkStart w:id="1308" w:name="_Toc15351"/>
      <w:bookmarkStart w:id="1309" w:name="_Toc25348"/>
      <w:bookmarkStart w:id="1310" w:name="_Toc25401"/>
      <w:bookmarkStart w:id="1311" w:name="_Toc27525"/>
      <w:bookmarkStart w:id="1312" w:name="_Toc22488"/>
      <w:bookmarkStart w:id="1313" w:name="_Toc1683"/>
      <w:bookmarkStart w:id="1314" w:name="_Toc12636"/>
      <w:r>
        <w:rPr>
          <w:rFonts w:hint="eastAsia" w:ascii="仿宋" w:hAnsi="仿宋" w:eastAsia="仿宋" w:cs="仿宋"/>
          <w:b/>
          <w:bCs/>
        </w:rPr>
        <w:t>第六章投标技术文件一般要求</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1投标方应认真阅读招标文件和本技术标书，并按要求编写投标技术文件。</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2投标技术文件至少应对投标货物（或生产线）的“技术偏离”、“商务偏离”作出有无说明；若有，应予以详细填写和说明。</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3投标技术文件至少应对投标货物（或生产线）的功能用途、技术性能、质量标准、技术参数等作出详细说明。</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4投标技术文件至少应根据投标货物（或生产线）的关键设备、总成、零部件或系统作出优越性说明。</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5投标技术文件至少应根据投标货物（或生产线）的配置，按照备品备件、易损件和专用耗材明细表要求以及投标货物（或生产线）主要配置一览表要求（见下表），认真全面填写。</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投标货物（或生产线）主要配置一览表单位：元</w:t>
      </w:r>
    </w:p>
    <w:tbl>
      <w:tblPr>
        <w:tblStyle w:val="41"/>
        <w:tblpPr w:leftFromText="180" w:rightFromText="180" w:vertAnchor="text" w:tblpXSpec="center" w:tblpY="1"/>
        <w:tblOverlap w:val="never"/>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1395"/>
        <w:gridCol w:w="1051"/>
        <w:gridCol w:w="697"/>
        <w:gridCol w:w="997"/>
        <w:gridCol w:w="1020"/>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9" w:type="dxa"/>
          </w:tcPr>
          <w:p>
            <w:pPr>
              <w:adjustRightInd w:val="0"/>
              <w:snapToGrid w:val="0"/>
              <w:spacing w:line="360" w:lineRule="auto"/>
              <w:jc w:val="center"/>
              <w:rPr>
                <w:rFonts w:ascii="仿宋" w:hAnsi="仿宋" w:eastAsia="仿宋" w:cs="仿宋"/>
              </w:rPr>
            </w:pPr>
            <w:r>
              <w:rPr>
                <w:rFonts w:hint="eastAsia" w:ascii="仿宋" w:hAnsi="仿宋" w:eastAsia="仿宋" w:cs="仿宋"/>
              </w:rPr>
              <w:t>名称</w:t>
            </w:r>
          </w:p>
        </w:tc>
        <w:tc>
          <w:tcPr>
            <w:tcW w:w="1395" w:type="dxa"/>
          </w:tcPr>
          <w:p>
            <w:pPr>
              <w:adjustRightInd w:val="0"/>
              <w:snapToGrid w:val="0"/>
              <w:spacing w:line="360" w:lineRule="auto"/>
              <w:jc w:val="center"/>
              <w:rPr>
                <w:rFonts w:ascii="仿宋" w:hAnsi="仿宋" w:eastAsia="仿宋" w:cs="仿宋"/>
              </w:rPr>
            </w:pPr>
            <w:r>
              <w:rPr>
                <w:rFonts w:hint="eastAsia" w:ascii="仿宋" w:hAnsi="仿宋" w:eastAsia="仿宋" w:cs="仿宋"/>
              </w:rPr>
              <w:t>型号规格</w:t>
            </w:r>
          </w:p>
        </w:tc>
        <w:tc>
          <w:tcPr>
            <w:tcW w:w="1051" w:type="dxa"/>
          </w:tcPr>
          <w:p>
            <w:pPr>
              <w:adjustRightInd w:val="0"/>
              <w:snapToGrid w:val="0"/>
              <w:spacing w:line="360" w:lineRule="auto"/>
              <w:jc w:val="center"/>
              <w:rPr>
                <w:rFonts w:ascii="仿宋" w:hAnsi="仿宋" w:eastAsia="仿宋" w:cs="仿宋"/>
              </w:rPr>
            </w:pPr>
            <w:r>
              <w:rPr>
                <w:rFonts w:hint="eastAsia" w:ascii="仿宋" w:hAnsi="仿宋" w:eastAsia="仿宋" w:cs="仿宋"/>
              </w:rPr>
              <w:t>单位</w:t>
            </w:r>
          </w:p>
        </w:tc>
        <w:tc>
          <w:tcPr>
            <w:tcW w:w="697" w:type="dxa"/>
          </w:tcPr>
          <w:p>
            <w:pPr>
              <w:adjustRightInd w:val="0"/>
              <w:snapToGrid w:val="0"/>
              <w:spacing w:line="360" w:lineRule="auto"/>
              <w:jc w:val="center"/>
              <w:rPr>
                <w:rFonts w:ascii="仿宋" w:hAnsi="仿宋" w:eastAsia="仿宋" w:cs="仿宋"/>
              </w:rPr>
            </w:pPr>
            <w:r>
              <w:rPr>
                <w:rFonts w:hint="eastAsia" w:ascii="仿宋" w:hAnsi="仿宋" w:eastAsia="仿宋" w:cs="仿宋"/>
              </w:rPr>
              <w:t>数量</w:t>
            </w:r>
          </w:p>
        </w:tc>
        <w:tc>
          <w:tcPr>
            <w:tcW w:w="997" w:type="dxa"/>
          </w:tcPr>
          <w:p>
            <w:pPr>
              <w:adjustRightInd w:val="0"/>
              <w:snapToGrid w:val="0"/>
              <w:spacing w:line="360" w:lineRule="auto"/>
              <w:jc w:val="center"/>
              <w:rPr>
                <w:rFonts w:ascii="仿宋" w:hAnsi="仿宋" w:eastAsia="仿宋" w:cs="仿宋"/>
              </w:rPr>
            </w:pPr>
            <w:r>
              <w:rPr>
                <w:rFonts w:hint="eastAsia" w:ascii="仿宋" w:hAnsi="仿宋" w:eastAsia="仿宋" w:cs="仿宋"/>
              </w:rPr>
              <w:t>单价</w:t>
            </w:r>
          </w:p>
        </w:tc>
        <w:tc>
          <w:tcPr>
            <w:tcW w:w="1020" w:type="dxa"/>
          </w:tcPr>
          <w:p>
            <w:pPr>
              <w:adjustRightInd w:val="0"/>
              <w:snapToGrid w:val="0"/>
              <w:spacing w:line="360" w:lineRule="auto"/>
              <w:jc w:val="center"/>
              <w:rPr>
                <w:rFonts w:ascii="仿宋" w:hAnsi="仿宋" w:eastAsia="仿宋" w:cs="仿宋"/>
              </w:rPr>
            </w:pPr>
            <w:r>
              <w:rPr>
                <w:rFonts w:hint="eastAsia" w:ascii="仿宋" w:hAnsi="仿宋" w:eastAsia="仿宋" w:cs="仿宋"/>
              </w:rPr>
              <w:t>总价</w:t>
            </w:r>
          </w:p>
        </w:tc>
        <w:tc>
          <w:tcPr>
            <w:tcW w:w="1042" w:type="dxa"/>
          </w:tcPr>
          <w:p>
            <w:pPr>
              <w:adjustRightInd w:val="0"/>
              <w:snapToGrid w:val="0"/>
              <w:spacing w:line="360" w:lineRule="auto"/>
              <w:jc w:val="center"/>
              <w:rPr>
                <w:rFonts w:ascii="仿宋" w:hAnsi="仿宋" w:eastAsia="仿宋" w:cs="仿宋"/>
              </w:rPr>
            </w:pPr>
            <w:r>
              <w:rPr>
                <w:rFonts w:hint="eastAsia" w:ascii="仿宋" w:hAnsi="仿宋" w:eastAsia="仿宋" w:cs="仿宋"/>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9" w:type="dxa"/>
          </w:tcPr>
          <w:p>
            <w:pPr>
              <w:adjustRightInd w:val="0"/>
              <w:snapToGrid w:val="0"/>
              <w:spacing w:line="360" w:lineRule="auto"/>
              <w:rPr>
                <w:rFonts w:ascii="仿宋" w:hAnsi="仿宋" w:eastAsia="仿宋" w:cs="仿宋"/>
                <w:strike/>
              </w:rPr>
            </w:pPr>
          </w:p>
        </w:tc>
        <w:tc>
          <w:tcPr>
            <w:tcW w:w="1395" w:type="dxa"/>
          </w:tcPr>
          <w:p>
            <w:pPr>
              <w:adjustRightInd w:val="0"/>
              <w:snapToGrid w:val="0"/>
              <w:spacing w:line="360" w:lineRule="auto"/>
              <w:rPr>
                <w:rFonts w:ascii="仿宋" w:hAnsi="仿宋" w:eastAsia="仿宋" w:cs="仿宋"/>
                <w:strike/>
              </w:rPr>
            </w:pPr>
          </w:p>
        </w:tc>
        <w:tc>
          <w:tcPr>
            <w:tcW w:w="1051" w:type="dxa"/>
          </w:tcPr>
          <w:p>
            <w:pPr>
              <w:adjustRightInd w:val="0"/>
              <w:snapToGrid w:val="0"/>
              <w:spacing w:line="360" w:lineRule="auto"/>
              <w:rPr>
                <w:rFonts w:ascii="仿宋" w:hAnsi="仿宋" w:eastAsia="仿宋" w:cs="仿宋"/>
                <w:strike/>
              </w:rPr>
            </w:pPr>
          </w:p>
        </w:tc>
        <w:tc>
          <w:tcPr>
            <w:tcW w:w="697" w:type="dxa"/>
          </w:tcPr>
          <w:p>
            <w:pPr>
              <w:adjustRightInd w:val="0"/>
              <w:snapToGrid w:val="0"/>
              <w:spacing w:line="360" w:lineRule="auto"/>
              <w:rPr>
                <w:rFonts w:ascii="仿宋" w:hAnsi="仿宋" w:eastAsia="仿宋" w:cs="仿宋"/>
                <w:strike/>
              </w:rPr>
            </w:pPr>
          </w:p>
        </w:tc>
        <w:tc>
          <w:tcPr>
            <w:tcW w:w="997" w:type="dxa"/>
          </w:tcPr>
          <w:p>
            <w:pPr>
              <w:adjustRightInd w:val="0"/>
              <w:snapToGrid w:val="0"/>
              <w:spacing w:line="360" w:lineRule="auto"/>
              <w:rPr>
                <w:rFonts w:ascii="仿宋" w:hAnsi="仿宋" w:eastAsia="仿宋" w:cs="仿宋"/>
                <w:strike/>
              </w:rPr>
            </w:pPr>
          </w:p>
        </w:tc>
        <w:tc>
          <w:tcPr>
            <w:tcW w:w="1020" w:type="dxa"/>
          </w:tcPr>
          <w:p>
            <w:pPr>
              <w:adjustRightInd w:val="0"/>
              <w:snapToGrid w:val="0"/>
              <w:spacing w:line="360" w:lineRule="auto"/>
              <w:rPr>
                <w:rFonts w:ascii="仿宋" w:hAnsi="仿宋" w:eastAsia="仿宋" w:cs="仿宋"/>
                <w:strike/>
              </w:rPr>
            </w:pPr>
          </w:p>
        </w:tc>
        <w:tc>
          <w:tcPr>
            <w:tcW w:w="1042" w:type="dxa"/>
          </w:tcPr>
          <w:p>
            <w:pPr>
              <w:adjustRightInd w:val="0"/>
              <w:snapToGrid w:val="0"/>
              <w:spacing w:line="360" w:lineRule="auto"/>
              <w:rPr>
                <w:rFonts w:ascii="仿宋" w:hAnsi="仿宋" w:eastAsia="仿宋" w:cs="仿宋"/>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9" w:type="dxa"/>
          </w:tcPr>
          <w:p>
            <w:pPr>
              <w:adjustRightInd w:val="0"/>
              <w:snapToGrid w:val="0"/>
              <w:spacing w:line="360" w:lineRule="auto"/>
              <w:rPr>
                <w:rFonts w:ascii="仿宋" w:hAnsi="仿宋" w:eastAsia="仿宋" w:cs="仿宋"/>
                <w:strike/>
              </w:rPr>
            </w:pPr>
          </w:p>
        </w:tc>
        <w:tc>
          <w:tcPr>
            <w:tcW w:w="1395" w:type="dxa"/>
          </w:tcPr>
          <w:p>
            <w:pPr>
              <w:adjustRightInd w:val="0"/>
              <w:snapToGrid w:val="0"/>
              <w:spacing w:line="360" w:lineRule="auto"/>
              <w:rPr>
                <w:rFonts w:ascii="仿宋" w:hAnsi="仿宋" w:eastAsia="仿宋" w:cs="仿宋"/>
                <w:strike/>
              </w:rPr>
            </w:pPr>
          </w:p>
        </w:tc>
        <w:tc>
          <w:tcPr>
            <w:tcW w:w="1051" w:type="dxa"/>
          </w:tcPr>
          <w:p>
            <w:pPr>
              <w:adjustRightInd w:val="0"/>
              <w:snapToGrid w:val="0"/>
              <w:spacing w:line="360" w:lineRule="auto"/>
              <w:rPr>
                <w:rFonts w:ascii="仿宋" w:hAnsi="仿宋" w:eastAsia="仿宋" w:cs="仿宋"/>
                <w:strike/>
              </w:rPr>
            </w:pPr>
          </w:p>
        </w:tc>
        <w:tc>
          <w:tcPr>
            <w:tcW w:w="697" w:type="dxa"/>
          </w:tcPr>
          <w:p>
            <w:pPr>
              <w:adjustRightInd w:val="0"/>
              <w:snapToGrid w:val="0"/>
              <w:spacing w:line="360" w:lineRule="auto"/>
              <w:rPr>
                <w:rFonts w:ascii="仿宋" w:hAnsi="仿宋" w:eastAsia="仿宋" w:cs="仿宋"/>
                <w:strike/>
              </w:rPr>
            </w:pPr>
          </w:p>
        </w:tc>
        <w:tc>
          <w:tcPr>
            <w:tcW w:w="997" w:type="dxa"/>
          </w:tcPr>
          <w:p>
            <w:pPr>
              <w:adjustRightInd w:val="0"/>
              <w:snapToGrid w:val="0"/>
              <w:spacing w:line="360" w:lineRule="auto"/>
              <w:rPr>
                <w:rFonts w:ascii="仿宋" w:hAnsi="仿宋" w:eastAsia="仿宋" w:cs="仿宋"/>
                <w:strike/>
              </w:rPr>
            </w:pPr>
          </w:p>
        </w:tc>
        <w:tc>
          <w:tcPr>
            <w:tcW w:w="1020" w:type="dxa"/>
          </w:tcPr>
          <w:p>
            <w:pPr>
              <w:adjustRightInd w:val="0"/>
              <w:snapToGrid w:val="0"/>
              <w:spacing w:line="360" w:lineRule="auto"/>
              <w:rPr>
                <w:rFonts w:ascii="仿宋" w:hAnsi="仿宋" w:eastAsia="仿宋" w:cs="仿宋"/>
                <w:strike/>
              </w:rPr>
            </w:pPr>
          </w:p>
        </w:tc>
        <w:tc>
          <w:tcPr>
            <w:tcW w:w="1042" w:type="dxa"/>
          </w:tcPr>
          <w:p>
            <w:pPr>
              <w:adjustRightInd w:val="0"/>
              <w:snapToGrid w:val="0"/>
              <w:spacing w:line="360" w:lineRule="auto"/>
              <w:rPr>
                <w:rFonts w:ascii="仿宋" w:hAnsi="仿宋" w:eastAsia="仿宋" w:cs="仿宋"/>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9" w:type="dxa"/>
          </w:tcPr>
          <w:p>
            <w:pPr>
              <w:adjustRightInd w:val="0"/>
              <w:snapToGrid w:val="0"/>
              <w:spacing w:line="360" w:lineRule="auto"/>
              <w:rPr>
                <w:rFonts w:ascii="仿宋" w:hAnsi="仿宋" w:eastAsia="仿宋" w:cs="仿宋"/>
                <w:strike/>
              </w:rPr>
            </w:pPr>
          </w:p>
        </w:tc>
        <w:tc>
          <w:tcPr>
            <w:tcW w:w="1395" w:type="dxa"/>
          </w:tcPr>
          <w:p>
            <w:pPr>
              <w:adjustRightInd w:val="0"/>
              <w:snapToGrid w:val="0"/>
              <w:spacing w:line="360" w:lineRule="auto"/>
              <w:rPr>
                <w:rFonts w:ascii="仿宋" w:hAnsi="仿宋" w:eastAsia="仿宋" w:cs="仿宋"/>
                <w:strike/>
              </w:rPr>
            </w:pPr>
          </w:p>
        </w:tc>
        <w:tc>
          <w:tcPr>
            <w:tcW w:w="1051" w:type="dxa"/>
          </w:tcPr>
          <w:p>
            <w:pPr>
              <w:adjustRightInd w:val="0"/>
              <w:snapToGrid w:val="0"/>
              <w:spacing w:line="360" w:lineRule="auto"/>
              <w:rPr>
                <w:rFonts w:ascii="仿宋" w:hAnsi="仿宋" w:eastAsia="仿宋" w:cs="仿宋"/>
                <w:strike/>
              </w:rPr>
            </w:pPr>
          </w:p>
        </w:tc>
        <w:tc>
          <w:tcPr>
            <w:tcW w:w="697" w:type="dxa"/>
          </w:tcPr>
          <w:p>
            <w:pPr>
              <w:adjustRightInd w:val="0"/>
              <w:snapToGrid w:val="0"/>
              <w:spacing w:line="360" w:lineRule="auto"/>
              <w:rPr>
                <w:rFonts w:ascii="仿宋" w:hAnsi="仿宋" w:eastAsia="仿宋" w:cs="仿宋"/>
                <w:strike/>
              </w:rPr>
            </w:pPr>
          </w:p>
        </w:tc>
        <w:tc>
          <w:tcPr>
            <w:tcW w:w="997" w:type="dxa"/>
          </w:tcPr>
          <w:p>
            <w:pPr>
              <w:adjustRightInd w:val="0"/>
              <w:snapToGrid w:val="0"/>
              <w:spacing w:line="360" w:lineRule="auto"/>
              <w:rPr>
                <w:rFonts w:ascii="仿宋" w:hAnsi="仿宋" w:eastAsia="仿宋" w:cs="仿宋"/>
                <w:strike/>
              </w:rPr>
            </w:pPr>
          </w:p>
        </w:tc>
        <w:tc>
          <w:tcPr>
            <w:tcW w:w="1020" w:type="dxa"/>
          </w:tcPr>
          <w:p>
            <w:pPr>
              <w:adjustRightInd w:val="0"/>
              <w:snapToGrid w:val="0"/>
              <w:spacing w:line="360" w:lineRule="auto"/>
              <w:rPr>
                <w:rFonts w:ascii="仿宋" w:hAnsi="仿宋" w:eastAsia="仿宋" w:cs="仿宋"/>
                <w:strike/>
              </w:rPr>
            </w:pPr>
          </w:p>
        </w:tc>
        <w:tc>
          <w:tcPr>
            <w:tcW w:w="1042" w:type="dxa"/>
          </w:tcPr>
          <w:p>
            <w:pPr>
              <w:adjustRightInd w:val="0"/>
              <w:snapToGrid w:val="0"/>
              <w:spacing w:line="360" w:lineRule="auto"/>
              <w:rPr>
                <w:rFonts w:ascii="仿宋" w:hAnsi="仿宋" w:eastAsia="仿宋" w:cs="仿宋"/>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9" w:type="dxa"/>
          </w:tcPr>
          <w:p>
            <w:pPr>
              <w:adjustRightInd w:val="0"/>
              <w:snapToGrid w:val="0"/>
              <w:spacing w:line="360" w:lineRule="auto"/>
              <w:rPr>
                <w:rFonts w:ascii="仿宋" w:hAnsi="仿宋" w:eastAsia="仿宋" w:cs="仿宋"/>
                <w:strike/>
              </w:rPr>
            </w:pPr>
          </w:p>
        </w:tc>
        <w:tc>
          <w:tcPr>
            <w:tcW w:w="1395" w:type="dxa"/>
          </w:tcPr>
          <w:p>
            <w:pPr>
              <w:adjustRightInd w:val="0"/>
              <w:snapToGrid w:val="0"/>
              <w:spacing w:line="360" w:lineRule="auto"/>
              <w:rPr>
                <w:rFonts w:ascii="仿宋" w:hAnsi="仿宋" w:eastAsia="仿宋" w:cs="仿宋"/>
                <w:strike/>
              </w:rPr>
            </w:pPr>
          </w:p>
        </w:tc>
        <w:tc>
          <w:tcPr>
            <w:tcW w:w="1051" w:type="dxa"/>
          </w:tcPr>
          <w:p>
            <w:pPr>
              <w:adjustRightInd w:val="0"/>
              <w:snapToGrid w:val="0"/>
              <w:spacing w:line="360" w:lineRule="auto"/>
              <w:rPr>
                <w:rFonts w:ascii="仿宋" w:hAnsi="仿宋" w:eastAsia="仿宋" w:cs="仿宋"/>
                <w:strike/>
              </w:rPr>
            </w:pPr>
          </w:p>
        </w:tc>
        <w:tc>
          <w:tcPr>
            <w:tcW w:w="697" w:type="dxa"/>
          </w:tcPr>
          <w:p>
            <w:pPr>
              <w:adjustRightInd w:val="0"/>
              <w:snapToGrid w:val="0"/>
              <w:spacing w:line="360" w:lineRule="auto"/>
              <w:rPr>
                <w:rFonts w:ascii="仿宋" w:hAnsi="仿宋" w:eastAsia="仿宋" w:cs="仿宋"/>
                <w:strike/>
              </w:rPr>
            </w:pPr>
          </w:p>
        </w:tc>
        <w:tc>
          <w:tcPr>
            <w:tcW w:w="997" w:type="dxa"/>
          </w:tcPr>
          <w:p>
            <w:pPr>
              <w:adjustRightInd w:val="0"/>
              <w:snapToGrid w:val="0"/>
              <w:spacing w:line="360" w:lineRule="auto"/>
              <w:rPr>
                <w:rFonts w:ascii="仿宋" w:hAnsi="仿宋" w:eastAsia="仿宋" w:cs="仿宋"/>
                <w:strike/>
              </w:rPr>
            </w:pPr>
          </w:p>
        </w:tc>
        <w:tc>
          <w:tcPr>
            <w:tcW w:w="1020" w:type="dxa"/>
          </w:tcPr>
          <w:p>
            <w:pPr>
              <w:adjustRightInd w:val="0"/>
              <w:snapToGrid w:val="0"/>
              <w:spacing w:line="360" w:lineRule="auto"/>
              <w:rPr>
                <w:rFonts w:ascii="仿宋" w:hAnsi="仿宋" w:eastAsia="仿宋" w:cs="仿宋"/>
                <w:strike/>
              </w:rPr>
            </w:pPr>
          </w:p>
        </w:tc>
        <w:tc>
          <w:tcPr>
            <w:tcW w:w="1042" w:type="dxa"/>
          </w:tcPr>
          <w:p>
            <w:pPr>
              <w:adjustRightInd w:val="0"/>
              <w:snapToGrid w:val="0"/>
              <w:spacing w:line="360" w:lineRule="auto"/>
              <w:rPr>
                <w:rFonts w:ascii="仿宋" w:hAnsi="仿宋" w:eastAsia="仿宋" w:cs="仿宋"/>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899" w:type="dxa"/>
          </w:tcPr>
          <w:p>
            <w:pPr>
              <w:adjustRightInd w:val="0"/>
              <w:snapToGrid w:val="0"/>
              <w:spacing w:line="360" w:lineRule="auto"/>
              <w:rPr>
                <w:rFonts w:ascii="仿宋" w:hAnsi="仿宋" w:eastAsia="仿宋" w:cs="仿宋"/>
                <w:strike/>
              </w:rPr>
            </w:pPr>
          </w:p>
        </w:tc>
        <w:tc>
          <w:tcPr>
            <w:tcW w:w="1395" w:type="dxa"/>
          </w:tcPr>
          <w:p>
            <w:pPr>
              <w:adjustRightInd w:val="0"/>
              <w:snapToGrid w:val="0"/>
              <w:spacing w:line="360" w:lineRule="auto"/>
              <w:rPr>
                <w:rFonts w:ascii="仿宋" w:hAnsi="仿宋" w:eastAsia="仿宋" w:cs="仿宋"/>
                <w:strike/>
              </w:rPr>
            </w:pPr>
          </w:p>
        </w:tc>
        <w:tc>
          <w:tcPr>
            <w:tcW w:w="1051" w:type="dxa"/>
          </w:tcPr>
          <w:p>
            <w:pPr>
              <w:adjustRightInd w:val="0"/>
              <w:snapToGrid w:val="0"/>
              <w:spacing w:line="360" w:lineRule="auto"/>
              <w:rPr>
                <w:rFonts w:ascii="仿宋" w:hAnsi="仿宋" w:eastAsia="仿宋" w:cs="仿宋"/>
                <w:strike/>
              </w:rPr>
            </w:pPr>
          </w:p>
        </w:tc>
        <w:tc>
          <w:tcPr>
            <w:tcW w:w="697" w:type="dxa"/>
          </w:tcPr>
          <w:p>
            <w:pPr>
              <w:adjustRightInd w:val="0"/>
              <w:snapToGrid w:val="0"/>
              <w:spacing w:line="360" w:lineRule="auto"/>
              <w:rPr>
                <w:rFonts w:ascii="仿宋" w:hAnsi="仿宋" w:eastAsia="仿宋" w:cs="仿宋"/>
                <w:strike/>
              </w:rPr>
            </w:pPr>
          </w:p>
        </w:tc>
        <w:tc>
          <w:tcPr>
            <w:tcW w:w="997" w:type="dxa"/>
          </w:tcPr>
          <w:p>
            <w:pPr>
              <w:adjustRightInd w:val="0"/>
              <w:snapToGrid w:val="0"/>
              <w:spacing w:line="360" w:lineRule="auto"/>
              <w:rPr>
                <w:rFonts w:ascii="仿宋" w:hAnsi="仿宋" w:eastAsia="仿宋" w:cs="仿宋"/>
                <w:strike/>
              </w:rPr>
            </w:pPr>
          </w:p>
        </w:tc>
        <w:tc>
          <w:tcPr>
            <w:tcW w:w="1020" w:type="dxa"/>
          </w:tcPr>
          <w:p>
            <w:pPr>
              <w:adjustRightInd w:val="0"/>
              <w:snapToGrid w:val="0"/>
              <w:spacing w:line="360" w:lineRule="auto"/>
              <w:rPr>
                <w:rFonts w:ascii="仿宋" w:hAnsi="仿宋" w:eastAsia="仿宋" w:cs="仿宋"/>
                <w:strike/>
              </w:rPr>
            </w:pPr>
          </w:p>
        </w:tc>
        <w:tc>
          <w:tcPr>
            <w:tcW w:w="1042" w:type="dxa"/>
          </w:tcPr>
          <w:p>
            <w:pPr>
              <w:adjustRightInd w:val="0"/>
              <w:snapToGrid w:val="0"/>
              <w:spacing w:line="360" w:lineRule="auto"/>
              <w:rPr>
                <w:rFonts w:ascii="仿宋" w:hAnsi="仿宋" w:eastAsia="仿宋" w:cs="仿宋"/>
                <w:strike/>
              </w:rPr>
            </w:pPr>
          </w:p>
        </w:tc>
      </w:tr>
    </w:tbl>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备注：本表作为投标方编制投标技术文件的一般格式。表中应当尽可能将配置列全、列细，这将有助于投标方胜出。</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6投标技术文件至少应对招标文件和本技术标书所提出的要求，将投标方认为难以满足的条款和要求，予以明确和详细的说明或澄清。</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8供货范围内的物品或服务，应当尽可能详细且分类填入配置表，其费用应当计入投标总报价之内。如果出现不一致的报价，将有可能导致废标。</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9除招标文件明确的验收标准或内容之外，投标方应当在投标文件中提供预验收（必要时）和终验收的标准以及规程，在合同签定之前，经投标方和招标方双方洽谈确认并签署，以作为验收标准执行。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10带 ★ 号条款为否定项条款。</w:t>
      </w:r>
      <w:bookmarkStart w:id="1315" w:name="_Toc133783976"/>
    </w:p>
    <w:p>
      <w:pPr>
        <w:adjustRightInd w:val="0"/>
        <w:snapToGrid w:val="0"/>
        <w:spacing w:before="163" w:beforeLines="50" w:after="163" w:afterLines="50" w:line="360" w:lineRule="auto"/>
        <w:jc w:val="center"/>
        <w:outlineLvl w:val="0"/>
        <w:rPr>
          <w:rFonts w:ascii="仿宋" w:hAnsi="仿宋" w:eastAsia="仿宋" w:cs="仿宋"/>
          <w:b/>
          <w:bCs/>
        </w:rPr>
      </w:pPr>
      <w:bookmarkStart w:id="1316" w:name="_Toc29655"/>
      <w:bookmarkStart w:id="1317" w:name="_Toc2151"/>
      <w:bookmarkStart w:id="1318" w:name="_Toc19119"/>
      <w:bookmarkStart w:id="1319" w:name="_Toc13350"/>
      <w:bookmarkStart w:id="1320" w:name="_Toc31830"/>
      <w:bookmarkStart w:id="1321" w:name="_Toc7423"/>
      <w:bookmarkStart w:id="1322" w:name="_Toc26481"/>
      <w:bookmarkStart w:id="1323" w:name="_Toc19444"/>
      <w:bookmarkStart w:id="1324" w:name="_Toc23538"/>
      <w:bookmarkStart w:id="1325" w:name="_Toc16301"/>
      <w:bookmarkStart w:id="1326" w:name="_Toc5153"/>
      <w:bookmarkStart w:id="1327" w:name="_Toc2177"/>
      <w:bookmarkStart w:id="1328" w:name="_Toc13666"/>
      <w:bookmarkStart w:id="1329" w:name="_Toc17174"/>
      <w:bookmarkStart w:id="1330" w:name="_Toc15645"/>
      <w:bookmarkStart w:id="1331" w:name="_Toc7541"/>
      <w:bookmarkStart w:id="1332" w:name="_Toc32403"/>
      <w:bookmarkStart w:id="1333" w:name="_Toc17045"/>
      <w:bookmarkStart w:id="1334" w:name="_Toc15684"/>
      <w:bookmarkStart w:id="1335" w:name="_Toc2341"/>
      <w:bookmarkStart w:id="1336" w:name="_Toc17463"/>
      <w:bookmarkStart w:id="1337" w:name="_Toc3256"/>
      <w:bookmarkStart w:id="1338" w:name="_Toc29369"/>
      <w:bookmarkStart w:id="1339" w:name="_Toc4563"/>
      <w:bookmarkStart w:id="1340" w:name="_Toc10081"/>
      <w:bookmarkStart w:id="1341" w:name="_Toc623"/>
      <w:bookmarkStart w:id="1342" w:name="_Toc11416"/>
      <w:bookmarkStart w:id="1343" w:name="_Toc19821"/>
      <w:bookmarkStart w:id="1344" w:name="_Toc919"/>
      <w:bookmarkStart w:id="1345" w:name="_Toc22743"/>
      <w:bookmarkStart w:id="1346" w:name="_Toc5380"/>
      <w:bookmarkStart w:id="1347" w:name="_Toc26559"/>
      <w:bookmarkStart w:id="1348" w:name="_Toc1126"/>
      <w:bookmarkStart w:id="1349" w:name="_Toc73112426"/>
      <w:bookmarkStart w:id="1350" w:name="_Toc24401"/>
      <w:bookmarkStart w:id="1351" w:name="_Toc9954"/>
      <w:bookmarkStart w:id="1352" w:name="_Toc3744"/>
      <w:bookmarkStart w:id="1353" w:name="_Toc25823"/>
      <w:bookmarkStart w:id="1354" w:name="_Toc2783"/>
      <w:bookmarkStart w:id="1355" w:name="_Toc10484"/>
      <w:bookmarkStart w:id="1356" w:name="_Toc671"/>
      <w:bookmarkStart w:id="1357" w:name="_Toc147"/>
      <w:bookmarkStart w:id="1358" w:name="_Toc11155"/>
      <w:r>
        <w:rPr>
          <w:rFonts w:hint="eastAsia" w:ascii="仿宋" w:hAnsi="仿宋" w:eastAsia="仿宋" w:cs="仿宋"/>
          <w:b/>
          <w:bCs/>
        </w:rPr>
        <w:t>第七章其它要求</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pPr>
        <w:snapToGrid w:val="0"/>
        <w:spacing w:line="360" w:lineRule="auto"/>
        <w:ind w:left="480"/>
        <w:outlineLvl w:val="1"/>
        <w:rPr>
          <w:rFonts w:ascii="仿宋" w:hAnsi="仿宋" w:eastAsia="仿宋" w:cs="仿宋"/>
          <w:b/>
          <w:bCs/>
        </w:rPr>
      </w:pPr>
      <w:bookmarkStart w:id="1359" w:name="_Toc13820"/>
      <w:bookmarkStart w:id="1360" w:name="_Toc18469"/>
      <w:bookmarkStart w:id="1361" w:name="_Toc22430"/>
      <w:bookmarkStart w:id="1362" w:name="_Toc16802"/>
      <w:bookmarkStart w:id="1363" w:name="_Toc32470"/>
      <w:bookmarkStart w:id="1364" w:name="_Toc32012"/>
      <w:bookmarkStart w:id="1365" w:name="_Toc21465"/>
      <w:bookmarkStart w:id="1366" w:name="_Toc14484"/>
      <w:bookmarkStart w:id="1367" w:name="_Toc25903"/>
      <w:bookmarkStart w:id="1368" w:name="_Toc15541"/>
      <w:bookmarkStart w:id="1369" w:name="_Toc20262"/>
      <w:bookmarkStart w:id="1370" w:name="_Toc32544"/>
      <w:bookmarkStart w:id="1371" w:name="_Toc11901"/>
      <w:bookmarkStart w:id="1372" w:name="_Toc29015"/>
      <w:bookmarkStart w:id="1373" w:name="_Toc15205"/>
      <w:bookmarkStart w:id="1374" w:name="_Toc28364"/>
      <w:bookmarkStart w:id="1375" w:name="_Toc24782"/>
      <w:bookmarkStart w:id="1376" w:name="_Toc17727"/>
      <w:bookmarkStart w:id="1377" w:name="_Toc5514"/>
      <w:bookmarkStart w:id="1378" w:name="_Toc24669"/>
      <w:bookmarkStart w:id="1379" w:name="_Toc31105"/>
      <w:bookmarkStart w:id="1380" w:name="_Toc12406"/>
      <w:bookmarkStart w:id="1381" w:name="_Toc22010"/>
      <w:bookmarkStart w:id="1382" w:name="_Toc16614"/>
      <w:bookmarkStart w:id="1383" w:name="_Toc16829"/>
      <w:bookmarkStart w:id="1384" w:name="_Toc11058"/>
      <w:bookmarkStart w:id="1385" w:name="_Toc17435"/>
      <w:bookmarkStart w:id="1386" w:name="_Toc26831"/>
      <w:bookmarkStart w:id="1387" w:name="_Toc30535"/>
      <w:bookmarkStart w:id="1388" w:name="_Toc15256"/>
      <w:bookmarkStart w:id="1389" w:name="_Toc73112427"/>
      <w:bookmarkStart w:id="1390" w:name="_Toc27273"/>
      <w:bookmarkStart w:id="1391" w:name="_Toc14684"/>
      <w:bookmarkStart w:id="1392" w:name="_Toc12542"/>
      <w:bookmarkStart w:id="1393" w:name="_Toc17702"/>
      <w:bookmarkStart w:id="1394" w:name="_Toc24680"/>
      <w:bookmarkStart w:id="1395" w:name="_Toc17357"/>
      <w:bookmarkStart w:id="1396" w:name="_Toc4997"/>
      <w:bookmarkStart w:id="1397" w:name="_Toc24181"/>
      <w:bookmarkStart w:id="1398" w:name="_Toc32525"/>
      <w:bookmarkStart w:id="1399" w:name="_Toc2497"/>
      <w:bookmarkStart w:id="1400" w:name="_Toc29679"/>
      <w:r>
        <w:rPr>
          <w:rFonts w:hint="eastAsia" w:ascii="仿宋" w:hAnsi="仿宋" w:eastAsia="仿宋" w:cs="仿宋"/>
          <w:b/>
          <w:bCs/>
        </w:rPr>
        <w:t>1特殊要求</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pPr>
        <w:pStyle w:val="23"/>
        <w:snapToGrid w:val="0"/>
        <w:spacing w:line="360" w:lineRule="auto"/>
        <w:ind w:firstLine="420" w:firstLineChars="200"/>
        <w:rPr>
          <w:rFonts w:ascii="仿宋" w:hAnsi="仿宋" w:eastAsia="仿宋" w:cs="仿宋"/>
        </w:rPr>
      </w:pPr>
      <w:r>
        <w:rPr>
          <w:rFonts w:hint="eastAsia" w:ascii="仿宋" w:hAnsi="仿宋" w:eastAsia="仿宋" w:cs="仿宋"/>
        </w:rPr>
        <w:t>为保证本技术标书所列采购货物（或生产线）的质量以及先进性、可靠性、经济性和实用性，要求投标方在投标文件中，至少应具备以下资格证明文件或资料：</w:t>
      </w:r>
    </w:p>
    <w:p>
      <w:pPr>
        <w:snapToGrid w:val="0"/>
        <w:spacing w:line="360" w:lineRule="auto"/>
        <w:ind w:firstLine="420" w:firstLineChars="200"/>
        <w:rPr>
          <w:rFonts w:ascii="仿宋" w:hAnsi="仿宋" w:eastAsia="仿宋" w:cs="仿宋"/>
        </w:rPr>
      </w:pPr>
      <w:r>
        <w:rPr>
          <w:rFonts w:hint="eastAsia" w:ascii="仿宋" w:hAnsi="仿宋" w:eastAsia="仿宋" w:cs="仿宋"/>
        </w:rPr>
        <w:t>1.1投标方应是通过有关资格认证的单位，因此应附有有效期内的资格认证证书，如：ISO9001、VDA6.1、QS9000等。</w:t>
      </w:r>
    </w:p>
    <w:p>
      <w:pPr>
        <w:snapToGrid w:val="0"/>
        <w:spacing w:line="360" w:lineRule="auto"/>
        <w:ind w:firstLine="420" w:firstLineChars="200"/>
        <w:rPr>
          <w:rFonts w:ascii="仿宋" w:hAnsi="仿宋" w:eastAsia="仿宋" w:cs="仿宋"/>
        </w:rPr>
      </w:pPr>
      <w:r>
        <w:rPr>
          <w:rFonts w:hint="eastAsia" w:ascii="仿宋" w:hAnsi="仿宋" w:eastAsia="仿宋" w:cs="仿宋"/>
        </w:rPr>
        <w:t>1.2国产设备应附有采购货物（或设备）涉及的由“中国质量认证中心”颁发的《中国国家强制性产品认证证书》（CCC证书）。</w:t>
      </w:r>
    </w:p>
    <w:p>
      <w:pPr>
        <w:snapToGrid w:val="0"/>
        <w:spacing w:line="360" w:lineRule="auto"/>
        <w:ind w:firstLine="420" w:firstLineChars="200"/>
        <w:rPr>
          <w:rFonts w:ascii="仿宋" w:hAnsi="仿宋" w:eastAsia="仿宋" w:cs="仿宋"/>
        </w:rPr>
      </w:pPr>
      <w:r>
        <w:rPr>
          <w:rFonts w:hint="eastAsia" w:ascii="仿宋" w:hAnsi="仿宋" w:eastAsia="仿宋" w:cs="仿宋"/>
        </w:rPr>
        <w:t>1.3必须附有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pPr>
        <w:snapToGrid w:val="0"/>
        <w:spacing w:line="360" w:lineRule="auto"/>
        <w:ind w:firstLine="420" w:firstLineChars="200"/>
        <w:rPr>
          <w:rFonts w:ascii="仿宋" w:hAnsi="仿宋" w:eastAsia="仿宋" w:cs="仿宋"/>
        </w:rPr>
      </w:pPr>
      <w:r>
        <w:rPr>
          <w:rFonts w:hint="eastAsia" w:ascii="仿宋" w:hAnsi="仿宋" w:eastAsia="仿宋" w:cs="仿宋"/>
        </w:rPr>
        <w:t>1.4应附有其它与投标单位、采购货物（或生产线）有关的荣誉证书或资料。</w:t>
      </w:r>
    </w:p>
    <w:p>
      <w:pPr>
        <w:snapToGrid w:val="0"/>
        <w:spacing w:line="360" w:lineRule="auto"/>
        <w:ind w:firstLine="420" w:firstLineChars="200"/>
        <w:rPr>
          <w:rFonts w:ascii="仿宋" w:hAnsi="仿宋" w:eastAsia="仿宋" w:cs="仿宋"/>
        </w:rPr>
      </w:pPr>
      <w:r>
        <w:rPr>
          <w:rFonts w:hint="eastAsia" w:ascii="仿宋" w:hAnsi="仿宋" w:eastAsia="仿宋" w:cs="仿宋"/>
        </w:rPr>
        <w:t>1.5应附有中国相关国家部委颁发的有效期之内所必需的《生产许可证》。</w:t>
      </w:r>
    </w:p>
    <w:p>
      <w:pPr>
        <w:snapToGrid w:val="0"/>
        <w:spacing w:line="360" w:lineRule="auto"/>
        <w:ind w:firstLine="420" w:firstLineChars="200"/>
        <w:rPr>
          <w:rFonts w:ascii="仿宋" w:hAnsi="仿宋" w:eastAsia="仿宋" w:cs="仿宋"/>
        </w:rPr>
      </w:pPr>
      <w:r>
        <w:rPr>
          <w:rFonts w:hint="eastAsia" w:ascii="仿宋" w:hAnsi="仿宋" w:eastAsia="仿宋" w:cs="仿宋"/>
        </w:rPr>
        <w:t>1.6应附有必要的采购货物（或设备）的相关检验、试验报告，如：《型式试验的检验报告》、《产品鉴定证书》、《新技术成果证书》等。</w:t>
      </w:r>
    </w:p>
    <w:p>
      <w:pPr>
        <w:snapToGrid w:val="0"/>
        <w:spacing w:line="360" w:lineRule="auto"/>
        <w:ind w:firstLine="420" w:firstLineChars="200"/>
        <w:rPr>
          <w:rFonts w:ascii="仿宋" w:hAnsi="仿宋" w:eastAsia="仿宋" w:cs="仿宋"/>
        </w:rPr>
      </w:pPr>
      <w:r>
        <w:rPr>
          <w:rFonts w:hint="eastAsia" w:ascii="仿宋" w:hAnsi="仿宋" w:eastAsia="仿宋" w:cs="仿宋"/>
        </w:rPr>
        <w:t>1.7投标方必须附有采购货物（或设备）涉及国家规定必须进行的检验、试验报告等。</w:t>
      </w:r>
    </w:p>
    <w:p>
      <w:pPr>
        <w:snapToGrid w:val="0"/>
        <w:spacing w:line="360" w:lineRule="auto"/>
        <w:ind w:firstLine="420" w:firstLineChars="200"/>
        <w:rPr>
          <w:rFonts w:ascii="仿宋" w:hAnsi="仿宋" w:eastAsia="仿宋" w:cs="仿宋"/>
        </w:rPr>
      </w:pPr>
      <w:r>
        <w:rPr>
          <w:rFonts w:hint="eastAsia" w:ascii="仿宋" w:hAnsi="仿宋" w:eastAsia="仿宋" w:cs="仿宋"/>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pPr>
        <w:snapToGrid w:val="0"/>
        <w:spacing w:line="360" w:lineRule="auto"/>
        <w:ind w:left="480"/>
        <w:outlineLvl w:val="1"/>
        <w:rPr>
          <w:rFonts w:ascii="仿宋" w:hAnsi="仿宋" w:eastAsia="仿宋" w:cs="仿宋"/>
          <w:b/>
          <w:bCs/>
        </w:rPr>
      </w:pPr>
      <w:bookmarkStart w:id="1401" w:name="_Toc4278"/>
      <w:bookmarkStart w:id="1402" w:name="_Toc18674"/>
      <w:bookmarkStart w:id="1403" w:name="_Toc18370"/>
      <w:bookmarkStart w:id="1404" w:name="_Toc3658"/>
      <w:bookmarkStart w:id="1405" w:name="_Toc73112429"/>
      <w:bookmarkStart w:id="1406" w:name="_Toc26307"/>
      <w:bookmarkStart w:id="1407" w:name="_Toc19315"/>
      <w:bookmarkStart w:id="1408" w:name="_Toc21942"/>
      <w:bookmarkStart w:id="1409" w:name="_Toc20830"/>
      <w:bookmarkStart w:id="1410" w:name="_Toc27164"/>
      <w:bookmarkStart w:id="1411" w:name="_Toc29233"/>
      <w:bookmarkStart w:id="1412" w:name="_Toc25028"/>
      <w:bookmarkStart w:id="1413" w:name="_Toc28267"/>
      <w:bookmarkStart w:id="1414" w:name="_Toc18745"/>
      <w:bookmarkStart w:id="1415" w:name="_Toc24176"/>
      <w:bookmarkStart w:id="1416" w:name="_Toc20370"/>
      <w:bookmarkStart w:id="1417" w:name="_Toc28380"/>
      <w:bookmarkStart w:id="1418" w:name="_Toc13497"/>
      <w:bookmarkStart w:id="1419" w:name="_Toc16457"/>
      <w:bookmarkStart w:id="1420" w:name="_Toc5504"/>
      <w:bookmarkStart w:id="1421" w:name="_Toc29954"/>
      <w:bookmarkStart w:id="1422" w:name="_Toc27894"/>
      <w:bookmarkStart w:id="1423" w:name="_Toc11707"/>
      <w:bookmarkStart w:id="1424" w:name="_Toc22763"/>
      <w:bookmarkStart w:id="1425" w:name="_Toc28559"/>
      <w:bookmarkStart w:id="1426" w:name="_Toc26626"/>
      <w:bookmarkStart w:id="1427" w:name="_Toc3821"/>
      <w:bookmarkStart w:id="1428" w:name="_Toc22893"/>
      <w:bookmarkStart w:id="1429" w:name="_Toc4243"/>
      <w:bookmarkStart w:id="1430" w:name="_Toc3323"/>
      <w:bookmarkStart w:id="1431" w:name="_Toc28700"/>
      <w:bookmarkStart w:id="1432" w:name="_Toc1823"/>
      <w:bookmarkStart w:id="1433" w:name="_Toc13528"/>
      <w:bookmarkStart w:id="1434" w:name="_Toc14052"/>
      <w:bookmarkStart w:id="1435" w:name="_Toc14956"/>
      <w:bookmarkStart w:id="1436" w:name="_Toc26724"/>
      <w:bookmarkStart w:id="1437" w:name="_Toc24482"/>
      <w:bookmarkStart w:id="1438" w:name="_Toc11255"/>
      <w:bookmarkStart w:id="1439" w:name="_Toc8864"/>
      <w:bookmarkStart w:id="1440" w:name="_Toc335"/>
      <w:bookmarkStart w:id="1441" w:name="_Toc25498"/>
      <w:bookmarkStart w:id="1442" w:name="_Toc28718"/>
      <w:r>
        <w:rPr>
          <w:rFonts w:hint="eastAsia" w:ascii="仿宋" w:hAnsi="仿宋" w:eastAsia="仿宋" w:cs="仿宋"/>
          <w:b/>
          <w:bCs/>
        </w:rPr>
        <w:t>2说明</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pPr>
        <w:snapToGrid w:val="0"/>
        <w:spacing w:line="360" w:lineRule="auto"/>
        <w:ind w:firstLine="420" w:firstLineChars="200"/>
        <w:rPr>
          <w:rFonts w:ascii="仿宋" w:hAnsi="仿宋" w:eastAsia="仿宋" w:cs="仿宋"/>
        </w:rPr>
      </w:pPr>
      <w:r>
        <w:rPr>
          <w:rFonts w:hint="eastAsia" w:ascii="仿宋" w:hAnsi="仿宋" w:eastAsia="仿宋" w:cs="仿宋"/>
        </w:rPr>
        <w:t>2.1投标方可以根据自身的技术、经验等优势以及对招标文件和本技术标书的理解，写明对招标方所采购货物（或生产线）的优化方案或建议意见。投标方的这些努力，招标方表示感谢，并将有助于投标方优先胜出。</w:t>
      </w:r>
    </w:p>
    <w:p>
      <w:pPr>
        <w:snapToGrid w:val="0"/>
        <w:spacing w:line="360" w:lineRule="auto"/>
        <w:ind w:firstLine="420" w:firstLineChars="200"/>
        <w:rPr>
          <w:rFonts w:ascii="仿宋" w:hAnsi="仿宋" w:eastAsia="仿宋" w:cs="仿宋"/>
        </w:rPr>
      </w:pPr>
      <w:r>
        <w:rPr>
          <w:rFonts w:hint="eastAsia" w:ascii="仿宋" w:hAnsi="仿宋" w:eastAsia="仿宋" w:cs="仿宋"/>
        </w:rPr>
        <w:t>2.2即使有建议意见或建议方案，仍应依据招标文件和本技术标书要求，编写符合要求的投标文件。建议方案或建议意见，应以单独篇章或文件，予以说明。</w:t>
      </w:r>
    </w:p>
    <w:p>
      <w:pPr>
        <w:snapToGrid w:val="0"/>
        <w:spacing w:line="360" w:lineRule="auto"/>
        <w:ind w:firstLine="420" w:firstLineChars="200"/>
        <w:rPr>
          <w:rFonts w:ascii="仿宋" w:hAnsi="仿宋" w:eastAsia="仿宋" w:cs="仿宋"/>
        </w:rPr>
      </w:pPr>
      <w:r>
        <w:rPr>
          <w:rFonts w:hint="eastAsia" w:ascii="仿宋" w:hAnsi="仿宋" w:eastAsia="仿宋" w:cs="仿宋"/>
        </w:rPr>
        <w:t>2.3请投标方仔细阅读“采购货物概况”章节内说明，针对允许分投分中的货物（或生产线），招标方有权利选择其中优秀设备或服务，作为投标方合同供货范围中的指定选用设备或服务（替代投标方分投而未中标部分）。</w:t>
      </w:r>
    </w:p>
    <w:p>
      <w:pPr>
        <w:snapToGrid w:val="0"/>
        <w:spacing w:line="360" w:lineRule="auto"/>
        <w:ind w:firstLine="420" w:firstLineChars="200"/>
        <w:rPr>
          <w:rFonts w:ascii="仿宋" w:hAnsi="仿宋" w:eastAsia="仿宋" w:cs="仿宋"/>
        </w:rPr>
      </w:pPr>
      <w:r>
        <w:rPr>
          <w:rFonts w:hint="eastAsia" w:ascii="仿宋" w:hAnsi="仿宋" w:eastAsia="仿宋" w:cs="仿宋"/>
        </w:rPr>
        <w:t>2.4招标文件、投标文件、答疑文件、技术交流文件、技术协议书等，在招标过程全部为有效文件，如有差异，以对招标方或买方最有利的条款为准。</w:t>
      </w:r>
    </w:p>
    <w:p>
      <w:pPr>
        <w:snapToGrid w:val="0"/>
        <w:spacing w:line="360" w:lineRule="auto"/>
        <w:ind w:firstLine="420" w:firstLineChars="200"/>
        <w:rPr>
          <w:rFonts w:ascii="仿宋" w:hAnsi="仿宋" w:eastAsia="仿宋" w:cs="仿宋"/>
        </w:rPr>
      </w:pPr>
      <w:r>
        <w:rPr>
          <w:rFonts w:hint="eastAsia" w:ascii="仿宋" w:hAnsi="仿宋" w:eastAsia="仿宋" w:cs="仿宋"/>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pPr>
        <w:spacing w:line="276" w:lineRule="auto"/>
        <w:jc w:val="center"/>
        <w:rPr>
          <w:rFonts w:hint="eastAsia" w:ascii="Calibri" w:hAnsi="宋体" w:eastAsia="宋体" w:cs="Times New Roman"/>
          <w:b/>
          <w:bCs/>
          <w:color w:val="000000"/>
          <w:spacing w:val="-8"/>
          <w:sz w:val="48"/>
          <w:szCs w:val="44"/>
        </w:rPr>
      </w:pPr>
    </w:p>
    <w:p>
      <w:pPr>
        <w:spacing w:line="276" w:lineRule="auto"/>
        <w:jc w:val="center"/>
        <w:rPr>
          <w:rFonts w:hint="eastAsia" w:ascii="Calibri" w:hAnsi="宋体" w:eastAsia="宋体" w:cs="Times New Roman"/>
          <w:b/>
          <w:bCs/>
          <w:color w:val="000000"/>
          <w:spacing w:val="-8"/>
          <w:sz w:val="48"/>
          <w:szCs w:val="44"/>
        </w:rPr>
      </w:pPr>
    </w:p>
    <w:p>
      <w:pPr>
        <w:pStyle w:val="2"/>
        <w:rPr>
          <w:rFonts w:hint="eastAsia" w:ascii="Calibri" w:hAnsi="宋体" w:eastAsia="宋体" w:cs="Times New Roman"/>
          <w:b/>
          <w:bCs/>
          <w:color w:val="000000"/>
          <w:spacing w:val="-8"/>
          <w:sz w:val="48"/>
          <w:szCs w:val="44"/>
        </w:rPr>
      </w:pPr>
    </w:p>
    <w:p>
      <w:pPr>
        <w:rPr>
          <w:rFonts w:hint="eastAsia" w:ascii="Calibri" w:hAnsi="宋体" w:eastAsia="宋体" w:cs="Times New Roman"/>
          <w:b/>
          <w:bCs/>
          <w:color w:val="000000"/>
          <w:spacing w:val="-8"/>
          <w:sz w:val="48"/>
          <w:szCs w:val="44"/>
        </w:rPr>
      </w:pPr>
    </w:p>
    <w:p>
      <w:pPr>
        <w:pStyle w:val="2"/>
        <w:rPr>
          <w:rFonts w:hint="eastAsia" w:ascii="Calibri" w:hAnsi="宋体" w:eastAsia="宋体" w:cs="Times New Roman"/>
          <w:b/>
          <w:bCs/>
          <w:color w:val="000000"/>
          <w:spacing w:val="-8"/>
          <w:sz w:val="48"/>
          <w:szCs w:val="44"/>
        </w:rPr>
      </w:pPr>
    </w:p>
    <w:p>
      <w:pPr>
        <w:rPr>
          <w:rFonts w:hint="eastAsia" w:ascii="Calibri" w:hAnsi="宋体" w:eastAsia="宋体" w:cs="Times New Roman"/>
          <w:b/>
          <w:bCs/>
          <w:color w:val="000000"/>
          <w:spacing w:val="-8"/>
          <w:sz w:val="48"/>
          <w:szCs w:val="44"/>
        </w:rPr>
      </w:pPr>
    </w:p>
    <w:p>
      <w:pPr>
        <w:pStyle w:val="2"/>
        <w:rPr>
          <w:rFonts w:hint="eastAsia" w:ascii="Calibri" w:hAnsi="宋体" w:eastAsia="宋体" w:cs="Times New Roman"/>
          <w:b/>
          <w:bCs/>
          <w:color w:val="000000"/>
          <w:spacing w:val="-8"/>
          <w:sz w:val="48"/>
          <w:szCs w:val="44"/>
        </w:rPr>
      </w:pPr>
    </w:p>
    <w:p>
      <w:pPr>
        <w:rPr>
          <w:rFonts w:hint="eastAsia"/>
        </w:rPr>
      </w:pPr>
    </w:p>
    <w:p>
      <w:pPr>
        <w:pStyle w:val="20"/>
      </w:pPr>
    </w:p>
    <w:p>
      <w:pPr>
        <w:pStyle w:val="20"/>
      </w:pPr>
    </w:p>
    <w:p>
      <w:pPr>
        <w:spacing w:line="360" w:lineRule="auto"/>
        <w:jc w:val="center"/>
        <w:outlineLvl w:val="0"/>
        <w:rPr>
          <w:rFonts w:ascii="宋体" w:hAnsi="Calibri" w:eastAsia="宋体" w:cs="Times New Roman"/>
          <w:b/>
          <w:sz w:val="36"/>
          <w:szCs w:val="36"/>
        </w:rPr>
      </w:pPr>
      <w:bookmarkStart w:id="1443"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443"/>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20"/>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bookmarkStart w:id="1444"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left="0" w:leftChars="0" w:right="-189" w:rightChars="-90" w:firstLine="0" w:firstLineChars="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45" w:name="_Toc16330018"/>
      <w:bookmarkStart w:id="1446" w:name="_Toc17619"/>
      <w:bookmarkStart w:id="1447" w:name="_Toc11930"/>
      <w:bookmarkStart w:id="1448" w:name="_Toc11823"/>
      <w:r>
        <w:rPr>
          <w:rFonts w:hint="eastAsia" w:ascii="黑体" w:hAnsi="黑体" w:eastAsia="黑体" w:cstheme="minorEastAsia"/>
          <w:b w:val="0"/>
          <w:sz w:val="28"/>
          <w:szCs w:val="28"/>
        </w:rPr>
        <w:t>1 合同设备</w:t>
      </w:r>
      <w:bookmarkEnd w:id="1445"/>
      <w:bookmarkEnd w:id="1446"/>
      <w:bookmarkEnd w:id="1447"/>
      <w:bookmarkEnd w:id="144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1449" w:name="_Toc22800"/>
      <w:bookmarkStart w:id="1450" w:name="_Toc29026"/>
      <w:bookmarkStart w:id="1451"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52" w:name="_Toc16330019"/>
      <w:r>
        <w:rPr>
          <w:rFonts w:hint="eastAsia" w:ascii="黑体" w:hAnsi="黑体" w:eastAsia="黑体" w:cstheme="minorEastAsia"/>
          <w:b w:val="0"/>
          <w:sz w:val="28"/>
          <w:szCs w:val="28"/>
        </w:rPr>
        <w:t>2 包装</w:t>
      </w:r>
      <w:bookmarkEnd w:id="1449"/>
      <w:bookmarkEnd w:id="1450"/>
      <w:bookmarkEnd w:id="1451"/>
      <w:bookmarkEnd w:id="145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53" w:name="_Toc27144"/>
      <w:bookmarkStart w:id="1454" w:name="_Toc2833"/>
      <w:bookmarkStart w:id="1455" w:name="_Toc16330020"/>
      <w:bookmarkStart w:id="1456" w:name="_Toc27453"/>
      <w:r>
        <w:rPr>
          <w:rFonts w:hint="eastAsia" w:ascii="黑体" w:hAnsi="黑体" w:eastAsia="黑体" w:cstheme="minorEastAsia"/>
          <w:b w:val="0"/>
          <w:sz w:val="28"/>
          <w:szCs w:val="28"/>
        </w:rPr>
        <w:t>3 运输标记</w:t>
      </w:r>
      <w:bookmarkEnd w:id="1453"/>
      <w:bookmarkEnd w:id="1454"/>
      <w:bookmarkEnd w:id="1455"/>
      <w:bookmarkEnd w:id="145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57" w:name="_Toc16330021"/>
      <w:bookmarkStart w:id="1458" w:name="_Toc10630"/>
      <w:bookmarkStart w:id="1459" w:name="_Toc16133"/>
      <w:bookmarkStart w:id="1460" w:name="_Toc7431"/>
      <w:r>
        <w:rPr>
          <w:rFonts w:hint="eastAsia" w:ascii="黑体" w:hAnsi="黑体" w:eastAsia="黑体" w:cstheme="minorEastAsia"/>
          <w:b w:val="0"/>
          <w:sz w:val="28"/>
          <w:szCs w:val="28"/>
        </w:rPr>
        <w:t>4 检验</w:t>
      </w:r>
      <w:bookmarkEnd w:id="1457"/>
      <w:bookmarkEnd w:id="1458"/>
      <w:bookmarkEnd w:id="1459"/>
      <w:bookmarkEnd w:id="14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61" w:name="_Toc16330022"/>
      <w:bookmarkStart w:id="1462" w:name="_Toc24467"/>
      <w:bookmarkStart w:id="1463" w:name="_Toc19850"/>
      <w:bookmarkStart w:id="1464" w:name="_Toc11217"/>
      <w:r>
        <w:rPr>
          <w:rFonts w:hint="eastAsia" w:ascii="黑体" w:hAnsi="黑体" w:eastAsia="黑体" w:cstheme="minorEastAsia"/>
          <w:b w:val="0"/>
          <w:sz w:val="28"/>
          <w:szCs w:val="28"/>
        </w:rPr>
        <w:t>5 权利担保</w:t>
      </w:r>
      <w:bookmarkEnd w:id="1461"/>
      <w:bookmarkEnd w:id="1462"/>
      <w:bookmarkEnd w:id="1463"/>
      <w:bookmarkEnd w:id="146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65" w:name="_Toc14809"/>
      <w:bookmarkStart w:id="1466" w:name="_Toc27500"/>
      <w:bookmarkStart w:id="1467" w:name="_Toc11759"/>
      <w:bookmarkStart w:id="1468" w:name="_Toc16330023"/>
      <w:r>
        <w:rPr>
          <w:rFonts w:hint="eastAsia" w:ascii="黑体" w:hAnsi="黑体" w:eastAsia="黑体" w:cstheme="minorEastAsia"/>
          <w:b w:val="0"/>
          <w:sz w:val="28"/>
          <w:szCs w:val="28"/>
        </w:rPr>
        <w:t>6 交货</w:t>
      </w:r>
      <w:bookmarkEnd w:id="1465"/>
      <w:bookmarkEnd w:id="1466"/>
      <w:bookmarkEnd w:id="1467"/>
      <w:bookmarkEnd w:id="146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69" w:name="_Toc2984"/>
      <w:bookmarkStart w:id="1470" w:name="_Toc16330024"/>
      <w:bookmarkStart w:id="1471" w:name="_Toc8024"/>
      <w:bookmarkStart w:id="1472" w:name="_Toc25510"/>
      <w:r>
        <w:rPr>
          <w:rFonts w:hint="eastAsia" w:ascii="黑体" w:hAnsi="黑体" w:eastAsia="黑体" w:cstheme="minorEastAsia"/>
          <w:b w:val="0"/>
          <w:sz w:val="28"/>
          <w:szCs w:val="28"/>
        </w:rPr>
        <w:t>7 安装、调试</w:t>
      </w:r>
      <w:bookmarkEnd w:id="1469"/>
      <w:bookmarkEnd w:id="1470"/>
      <w:bookmarkEnd w:id="1471"/>
      <w:bookmarkEnd w:id="1472"/>
    </w:p>
    <w:p>
      <w:pPr>
        <w:pStyle w:val="14"/>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73" w:name="_Toc14098"/>
      <w:bookmarkStart w:id="1474" w:name="_Toc14260"/>
      <w:bookmarkStart w:id="1475" w:name="_Toc6350"/>
      <w:bookmarkStart w:id="1476" w:name="_Toc16330025"/>
      <w:r>
        <w:rPr>
          <w:rFonts w:hint="eastAsia" w:ascii="黑体" w:hAnsi="黑体" w:eastAsia="黑体" w:cstheme="minorEastAsia"/>
          <w:b w:val="0"/>
          <w:sz w:val="28"/>
          <w:szCs w:val="28"/>
        </w:rPr>
        <w:t>8 价款与支付</w:t>
      </w:r>
      <w:bookmarkEnd w:id="1473"/>
      <w:bookmarkEnd w:id="1474"/>
      <w:bookmarkEnd w:id="1475"/>
      <w:bookmarkEnd w:id="147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1477" w:name="_Toc14676804"/>
      <w:bookmarkStart w:id="1478"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477"/>
      <w:bookmarkEnd w:id="1478"/>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79" w:name="_Toc24085"/>
      <w:bookmarkStart w:id="1480" w:name="_Toc25708"/>
      <w:bookmarkStart w:id="1481" w:name="_Toc16330026"/>
      <w:bookmarkStart w:id="1482" w:name="_Toc6726"/>
      <w:r>
        <w:rPr>
          <w:rFonts w:hint="eastAsia" w:ascii="黑体" w:hAnsi="黑体" w:eastAsia="黑体" w:cstheme="minorEastAsia"/>
          <w:b w:val="0"/>
          <w:sz w:val="28"/>
          <w:szCs w:val="28"/>
        </w:rPr>
        <w:t>9 质量保证及售后服务</w:t>
      </w:r>
      <w:bookmarkEnd w:id="1479"/>
      <w:bookmarkEnd w:id="1480"/>
      <w:bookmarkEnd w:id="1481"/>
      <w:bookmarkEnd w:id="148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83" w:name="_Toc15570"/>
      <w:bookmarkStart w:id="1484" w:name="_Toc10359"/>
      <w:bookmarkStart w:id="1485" w:name="_Toc12927"/>
      <w:bookmarkStart w:id="1486" w:name="_Toc16330027"/>
      <w:r>
        <w:rPr>
          <w:rFonts w:hint="eastAsia" w:ascii="黑体" w:hAnsi="黑体" w:eastAsia="黑体" w:cstheme="minorEastAsia"/>
          <w:b w:val="0"/>
          <w:sz w:val="28"/>
          <w:szCs w:val="28"/>
        </w:rPr>
        <w:t>10法定责任</w:t>
      </w:r>
      <w:bookmarkEnd w:id="1483"/>
      <w:bookmarkEnd w:id="1484"/>
      <w:bookmarkEnd w:id="1485"/>
      <w:bookmarkEnd w:id="148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87" w:name="_Toc30381"/>
      <w:bookmarkStart w:id="1488" w:name="_Toc9708"/>
      <w:bookmarkStart w:id="1489" w:name="_Toc27314"/>
      <w:bookmarkStart w:id="1490" w:name="_Toc16330028"/>
      <w:r>
        <w:rPr>
          <w:rFonts w:hint="eastAsia" w:ascii="黑体" w:hAnsi="黑体" w:eastAsia="黑体" w:cstheme="minorEastAsia"/>
          <w:b w:val="0"/>
          <w:sz w:val="28"/>
          <w:szCs w:val="28"/>
        </w:rPr>
        <w:t>11 违约责任</w:t>
      </w:r>
      <w:bookmarkEnd w:id="1487"/>
      <w:bookmarkEnd w:id="1488"/>
      <w:bookmarkEnd w:id="1489"/>
      <w:bookmarkEnd w:id="149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91" w:name="_Toc9172"/>
      <w:bookmarkStart w:id="1492" w:name="_Toc16330029"/>
      <w:bookmarkStart w:id="1493" w:name="_Toc1827"/>
      <w:bookmarkStart w:id="1494" w:name="_Toc31554"/>
      <w:r>
        <w:rPr>
          <w:rFonts w:hint="eastAsia" w:ascii="黑体" w:hAnsi="黑体" w:eastAsia="黑体" w:cstheme="minorEastAsia"/>
          <w:b w:val="0"/>
          <w:sz w:val="28"/>
          <w:szCs w:val="28"/>
        </w:rPr>
        <w:t>12 合同的终止与解除</w:t>
      </w:r>
      <w:bookmarkEnd w:id="1491"/>
      <w:bookmarkEnd w:id="1492"/>
      <w:bookmarkEnd w:id="1493"/>
      <w:bookmarkEnd w:id="149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95" w:name="_Toc13671"/>
      <w:bookmarkStart w:id="1496" w:name="_Toc31945"/>
      <w:bookmarkStart w:id="1497" w:name="_Toc16330030"/>
      <w:bookmarkStart w:id="1498" w:name="_Toc8620"/>
      <w:r>
        <w:rPr>
          <w:rFonts w:hint="eastAsia" w:ascii="黑体" w:hAnsi="黑体" w:eastAsia="黑体" w:cstheme="minorEastAsia"/>
          <w:b w:val="0"/>
          <w:sz w:val="28"/>
          <w:szCs w:val="28"/>
        </w:rPr>
        <w:t>13 不可抗力</w:t>
      </w:r>
      <w:bookmarkEnd w:id="1495"/>
      <w:bookmarkEnd w:id="1496"/>
      <w:bookmarkEnd w:id="1497"/>
      <w:bookmarkEnd w:id="149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99" w:name="_Toc637"/>
      <w:bookmarkStart w:id="1500" w:name="_Toc31243"/>
      <w:bookmarkStart w:id="1501" w:name="_Toc16330031"/>
      <w:bookmarkStart w:id="1502" w:name="_Toc30389"/>
      <w:r>
        <w:rPr>
          <w:rFonts w:hint="eastAsia" w:ascii="黑体" w:hAnsi="黑体" w:eastAsia="黑体" w:cstheme="minorEastAsia"/>
          <w:b w:val="0"/>
          <w:sz w:val="28"/>
          <w:szCs w:val="28"/>
        </w:rPr>
        <w:t>14 通讯</w:t>
      </w:r>
      <w:bookmarkEnd w:id="1499"/>
      <w:bookmarkEnd w:id="1500"/>
      <w:bookmarkEnd w:id="1501"/>
      <w:bookmarkEnd w:id="150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240" w:beforeLines="100"/>
        <w:jc w:val="both"/>
        <w:rPr>
          <w:rFonts w:ascii="黑体" w:hAnsi="黑体" w:eastAsia="黑体" w:cstheme="minorEastAsia"/>
          <w:b w:val="0"/>
          <w:sz w:val="28"/>
          <w:szCs w:val="28"/>
        </w:rPr>
      </w:pPr>
      <w:bookmarkStart w:id="1503" w:name="_Toc12984"/>
      <w:bookmarkStart w:id="1504" w:name="_Toc9915"/>
      <w:bookmarkStart w:id="1505" w:name="_Toc11290"/>
      <w:bookmarkStart w:id="1506" w:name="_Toc16330032"/>
      <w:r>
        <w:rPr>
          <w:rFonts w:hint="eastAsia" w:ascii="黑体" w:hAnsi="黑体" w:eastAsia="黑体" w:cstheme="minorEastAsia"/>
          <w:b w:val="0"/>
          <w:sz w:val="28"/>
          <w:szCs w:val="28"/>
        </w:rPr>
        <w:t>15 适用法律及争议解决</w:t>
      </w:r>
      <w:bookmarkEnd w:id="1503"/>
      <w:bookmarkEnd w:id="1504"/>
      <w:bookmarkEnd w:id="1505"/>
      <w:bookmarkEnd w:id="150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507" w:name="_Toc23765"/>
      <w:bookmarkStart w:id="1508" w:name="_Toc16330033"/>
      <w:bookmarkStart w:id="1509" w:name="_Toc18207"/>
      <w:bookmarkStart w:id="1510" w:name="_Toc23906"/>
      <w:r>
        <w:rPr>
          <w:rFonts w:hint="eastAsia" w:ascii="黑体" w:hAnsi="黑体" w:eastAsia="黑体" w:cstheme="minorEastAsia"/>
          <w:b w:val="0"/>
          <w:sz w:val="28"/>
          <w:szCs w:val="28"/>
        </w:rPr>
        <w:t>16 附件</w:t>
      </w:r>
      <w:bookmarkEnd w:id="1507"/>
      <w:bookmarkEnd w:id="1508"/>
      <w:bookmarkEnd w:id="1509"/>
      <w:bookmarkEnd w:id="151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511" w:name="_Toc17656"/>
      <w:bookmarkStart w:id="1512" w:name="_Toc31331"/>
      <w:bookmarkStart w:id="1513" w:name="_Toc27202"/>
      <w:bookmarkStart w:id="1514" w:name="_Toc16330034"/>
      <w:r>
        <w:rPr>
          <w:rFonts w:hint="eastAsia" w:ascii="黑体" w:hAnsi="黑体" w:eastAsia="黑体" w:cstheme="minorEastAsia"/>
          <w:b w:val="0"/>
          <w:sz w:val="28"/>
          <w:szCs w:val="28"/>
        </w:rPr>
        <w:t>17 其他规定</w:t>
      </w:r>
      <w:bookmarkEnd w:id="1511"/>
      <w:bookmarkEnd w:id="1512"/>
      <w:bookmarkEnd w:id="1513"/>
      <w:bookmarkEnd w:id="151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515" w:name="_Toc19077"/>
      <w:bookmarkStart w:id="1516" w:name="_Toc29136"/>
      <w:bookmarkStart w:id="1517" w:name="_Toc16330035"/>
      <w:bookmarkStart w:id="1518"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515"/>
      <w:bookmarkEnd w:id="1516"/>
      <w:bookmarkEnd w:id="1517"/>
      <w:bookmarkEnd w:id="151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黑体" w:hAnsi="黑体" w:eastAsia="黑体" w:cstheme="minorEastAsia"/>
          <w:b w:val="0"/>
          <w:bCs/>
          <w:i/>
          <w:iCs w:val="0"/>
          <w:sz w:val="28"/>
          <w:szCs w:val="28"/>
        </w:rPr>
      </w:pPr>
      <w:bookmarkStart w:id="1519" w:name="_Toc16330037"/>
      <w:bookmarkStart w:id="1520" w:name="_Toc5379"/>
      <w:bookmarkStart w:id="1521" w:name="_Toc25120"/>
      <w:bookmarkStart w:id="1522" w:name="_Toc3778"/>
      <w:bookmarkStart w:id="1523" w:name="_Toc24623"/>
      <w:r>
        <w:rPr>
          <w:rFonts w:hint="eastAsia" w:ascii="黑体" w:hAnsi="黑体" w:eastAsia="黑体" w:cstheme="minorEastAsia"/>
          <w:b w:val="0"/>
          <w:sz w:val="28"/>
          <w:szCs w:val="28"/>
        </w:rPr>
        <w:t xml:space="preserve">附件二 </w:t>
      </w:r>
      <w:bookmarkEnd w:id="1519"/>
      <w:bookmarkEnd w:id="1520"/>
      <w:bookmarkEnd w:id="1521"/>
      <w:bookmarkEnd w:id="1522"/>
      <w:bookmarkEnd w:id="1523"/>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524" w:name="_Toc14341849"/>
    </w:p>
    <w:p>
      <w:pPr>
        <w:ind w:right="480"/>
        <w:jc w:val="center"/>
        <w:rPr>
          <w:sz w:val="24"/>
          <w:szCs w:val="24"/>
        </w:rPr>
      </w:pPr>
      <w:r>
        <w:rPr>
          <w:rFonts w:hint="eastAsia" w:ascii="楷体_GB2312" w:hAnsi="宋体" w:eastAsia="楷体_GB2312"/>
          <w:sz w:val="24"/>
        </w:rPr>
        <w:t xml:space="preserve">                                    </w:t>
      </w:r>
    </w:p>
    <w:bookmarkEnd w:id="1524"/>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2"/>
        <w:ind w:left="0" w:firstLine="0"/>
        <w:rPr>
          <w:rFonts w:ascii="楷体" w:hAnsi="楷体" w:eastAsia="楷体" w:cs="楷体"/>
          <w:b/>
          <w:sz w:val="24"/>
          <w:szCs w:val="28"/>
        </w:rPr>
      </w:pPr>
    </w:p>
    <w:p>
      <w:pPr>
        <w:pStyle w:val="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2"/>
        <w:ind w:left="0" w:firstLine="0"/>
        <w:rPr>
          <w:rFonts w:ascii="楷体" w:hAnsi="楷体" w:eastAsia="楷体" w:cs="楷体"/>
          <w:b/>
          <w:sz w:val="24"/>
          <w:szCs w:val="28"/>
        </w:rPr>
      </w:pPr>
    </w:p>
    <w:p>
      <w:pPr>
        <w:pStyle w:val="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16" w:type="first"/>
          <w:headerReference r:id="rId14" w:type="default"/>
          <w:footerReference r:id="rId15"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44"/>
    </w:p>
    <w:p>
      <w:pPr>
        <w:keepNext/>
        <w:keepLines/>
        <w:outlineLvl w:val="9"/>
        <w:rPr>
          <w:rFonts w:hint="eastAsia" w:ascii="Times New Roman" w:hAnsi="Times New Roman" w:eastAsia="宋体" w:cs="Times New Roman"/>
          <w:b/>
          <w:bCs/>
          <w:color w:val="000000"/>
          <w:sz w:val="24"/>
          <w:szCs w:val="24"/>
        </w:rPr>
      </w:pPr>
    </w:p>
    <w:p>
      <w:pPr>
        <w:pStyle w:val="20"/>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20"/>
        <w:rPr>
          <w:rFonts w:hint="eastAsia"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25" w:name="_Toc25811"/>
      <w:bookmarkStart w:id="1526" w:name="_Toc212369550"/>
      <w:bookmarkStart w:id="1527" w:name="_Toc639004"/>
      <w:bookmarkStart w:id="1528"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25"/>
      <w:bookmarkEnd w:id="1526"/>
      <w:bookmarkEnd w:id="1527"/>
      <w:bookmarkEnd w:id="1528"/>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济南车桥公司前轮毂总成手动装配线能力提升技改项目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济南车桥公司前轮毂总成手动装配线能力提升技改项目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lang w:eastAsia="zh-CN"/>
        </w:rPr>
        <w:t>CGZX2024110242</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pPr>
              <w:pStyle w:val="135"/>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956" w:type="dxa"/>
          </w:tcPr>
          <w:p>
            <w:pPr>
              <w:pStyle w:val="135"/>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4" w:hRule="atLeast"/>
        </w:trPr>
        <w:tc>
          <w:tcPr>
            <w:tcW w:w="1956" w:type="dxa"/>
          </w:tcPr>
          <w:p>
            <w:pPr>
              <w:pStyle w:val="135"/>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5"/>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pPr>
              <w:pStyle w:val="135"/>
              <w:spacing w:before="114"/>
              <w:ind w:left="720"/>
            </w:pPr>
            <w:r>
              <w:t xml:space="preserve">品牌区分 </w:t>
            </w:r>
          </w:p>
        </w:tc>
        <w:tc>
          <w:tcPr>
            <w:tcW w:w="7500" w:type="dxa"/>
            <w:gridSpan w:val="6"/>
          </w:tcPr>
          <w:p>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pPr>
              <w:pStyle w:val="135"/>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5"/>
              <w:spacing w:before="15"/>
              <w:ind w:left="279"/>
            </w:pPr>
            <w:r>
              <w:rPr>
                <w:spacing w:val="-2"/>
              </w:rPr>
              <w:t>质量</w:t>
            </w:r>
            <w:r>
              <w:t xml:space="preserve"> </w:t>
            </w:r>
          </w:p>
          <w:p>
            <w:pPr>
              <w:pStyle w:val="135"/>
              <w:spacing w:before="30" w:line="277" w:lineRule="exact"/>
              <w:ind w:left="279"/>
            </w:pPr>
            <w:r>
              <w:rPr>
                <w:rFonts w:hint="eastAsia"/>
              </w:rPr>
              <w:t>体系</w:t>
            </w:r>
          </w:p>
        </w:tc>
        <w:tc>
          <w:tcPr>
            <w:tcW w:w="2820" w:type="dxa"/>
            <w:gridSpan w:val="2"/>
          </w:tcPr>
          <w:p>
            <w:pPr>
              <w:pStyle w:val="135"/>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9456" w:type="dxa"/>
            <w:gridSpan w:val="7"/>
          </w:tcPr>
          <w:p>
            <w:pPr>
              <w:pStyle w:val="135"/>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0"/>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济南车桥公司前轮毂总成手动装配线能力提升技改项目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济南车桥公司前轮毂总成手动装配线能力提升技改项目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1</w:t>
            </w:r>
          </w:p>
        </w:tc>
        <w:tc>
          <w:tcPr>
            <w:tcW w:w="2544" w:type="dxa"/>
            <w:vAlign w:val="center"/>
          </w:tcPr>
          <w:p>
            <w:pPr>
              <w:widowControl/>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压力机</w:t>
            </w:r>
          </w:p>
        </w:tc>
        <w:tc>
          <w:tcPr>
            <w:tcW w:w="1933"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rPr>
              <w:t>160T</w:t>
            </w:r>
          </w:p>
        </w:tc>
        <w:tc>
          <w:tcPr>
            <w:tcW w:w="1335" w:type="dxa"/>
            <w:vAlign w:val="center"/>
          </w:tcPr>
          <w:p>
            <w:pPr>
              <w:widowControl/>
              <w:jc w:val="center"/>
              <w:textAlignment w:val="center"/>
              <w:rPr>
                <w:rFonts w:hint="eastAsia" w:ascii="Arial" w:eastAsiaTheme="minorEastAsia"/>
                <w:sz w:val="24"/>
                <w:szCs w:val="24"/>
                <w:highlight w:val="none"/>
                <w:lang w:eastAsia="zh-CN"/>
              </w:rPr>
            </w:pPr>
            <w:r>
              <w:rPr>
                <w:rFonts w:hint="eastAsia" w:ascii="宋体" w:hAnsi="宋体" w:eastAsia="宋体" w:cs="宋体"/>
                <w:color w:val="000000"/>
                <w:kern w:val="0"/>
                <w:sz w:val="22"/>
                <w:lang w:bidi="ar"/>
              </w:rPr>
              <w:t>2</w:t>
            </w:r>
          </w:p>
        </w:tc>
        <w:tc>
          <w:tcPr>
            <w:tcW w:w="1824" w:type="dxa"/>
            <w:vAlign w:val="center"/>
          </w:tcPr>
          <w:p>
            <w:pPr>
              <w:widowControl/>
              <w:jc w:val="center"/>
              <w:textAlignment w:val="center"/>
              <w:rPr>
                <w:rFonts w:ascii="Arial"/>
                <w:sz w:val="24"/>
                <w:szCs w:val="24"/>
                <w:highlight w:val="none"/>
              </w:rPr>
            </w:pPr>
            <w:r>
              <w:rPr>
                <w:rFonts w:hint="eastAsia" w:ascii="宋体" w:hAnsi="宋体" w:eastAsia="宋体" w:cs="宋体"/>
                <w:color w:val="000000"/>
                <w:kern w:val="0"/>
                <w:sz w:val="22"/>
                <w:lang w:bidi="ar"/>
              </w:rPr>
              <w:t>台</w:t>
            </w:r>
          </w:p>
        </w:tc>
        <w:tc>
          <w:tcPr>
            <w:tcW w:w="2362" w:type="dxa"/>
            <w:tcBorders>
              <w:left w:val="single" w:color="000000" w:sz="4" w:space="0"/>
            </w:tcBorders>
            <w:vAlign w:val="center"/>
          </w:tcPr>
          <w:p>
            <w:pPr>
              <w:widowControl/>
              <w:jc w:val="center"/>
              <w:textAlignment w:val="center"/>
              <w:rPr>
                <w:rFonts w:hint="eastAsia" w:ascii="Arial" w:hAnsiTheme="minorHAnsi" w:eastAsiaTheme="minorEastAsia" w:cstheme="minorBidi"/>
                <w:kern w:val="2"/>
                <w:sz w:val="24"/>
                <w:szCs w:val="24"/>
                <w:highlight w:val="none"/>
                <w:lang w:val="en-US" w:eastAsia="zh-CN" w:bidi="ar-SA"/>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2</w:t>
            </w:r>
          </w:p>
        </w:tc>
        <w:tc>
          <w:tcPr>
            <w:tcW w:w="2544" w:type="dxa"/>
            <w:vAlign w:val="center"/>
          </w:tcPr>
          <w:p>
            <w:pPr>
              <w:widowControl/>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ABS齿圈综合检测机</w:t>
            </w:r>
          </w:p>
        </w:tc>
        <w:tc>
          <w:tcPr>
            <w:tcW w:w="1933" w:type="dxa"/>
            <w:vAlign w:val="center"/>
          </w:tcPr>
          <w:p>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pPr>
              <w:widowControl/>
              <w:jc w:val="center"/>
              <w:textAlignment w:val="center"/>
              <w:rPr>
                <w:rFonts w:hint="eastAsia" w:ascii="Arial" w:eastAsiaTheme="minorEastAsia"/>
                <w:sz w:val="24"/>
                <w:szCs w:val="24"/>
                <w:highlight w:val="none"/>
                <w:lang w:eastAsia="zh-CN"/>
              </w:rPr>
            </w:pPr>
            <w:r>
              <w:rPr>
                <w:rFonts w:hint="eastAsia" w:ascii="宋体" w:hAnsi="宋体" w:eastAsia="宋体" w:cs="宋体"/>
                <w:color w:val="000000"/>
                <w:kern w:val="0"/>
                <w:sz w:val="22"/>
                <w:lang w:bidi="ar"/>
              </w:rPr>
              <w:t>1</w:t>
            </w:r>
          </w:p>
        </w:tc>
        <w:tc>
          <w:tcPr>
            <w:tcW w:w="1824" w:type="dxa"/>
            <w:vAlign w:val="center"/>
          </w:tcPr>
          <w:p>
            <w:pPr>
              <w:widowControl/>
              <w:jc w:val="center"/>
              <w:textAlignment w:val="center"/>
              <w:rPr>
                <w:rFonts w:ascii="Arial"/>
                <w:sz w:val="24"/>
                <w:szCs w:val="24"/>
                <w:highlight w:val="none"/>
              </w:rPr>
            </w:pPr>
            <w:r>
              <w:rPr>
                <w:rFonts w:hint="eastAsia" w:ascii="宋体" w:hAnsi="宋体" w:eastAsia="宋体" w:cs="宋体"/>
                <w:color w:val="000000"/>
                <w:kern w:val="0"/>
                <w:sz w:val="22"/>
                <w:lang w:bidi="ar"/>
              </w:rPr>
              <w:t>台</w:t>
            </w:r>
          </w:p>
        </w:tc>
        <w:tc>
          <w:tcPr>
            <w:tcW w:w="2362" w:type="dxa"/>
            <w:tcBorders>
              <w:left w:val="single" w:color="000000" w:sz="4" w:space="0"/>
            </w:tcBorders>
            <w:vAlign w:val="center"/>
          </w:tcPr>
          <w:p>
            <w:pPr>
              <w:widowControl/>
              <w:jc w:val="center"/>
              <w:textAlignment w:val="center"/>
              <w:rPr>
                <w:rFonts w:hint="eastAsia" w:ascii="Arial" w:hAnsiTheme="minorHAnsi" w:eastAsiaTheme="minorEastAsia" w:cstheme="minorBidi"/>
                <w:kern w:val="2"/>
                <w:sz w:val="24"/>
                <w:szCs w:val="24"/>
                <w:highlight w:val="none"/>
                <w:lang w:val="en-US" w:eastAsia="zh-CN" w:bidi="ar-SA"/>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3</w:t>
            </w:r>
          </w:p>
        </w:tc>
        <w:tc>
          <w:tcPr>
            <w:tcW w:w="2544" w:type="dxa"/>
            <w:vAlign w:val="center"/>
          </w:tcPr>
          <w:p>
            <w:pPr>
              <w:widowControl/>
              <w:jc w:val="left"/>
              <w:textAlignment w:val="center"/>
              <w:rPr>
                <w:rFonts w:hint="eastAsia" w:ascii="宋体" w:hAnsi="宋体" w:eastAsia="宋体"/>
                <w:sz w:val="24"/>
                <w:szCs w:val="24"/>
                <w:lang w:bidi="ar"/>
              </w:rPr>
            </w:pPr>
            <w:r>
              <w:rPr>
                <w:rFonts w:hint="eastAsia" w:ascii="宋体" w:hAnsi="宋体" w:eastAsia="宋体" w:cs="宋体"/>
                <w:color w:val="000000"/>
                <w:kern w:val="0"/>
                <w:sz w:val="22"/>
                <w:lang w:bidi="ar"/>
              </w:rPr>
              <w:t>轮毂输送辊道</w:t>
            </w:r>
          </w:p>
        </w:tc>
        <w:tc>
          <w:tcPr>
            <w:tcW w:w="1933" w:type="dxa"/>
            <w:vAlign w:val="center"/>
          </w:tcPr>
          <w:p>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1</w:t>
            </w:r>
          </w:p>
        </w:tc>
        <w:tc>
          <w:tcPr>
            <w:tcW w:w="1824" w:type="dxa"/>
            <w:vAlign w:val="center"/>
          </w:tcPr>
          <w:p>
            <w:pPr>
              <w:widowControl/>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2"/>
                <w:lang w:bidi="ar"/>
              </w:rPr>
              <w:t>套</w:t>
            </w:r>
          </w:p>
        </w:tc>
        <w:tc>
          <w:tcPr>
            <w:tcW w:w="2362" w:type="dxa"/>
            <w:tcBorders>
              <w:left w:val="single" w:color="000000" w:sz="4" w:space="0"/>
            </w:tcBorders>
            <w:vAlign w:val="center"/>
          </w:tcPr>
          <w:p>
            <w:pPr>
              <w:widowControl/>
              <w:jc w:val="center"/>
              <w:textAlignment w:val="center"/>
              <w:rPr>
                <w:rFonts w:hint="eastAsia" w:ascii="宋体" w:hAnsi="宋体" w:eastAsia="宋体" w:cs="宋体"/>
                <w:kern w:val="2"/>
                <w:sz w:val="24"/>
                <w:szCs w:val="24"/>
                <w:highlight w:val="none"/>
                <w:lang w:val="en-US" w:eastAsia="zh-CN" w:bidi="ar-SA"/>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72"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4</w:t>
            </w:r>
          </w:p>
        </w:tc>
        <w:tc>
          <w:tcPr>
            <w:tcW w:w="2544" w:type="dxa"/>
            <w:vAlign w:val="center"/>
          </w:tcPr>
          <w:p>
            <w:pPr>
              <w:widowControl/>
              <w:jc w:val="left"/>
              <w:textAlignment w:val="center"/>
              <w:rPr>
                <w:rFonts w:hint="eastAsia" w:ascii="宋体" w:hAnsi="宋体" w:eastAsia="宋体"/>
                <w:sz w:val="24"/>
                <w:szCs w:val="24"/>
                <w:lang w:bidi="ar"/>
              </w:rPr>
            </w:pPr>
            <w:r>
              <w:rPr>
                <w:rFonts w:ascii="宋体" w:hAnsi="宋体" w:eastAsia="宋体" w:cs="宋体"/>
                <w:color w:val="000000"/>
                <w:kern w:val="0"/>
                <w:sz w:val="22"/>
                <w:lang w:bidi="ar"/>
              </w:rPr>
              <w:t>车轮螺栓压装工装</w:t>
            </w:r>
          </w:p>
        </w:tc>
        <w:tc>
          <w:tcPr>
            <w:tcW w:w="1933" w:type="dxa"/>
            <w:vAlign w:val="center"/>
          </w:tcPr>
          <w:p>
            <w:pPr>
              <w:jc w:val="center"/>
              <w:rPr>
                <w:rFonts w:hint="eastAsia" w:ascii="宋体" w:hAnsi="宋体" w:eastAsia="宋体" w:cs="宋体"/>
                <w:sz w:val="24"/>
                <w:szCs w:val="24"/>
                <w:highlight w:val="none"/>
                <w:lang w:val="en-US" w:eastAsia="zh-CN"/>
              </w:rPr>
            </w:pPr>
          </w:p>
        </w:tc>
        <w:tc>
          <w:tcPr>
            <w:tcW w:w="1335"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2</w:t>
            </w:r>
          </w:p>
        </w:tc>
        <w:tc>
          <w:tcPr>
            <w:tcW w:w="1824" w:type="dxa"/>
            <w:vAlign w:val="center"/>
          </w:tcPr>
          <w:p>
            <w:pPr>
              <w:widowControl/>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2"/>
                <w:lang w:bidi="ar"/>
              </w:rPr>
              <w:t>套</w:t>
            </w:r>
          </w:p>
        </w:tc>
        <w:tc>
          <w:tcPr>
            <w:tcW w:w="2362" w:type="dxa"/>
            <w:tcBorders>
              <w:left w:val="single" w:color="000000" w:sz="4" w:space="0"/>
            </w:tcBorders>
            <w:vAlign w:val="center"/>
          </w:tcPr>
          <w:p>
            <w:pPr>
              <w:widowControl/>
              <w:jc w:val="center"/>
              <w:textAlignment w:val="center"/>
              <w:rPr>
                <w:rFonts w:hint="eastAsia" w:ascii="宋体" w:hAnsi="宋体" w:eastAsia="宋体" w:cs="宋体"/>
                <w:kern w:val="2"/>
                <w:sz w:val="24"/>
                <w:szCs w:val="24"/>
                <w:highlight w:val="none"/>
                <w:lang w:val="en-US" w:eastAsia="zh-CN" w:bidi="ar-SA"/>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72" w:type="dxa"/>
            <w:vAlign w:val="center"/>
          </w:tcPr>
          <w:p>
            <w:pPr>
              <w:spacing w:line="240" w:lineRule="auto"/>
              <w:jc w:val="center"/>
              <w:rPr>
                <w:rFonts w:hint="eastAsia" w:ascii="宋体" w:hAnsi="宋体" w:eastAsia="宋体" w:cs="宋体"/>
                <w:sz w:val="24"/>
                <w:szCs w:val="24"/>
                <w:highlight w:val="none"/>
                <w:lang w:val="en-US" w:eastAsia="zh-CN"/>
              </w:rPr>
            </w:pPr>
          </w:p>
        </w:tc>
        <w:tc>
          <w:tcPr>
            <w:tcW w:w="2544" w:type="dxa"/>
            <w:vAlign w:val="center"/>
          </w:tcPr>
          <w:p>
            <w:pPr>
              <w:spacing w:line="360" w:lineRule="exact"/>
              <w:jc w:val="center"/>
              <w:rPr>
                <w:rFonts w:hint="eastAsia" w:ascii="宋体" w:hAnsi="宋体" w:eastAsia="宋体"/>
                <w:sz w:val="24"/>
                <w:szCs w:val="24"/>
                <w:lang w:bidi="ar"/>
              </w:rPr>
            </w:pPr>
          </w:p>
        </w:tc>
        <w:tc>
          <w:tcPr>
            <w:tcW w:w="1933" w:type="dxa"/>
            <w:vAlign w:val="center"/>
          </w:tcPr>
          <w:p>
            <w:pPr>
              <w:spacing w:line="240" w:lineRule="auto"/>
              <w:jc w:val="center"/>
              <w:rPr>
                <w:rFonts w:hint="eastAsia" w:ascii="宋体" w:hAnsi="宋体" w:eastAsia="宋体" w:cs="宋体"/>
                <w:sz w:val="24"/>
                <w:szCs w:val="24"/>
                <w:highlight w:val="none"/>
                <w:lang w:val="en-US" w:eastAsia="zh-CN"/>
              </w:rPr>
            </w:pPr>
          </w:p>
        </w:tc>
        <w:tc>
          <w:tcPr>
            <w:tcW w:w="1335" w:type="dxa"/>
            <w:vAlign w:val="center"/>
          </w:tcPr>
          <w:p>
            <w:pPr>
              <w:spacing w:line="360" w:lineRule="exact"/>
              <w:jc w:val="center"/>
              <w:rPr>
                <w:rFonts w:hint="eastAsia" w:ascii="宋体" w:hAnsi="宋体" w:eastAsia="宋体" w:cs="宋体"/>
                <w:sz w:val="24"/>
                <w:szCs w:val="24"/>
                <w:highlight w:val="none"/>
                <w:lang w:val="en-US" w:eastAsia="zh-CN"/>
              </w:rPr>
            </w:pPr>
          </w:p>
        </w:tc>
        <w:tc>
          <w:tcPr>
            <w:tcW w:w="1824" w:type="dxa"/>
            <w:vAlign w:val="center"/>
          </w:tcPr>
          <w:p>
            <w:pPr>
              <w:spacing w:line="240" w:lineRule="auto"/>
              <w:jc w:val="center"/>
              <w:rPr>
                <w:rFonts w:hint="eastAsia" w:ascii="宋体" w:hAnsi="宋体" w:eastAsia="宋体" w:cs="宋体"/>
                <w:sz w:val="24"/>
                <w:szCs w:val="24"/>
                <w:highlight w:val="none"/>
              </w:rPr>
            </w:pPr>
          </w:p>
        </w:tc>
        <w:tc>
          <w:tcPr>
            <w:tcW w:w="2362" w:type="dxa"/>
            <w:tcBorders>
              <w:left w:val="single" w:color="000000" w:sz="4" w:space="0"/>
            </w:tcBorders>
            <w:vAlign w:val="center"/>
          </w:tcPr>
          <w:p>
            <w:pPr>
              <w:spacing w:line="240" w:lineRule="auto"/>
              <w:jc w:val="center"/>
              <w:rPr>
                <w:rFonts w:ascii="Arial"/>
                <w:sz w:val="24"/>
                <w:szCs w:val="24"/>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2544" w:type="dxa"/>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以上投标设备不足之处请往下添加序号自行补充</w:t>
            </w:r>
          </w:p>
        </w:tc>
        <w:tc>
          <w:tcPr>
            <w:tcW w:w="1933" w:type="dxa"/>
          </w:tcPr>
          <w:p>
            <w:pPr>
              <w:spacing w:line="240" w:lineRule="auto"/>
              <w:jc w:val="center"/>
              <w:rPr>
                <w:rFonts w:hint="eastAsia" w:ascii="宋体" w:hAnsi="宋体" w:eastAsia="宋体" w:cs="宋体"/>
                <w:sz w:val="24"/>
                <w:szCs w:val="24"/>
                <w:highlight w:val="none"/>
                <w:lang w:val="en-US" w:eastAsia="zh-CN"/>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6"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济南车桥公司前轮毂总成手动装配线能力提升技改项目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济南车桥公司前轮毂总成手动装配线能力提升技改项目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济南车桥公司前轮毂总成手动装配线能力提升技改项目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济南车桥公司前轮毂总成手动装配线能力提升技改项目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ind w:left="0" w:leftChars="0" w:firstLine="90" w:firstLineChars="43"/>
              <w:jc w:val="both"/>
              <w:rPr>
                <w:rFonts w:hint="default" w:ascii="等线" w:hAnsi="等线" w:eastAsia="等线" w:cs="Times New Roman"/>
                <w:b/>
                <w:szCs w:val="20"/>
                <w:u w:val="single"/>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r>
              <w:rPr>
                <w:rFonts w:hint="eastAsia" w:ascii="等线" w:hAnsi="等线" w:eastAsia="等线" w:cs="Times New Roman"/>
                <w:b/>
                <w:szCs w:val="20"/>
                <w:u w:val="single"/>
                <w:lang w:val="en-US" w:eastAsia="zh-CN"/>
              </w:rPr>
              <w:t xml:space="preserve">          </w:t>
            </w:r>
          </w:p>
          <w:p>
            <w:pPr>
              <w:jc w:val="both"/>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ind w:left="0" w:leftChars="0" w:firstLine="511" w:firstLineChars="243"/>
              <w:jc w:val="both"/>
              <w:rPr>
                <w:rFonts w:hint="default" w:ascii="Times New Roman" w:hAnsi="Times New Roman" w:eastAsia="等线" w:cs="Times New Roman"/>
                <w:b/>
                <w:szCs w:val="20"/>
                <w:u w:val="single"/>
                <w:lang w:val="en-US" w:eastAsia="zh-CN"/>
              </w:rPr>
            </w:pPr>
            <w:r>
              <w:rPr>
                <w:rFonts w:hint="eastAsia" w:ascii="等线" w:hAnsi="等线" w:eastAsia="等线" w:cs="Times New Roman"/>
                <w:b/>
                <w:szCs w:val="20"/>
              </w:rPr>
              <w:t>税率：</w:t>
            </w:r>
            <w:r>
              <w:rPr>
                <w:rFonts w:hint="eastAsia" w:ascii="等线" w:hAnsi="等线" w:eastAsia="等线" w:cs="Times New Roman"/>
                <w:b/>
                <w:szCs w:val="20"/>
                <w:u w:val="single"/>
                <w:lang w:val="en-US" w:eastAsia="zh-CN"/>
              </w:rPr>
              <w:t xml:space="preserve">        </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0"/>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393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2853"/>
        <w:gridCol w:w="1651"/>
        <w:gridCol w:w="973"/>
        <w:gridCol w:w="938"/>
        <w:gridCol w:w="1881"/>
        <w:gridCol w:w="1595"/>
        <w:gridCol w:w="1856"/>
        <w:gridCol w:w="16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6"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53"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165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973"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3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88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595"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856" w:type="dxa"/>
            <w:tcBorders>
              <w:top w:val="single" w:color="000000" w:sz="2" w:space="0"/>
              <w:left w:val="nil"/>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53"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165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973"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3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88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595"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856" w:type="dxa"/>
            <w:tcBorders>
              <w:top w:val="single" w:color="000000" w:sz="2" w:space="0"/>
              <w:left w:val="nil"/>
              <w:bottom w:val="single" w:color="000000" w:sz="2" w:space="0"/>
              <w:right w:val="single" w:color="000000" w:sz="2" w:space="0"/>
            </w:tcBorders>
            <w:vAlign w:val="center"/>
          </w:tcPr>
          <w:p>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总价[6</w:t>
            </w:r>
            <w:r>
              <w:rPr>
                <w:rFonts w:hint="eastAsia" w:ascii="宋体" w:hAnsi="宋体" w:eastAsia="Times New Roman" w:cs="Times New Roman"/>
                <w:b/>
                <w:kern w:val="0"/>
                <w:sz w:val="20"/>
                <w:szCs w:val="20"/>
              </w:rPr>
              <w:t>×8]</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1</w:t>
            </w: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宋体" w:hAnsi="宋体" w:eastAsia="宋体" w:cs="宋体"/>
                <w:sz w:val="24"/>
                <w:szCs w:val="24"/>
              </w:rPr>
            </w:pPr>
            <w:r>
              <w:rPr>
                <w:rFonts w:hint="eastAsia" w:ascii="宋体" w:hAnsi="宋体" w:eastAsia="宋体" w:cs="宋体"/>
                <w:color w:val="000000"/>
                <w:kern w:val="0"/>
                <w:sz w:val="22"/>
                <w:lang w:bidi="ar"/>
              </w:rPr>
              <w:t>压力机</w:t>
            </w: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160T</w:t>
            </w: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2"/>
                <w:lang w:bidi="ar"/>
              </w:rPr>
              <w:t>台</w:t>
            </w: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2"/>
                <w:lang w:bidi="ar"/>
              </w:rPr>
              <w:t>2</w:t>
            </w: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 w:hAnsi="仿宋" w:eastAsia="仿宋"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2</w:t>
            </w: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宋体" w:hAnsi="宋体" w:eastAsia="宋体" w:cs="宋体"/>
                <w:sz w:val="24"/>
                <w:szCs w:val="24"/>
              </w:rPr>
            </w:pPr>
            <w:r>
              <w:rPr>
                <w:rFonts w:hint="eastAsia" w:ascii="宋体" w:hAnsi="宋体" w:eastAsia="宋体" w:cs="宋体"/>
                <w:color w:val="000000"/>
                <w:kern w:val="0"/>
                <w:sz w:val="22"/>
                <w:lang w:bidi="ar"/>
              </w:rPr>
              <w:t>ABS齿圈综合检测机</w:t>
            </w: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2"/>
                <w:lang w:bidi="ar"/>
              </w:rPr>
              <w:t>台</w:t>
            </w: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2"/>
                <w:lang w:bidi="ar"/>
              </w:rPr>
              <w:t>1</w:t>
            </w: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3</w:t>
            </w: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宋体" w:hAnsi="宋体" w:eastAsia="宋体" w:cs="宋体"/>
                <w:sz w:val="24"/>
                <w:szCs w:val="24"/>
              </w:rPr>
            </w:pPr>
            <w:r>
              <w:rPr>
                <w:rFonts w:hint="eastAsia" w:ascii="宋体" w:hAnsi="宋体" w:eastAsia="宋体" w:cs="宋体"/>
                <w:color w:val="000000"/>
                <w:kern w:val="0"/>
                <w:sz w:val="22"/>
                <w:lang w:bidi="ar"/>
              </w:rPr>
              <w:t>轮毂输送辊道</w:t>
            </w: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2"/>
                <w:lang w:bidi="ar"/>
              </w:rPr>
              <w:t>套</w:t>
            </w: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2"/>
                <w:lang w:bidi="ar"/>
              </w:rPr>
              <w:t>1</w:t>
            </w: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kern w:val="0"/>
                <w:szCs w:val="21"/>
              </w:rPr>
            </w:pPr>
            <w:r>
              <w:rPr>
                <w:rFonts w:hint="eastAsia" w:ascii="宋体" w:hAnsi="宋体" w:eastAsia="宋体" w:cs="宋体"/>
                <w:color w:val="000000"/>
                <w:kern w:val="0"/>
                <w:sz w:val="22"/>
                <w:lang w:bidi="ar"/>
              </w:rPr>
              <w:t>4</w:t>
            </w: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宋体" w:hAnsi="宋体" w:eastAsia="宋体" w:cs="宋体"/>
                <w:sz w:val="24"/>
                <w:szCs w:val="24"/>
              </w:rPr>
            </w:pPr>
            <w:r>
              <w:rPr>
                <w:rFonts w:ascii="宋体" w:hAnsi="宋体" w:eastAsia="宋体" w:cs="宋体"/>
                <w:color w:val="000000"/>
                <w:kern w:val="0"/>
                <w:sz w:val="22"/>
                <w:lang w:bidi="ar"/>
              </w:rPr>
              <w:t>车轮螺栓压装工装</w:t>
            </w: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2"/>
                <w:lang w:bidi="ar"/>
              </w:rPr>
              <w:t>套</w:t>
            </w: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kern w:val="0"/>
                <w:sz w:val="22"/>
                <w:lang w:bidi="ar"/>
              </w:rPr>
              <w:t>2</w:t>
            </w: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kern w:val="0"/>
                <w:szCs w:val="21"/>
              </w:rPr>
            </w:pP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kern w:val="0"/>
                <w:szCs w:val="21"/>
              </w:rPr>
            </w:pP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left"/>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kern w:val="0"/>
                <w:szCs w:val="21"/>
              </w:rPr>
            </w:pP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kern w:val="0"/>
                <w:szCs w:val="21"/>
              </w:rPr>
            </w:pP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0" w:hRule="atLeast"/>
        </w:trPr>
        <w:tc>
          <w:tcPr>
            <w:tcW w:w="555" w:type="dxa"/>
            <w:tcBorders>
              <w:top w:val="single" w:color="000000" w:sz="2" w:space="0"/>
              <w:left w:val="single" w:color="000000" w:sz="2" w:space="0"/>
              <w:bottom w:val="single" w:color="000000" w:sz="2" w:space="0"/>
              <w:right w:val="single" w:color="000000" w:sz="4" w:space="0"/>
            </w:tcBorders>
            <w:vAlign w:val="center"/>
          </w:tcPr>
          <w:p>
            <w:pPr>
              <w:jc w:val="left"/>
              <w:rPr>
                <w:rFonts w:ascii="宋体" w:hAnsi="宋体" w:eastAsia="宋体" w:cs="Times New Roman"/>
                <w:spacing w:val="-6"/>
                <w:kern w:val="0"/>
                <w:sz w:val="20"/>
                <w:szCs w:val="20"/>
              </w:rPr>
            </w:pPr>
          </w:p>
        </w:tc>
        <w:tc>
          <w:tcPr>
            <w:tcW w:w="9891" w:type="dxa"/>
            <w:gridSpan w:val="6"/>
            <w:tcBorders>
              <w:top w:val="single" w:color="000000" w:sz="2" w:space="0"/>
              <w:left w:val="single" w:color="000000" w:sz="2" w:space="0"/>
              <w:bottom w:val="single" w:color="000000" w:sz="2" w:space="0"/>
              <w:right w:val="single" w:color="000000" w:sz="4" w:space="0"/>
            </w:tcBorders>
            <w:vAlign w:val="center"/>
          </w:tcPr>
          <w:p>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bl>
    <w:p>
      <w:pPr>
        <w:spacing w:before="58" w:line="219" w:lineRule="auto"/>
        <w:ind w:left="8"/>
        <w:rPr>
          <w:rFonts w:ascii="宋体" w:hAnsi="宋体" w:eastAsia="宋体" w:cs="宋体"/>
          <w:spacing w:val="-8"/>
          <w:szCs w:val="21"/>
        </w:rPr>
      </w:pP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9"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0"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0"/>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2"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0"/>
      </w:pPr>
    </w:p>
    <w:p>
      <w:pPr>
        <w:pStyle w:val="20"/>
      </w:pPr>
    </w:p>
    <w:p>
      <w:pPr>
        <w:spacing w:before="140" w:line="220" w:lineRule="auto"/>
        <w:ind w:left="2" w:firstLine="464" w:firstLineChars="200"/>
        <w:rPr>
          <w:rFonts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济南车桥公司前轮毂总成手动装配线能力提升技改项目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济南车桥公司前轮毂总成手动装配线能力提升技改项目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济南车桥公司前轮毂总成手动装配线能力提升技改项目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0"/>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济南车桥公司前轮毂总成手动装配线能力提升技改项目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0"/>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宋体" w:hAnsi="宋体" w:eastAsia="宋体" w:cs="宋体"/>
          <w:color w:val="000000"/>
          <w:sz w:val="24"/>
          <w:szCs w:val="24"/>
          <w:lang w:eastAsia="zh-CN"/>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41"/>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25"/>
        <w:gridCol w:w="775"/>
        <w:gridCol w:w="5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hint="eastAsia" w:ascii="宋体" w:hAnsi="宋体" w:eastAsiaTheme="minorEastAsia"/>
                <w:b/>
                <w:sz w:val="18"/>
                <w:szCs w:val="18"/>
                <w:lang w:val="en-US" w:eastAsia="zh-CN"/>
              </w:rPr>
            </w:pPr>
            <w:r>
              <w:rPr>
                <w:rFonts w:hint="eastAsia" w:ascii="宋体" w:hAnsi="宋体"/>
                <w:b/>
                <w:sz w:val="18"/>
                <w:szCs w:val="18"/>
                <w:lang w:val="en-US" w:eastAsia="zh-CN"/>
              </w:rPr>
              <w:t>一</w:t>
            </w:r>
          </w:p>
        </w:tc>
        <w:tc>
          <w:tcPr>
            <w:tcW w:w="9000"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hint="eastAsia" w:ascii="宋体" w:hAnsi="宋体" w:eastAsiaTheme="minorEastAsia"/>
                <w:b/>
                <w:sz w:val="18"/>
                <w:szCs w:val="18"/>
                <w:lang w:val="en-US" w:eastAsia="zh-CN"/>
              </w:rPr>
            </w:pPr>
            <w:r>
              <w:rPr>
                <w:rFonts w:hint="eastAsia" w:ascii="宋体" w:hAnsi="宋体" w:eastAsia="宋体" w:cs="宋体"/>
                <w:b/>
                <w:sz w:val="28"/>
                <w:szCs w:val="28"/>
                <w:lang w:val="en-US" w:eastAsia="zh-CN"/>
              </w:rPr>
              <w:t>技术标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序号</w:t>
            </w:r>
          </w:p>
        </w:tc>
        <w:tc>
          <w:tcPr>
            <w:tcW w:w="32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内   容</w:t>
            </w:r>
          </w:p>
        </w:tc>
        <w:tc>
          <w:tcPr>
            <w:tcW w:w="77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标准分</w:t>
            </w:r>
          </w:p>
        </w:tc>
        <w:tc>
          <w:tcPr>
            <w:tcW w:w="5000"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1</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szCs w:val="21"/>
              </w:rPr>
            </w:pPr>
            <w:r>
              <w:rPr>
                <w:rFonts w:hint="eastAsia" w:ascii="宋体" w:hAnsi="宋体"/>
                <w:bCs/>
              </w:rPr>
              <w:t>设备制造商装备制造能力、生产设备、加工工艺、完善程度</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Theme="minorEastAsia"/>
                <w:bCs/>
                <w:szCs w:val="21"/>
                <w:lang w:val="en-US" w:eastAsia="zh-CN"/>
              </w:rPr>
            </w:pPr>
            <w:r>
              <w:rPr>
                <w:rFonts w:hint="eastAsia" w:ascii="宋体" w:hAnsi="宋体"/>
                <w:bCs/>
              </w:rPr>
              <w:t>投标人的装备制造能力、生产设备、加工工艺先进、完善程度，视情况得0-</w:t>
            </w:r>
            <w:r>
              <w:rPr>
                <w:rFonts w:hint="eastAsia" w:ascii="宋体" w:hAnsi="宋体"/>
                <w:bCs/>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2</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bCs/>
              </w:rPr>
              <w:t>产品方案技术先进、各系统完善、性能可靠，设备主要核心部件，具备自身技术优势</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50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Theme="minorEastAsia"/>
                <w:bCs/>
                <w:szCs w:val="21"/>
                <w:lang w:val="en-US" w:eastAsia="zh-CN"/>
              </w:rPr>
            </w:pPr>
            <w:r>
              <w:rPr>
                <w:rFonts w:hint="eastAsia" w:ascii="宋体" w:hAnsi="宋体"/>
                <w:bCs/>
              </w:rPr>
              <w:t>产品方案技术先进、各系统完善、性能可靠，设备主要核心部件，具备自身技术优势，节能环保，视情况得0-</w:t>
            </w:r>
            <w:r>
              <w:rPr>
                <w:rFonts w:hint="eastAsia" w:ascii="宋体" w:hAnsi="宋体"/>
                <w:bCs/>
                <w:lang w:val="en-US" w:eastAsia="zh-CN"/>
              </w:rPr>
              <w:t>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3</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bCs/>
              </w:rPr>
              <w:t>产品维保</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eastAsia="宋体"/>
                <w:bCs/>
                <w:szCs w:val="21"/>
              </w:rPr>
            </w:pPr>
            <w:r>
              <w:rPr>
                <w:rFonts w:hint="eastAsia" w:ascii="宋体" w:hAnsi="宋体"/>
                <w:bCs/>
              </w:rPr>
              <w:t>易于维修、操作方便，产品附件配置齐全，质量可靠，设备在使用期内的维护费用，视情况得0-</w:t>
            </w:r>
            <w:r>
              <w:rPr>
                <w:rFonts w:hint="eastAsia" w:ascii="宋体" w:hAnsi="宋体"/>
                <w:bCs/>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4</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szCs w:val="21"/>
              </w:rPr>
            </w:pPr>
            <w:r>
              <w:rPr>
                <w:rFonts w:hint="eastAsia" w:ascii="宋体" w:hAnsi="宋体"/>
              </w:rPr>
              <w:t>计划控制</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bCs/>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bCs/>
              </w:rPr>
              <w:t>有详细可行的行动计划能保证项目进度，有风险管理。综合评审，自主赋分。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5</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szCs w:val="21"/>
              </w:rPr>
            </w:pPr>
            <w:r>
              <w:rPr>
                <w:rFonts w:hint="eastAsia" w:ascii="宋体" w:hAnsi="宋体"/>
              </w:rPr>
              <w:t>业绩</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bCs/>
              </w:rPr>
              <w:t>最近连续三年有国内或国外知名品牌商用车或乘用车供货经历和经验或其他大型供货经历，提供3份以上投标同类产品开发合同证明材料，得5分；提供3份得4分；提供2份得3分；提供1份证明材料的，得2分；无证明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6</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eastAsia="宋体"/>
                <w:szCs w:val="21"/>
              </w:rPr>
            </w:pPr>
            <w:r>
              <w:rPr>
                <w:rFonts w:hint="eastAsia" w:ascii="宋体" w:hAnsi="宋体"/>
              </w:rPr>
              <w:t>质量保证</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bCs/>
              </w:rPr>
              <w:t>具有良好的质量管理体系和完备的检测体系，保证设备造质量符合要求（提供相应证明材料）。根据提供的资料综合评审，自主赋分。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lang w:val="en-US" w:eastAsia="zh-CN"/>
              </w:rPr>
            </w:pPr>
            <w:r>
              <w:rPr>
                <w:rFonts w:hint="eastAsia" w:ascii="宋体" w:hAnsi="宋体" w:eastAsia="宋体"/>
                <w:lang w:val="en-US" w:eastAsia="zh-CN"/>
              </w:rPr>
              <w:t>7</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eastAsiaTheme="minorEastAsia"/>
                <w:lang w:val="en-US" w:eastAsia="zh-CN"/>
              </w:rPr>
            </w:pPr>
            <w:r>
              <w:rPr>
                <w:rFonts w:hint="eastAsia"/>
                <w:szCs w:val="21"/>
                <w:lang w:val="en-US" w:eastAsia="zh-CN"/>
              </w:rPr>
              <w:t>技术偏离</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Theme="minorEastAsia"/>
                <w:lang w:val="en-US" w:eastAsia="zh-CN"/>
              </w:rPr>
            </w:pPr>
            <w:r>
              <w:rPr>
                <w:rFonts w:hint="eastAsia" w:ascii="宋体" w:hAnsi="宋体"/>
                <w:lang w:val="en-US" w:eastAsia="zh-CN"/>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bCs/>
              </w:rPr>
            </w:pPr>
            <w:r>
              <w:rPr>
                <w:rFonts w:hint="eastAsia"/>
                <w:szCs w:val="21"/>
                <w:lang w:val="en-US" w:eastAsia="zh-CN"/>
              </w:rPr>
              <w:t>技术方案优于招标要求的加分，不满足招标要求的减分，综合评议，自主赋分</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8</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宋体"/>
                <w:szCs w:val="21"/>
                <w:lang w:val="en-US" w:eastAsia="zh-CN"/>
              </w:rPr>
            </w:pPr>
            <w:r>
              <w:rPr>
                <w:rFonts w:hint="eastAsia" w:ascii="宋体" w:hAnsi="宋体" w:eastAsia="宋体"/>
                <w:lang w:val="en-US" w:eastAsia="zh-CN"/>
              </w:rPr>
              <w:t>项目交期</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pPr>
              <w:tabs>
                <w:tab w:val="left" w:pos="7854"/>
              </w:tabs>
              <w:rPr>
                <w:rFonts w:hint="default" w:ascii="宋体" w:hAnsi="Times New Roman" w:eastAsiaTheme="minorEastAsia"/>
                <w:bCs/>
                <w:szCs w:val="21"/>
                <w:lang w:val="en-US" w:eastAsia="zh-CN"/>
              </w:rPr>
            </w:pPr>
            <w:r>
              <w:rPr>
                <w:rFonts w:hint="eastAsia"/>
                <w:szCs w:val="21"/>
              </w:rPr>
              <w:t>可以提前完成项目交货，视情况得</w:t>
            </w:r>
            <w:r>
              <w:rPr>
                <w:szCs w:val="21"/>
              </w:rPr>
              <w:t>0-</w:t>
            </w:r>
            <w:r>
              <w:rPr>
                <w:rFonts w:hint="eastAsia"/>
                <w:szCs w:val="21"/>
                <w:lang w:val="en-US" w:eastAsia="zh-CN"/>
              </w:rPr>
              <w:t>10分。</w:t>
            </w:r>
          </w:p>
        </w:tc>
      </w:tr>
    </w:tbl>
    <w:p>
      <w:pPr>
        <w:spacing w:line="360" w:lineRule="auto"/>
        <w:ind w:firstLine="480" w:firstLineChars="200"/>
        <w:rPr>
          <w:rFonts w:hint="eastAsia" w:ascii="宋体" w:hAnsi="宋体" w:eastAsia="宋体" w:cs="宋体"/>
          <w:color w:val="000000"/>
          <w:sz w:val="24"/>
          <w:szCs w:val="24"/>
        </w:rPr>
      </w:pPr>
    </w:p>
    <w:tbl>
      <w:tblPr>
        <w:tblStyle w:val="41"/>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二</w:t>
            </w:r>
          </w:p>
        </w:tc>
        <w:tc>
          <w:tcPr>
            <w:tcW w:w="9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eastAsiaTheme="minorEastAsia"/>
                <w:bCs/>
                <w:lang w:val="en-US" w:eastAsia="zh-CN"/>
              </w:rPr>
            </w:pPr>
            <w:r>
              <w:rPr>
                <w:rFonts w:hint="eastAsia" w:ascii="宋体" w:hAnsi="宋体" w:eastAsia="宋体" w:cs="宋体"/>
                <w:b/>
                <w:sz w:val="28"/>
                <w:szCs w:val="28"/>
                <w:lang w:val="en-US" w:eastAsia="zh-CN"/>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分；其他投标人的价格得分按下列公式计算：投标价格得分=</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×（评标基准价/投标报价）。</w:t>
            </w:r>
          </w:p>
          <w:p>
            <w:pPr>
              <w:spacing w:line="420" w:lineRule="exact"/>
              <w:rPr>
                <w:rFonts w:hint="eastAsia"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三</w:t>
            </w:r>
          </w:p>
        </w:tc>
        <w:tc>
          <w:tcPr>
            <w:tcW w:w="9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bCs/>
                <w:lang w:val="en-US" w:eastAsia="zh-CN"/>
              </w:rPr>
            </w:pPr>
            <w:r>
              <w:rPr>
                <w:rFonts w:hint="eastAsia" w:ascii="宋体" w:hAnsi="宋体" w:eastAsia="宋体" w:cs="宋体"/>
                <w:b/>
                <w:sz w:val="28"/>
                <w:szCs w:val="28"/>
                <w:lang w:val="en-US" w:eastAsia="zh-CN"/>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57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bCs/>
              </w:rPr>
            </w:pPr>
            <w:r>
              <w:rPr>
                <w:rFonts w:hint="eastAsia" w:ascii="宋体" w:hAnsi="Times New Roman" w:eastAsia="宋体" w:cs="Times New Roman"/>
                <w:b/>
                <w:bCs w:val="0"/>
                <w:sz w:val="24"/>
                <w:szCs w:val="24"/>
                <w:lang w:val="en-US" w:eastAsia="zh-CN"/>
              </w:rPr>
              <w:t>综合得分=技术分×30%＋商务标得分×70%</w:t>
            </w:r>
          </w:p>
        </w:tc>
      </w:tr>
    </w:tbl>
    <w:p>
      <w:pPr>
        <w:pStyle w:val="2"/>
        <w:rPr>
          <w:rFonts w:hint="eastAsia"/>
        </w:rPr>
      </w:pP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hint="eastAsia" w:eastAsia="宋体"/>
          <w:lang w:eastAsia="zh-CN"/>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lang w:eastAsia="zh-CN"/>
        </w:rPr>
        <w:t>定。</w:t>
      </w:r>
    </w:p>
    <w:p>
      <w:pPr>
        <w:pStyle w:val="20"/>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20"/>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1"/>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62"/>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63"/>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64"/>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20"/>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65"/>
                    <a:stretch>
                      <a:fillRect/>
                    </a:stretch>
                  </pic:blipFill>
                  <pic:spPr>
                    <a:xfrm>
                      <a:off x="0" y="0"/>
                      <a:ext cx="5760085" cy="2810122"/>
                    </a:xfrm>
                    <a:prstGeom prst="rect">
                      <a:avLst/>
                    </a:prstGeom>
                  </pic:spPr>
                </pic:pic>
              </a:graphicData>
            </a:graphic>
          </wp:inline>
        </w:drawing>
      </w:r>
    </w:p>
    <w:p>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66"/>
                    <a:stretch>
                      <a:fillRect/>
                    </a:stretch>
                  </pic:blipFill>
                  <pic:spPr>
                    <a:xfrm>
                      <a:off x="0" y="0"/>
                      <a:ext cx="5760085" cy="2820042"/>
                    </a:xfrm>
                    <a:prstGeom prst="rect">
                      <a:avLst/>
                    </a:prstGeom>
                  </pic:spPr>
                </pic:pic>
              </a:graphicData>
            </a:graphic>
          </wp:inline>
        </w:drawing>
      </w:r>
    </w:p>
    <w:p>
      <w:pPr>
        <w:pStyle w:val="20"/>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20"/>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pPr>
        <w:pStyle w:val="20"/>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pPr>
    </w:p>
    <w:p>
      <w:pPr>
        <w:pStyle w:val="20"/>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9"/>
          <w:rFonts w:hint="eastAsia" w:ascii="宋体" w:hAnsi="宋体" w:eastAsia="宋体" w:cs="宋体"/>
          <w:sz w:val="24"/>
          <w:szCs w:val="24"/>
        </w:rPr>
        <w:fldChar w:fldCharType="begin"/>
      </w:r>
      <w:r>
        <w:rPr>
          <w:rStyle w:val="4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9"/>
          <w:rFonts w:hint="eastAsia" w:ascii="宋体" w:hAnsi="宋体" w:eastAsia="宋体" w:cs="宋体"/>
          <w:sz w:val="24"/>
          <w:szCs w:val="24"/>
        </w:rPr>
        <w:fldChar w:fldCharType="separate"/>
      </w:r>
      <w:r>
        <w:rPr>
          <w:rStyle w:val="49"/>
          <w:rFonts w:hint="eastAsia" w:ascii="宋体" w:hAnsi="宋体" w:eastAsia="宋体" w:cs="宋体"/>
          <w:sz w:val="24"/>
          <w:szCs w:val="24"/>
        </w:rPr>
        <w:t>http</w:t>
      </w:r>
      <w:r>
        <w:rPr>
          <w:rStyle w:val="49"/>
          <w:rFonts w:hint="eastAsia" w:ascii="宋体" w:hAnsi="宋体" w:eastAsia="宋体" w:cs="宋体"/>
          <w:sz w:val="24"/>
          <w:szCs w:val="24"/>
          <w:lang w:val="en-US" w:eastAsia="zh-CN"/>
        </w:rPr>
        <w:t>s</w:t>
      </w:r>
      <w:r>
        <w:rPr>
          <w:rStyle w:val="49"/>
          <w:rFonts w:hint="eastAsia" w:ascii="宋体" w:hAnsi="宋体" w:eastAsia="宋体" w:cs="宋体"/>
          <w:sz w:val="24"/>
          <w:szCs w:val="24"/>
        </w:rPr>
        <w:t>://ecaitong.sinotruk.com:8012/</w:t>
      </w:r>
      <w:r>
        <w:rPr>
          <w:rStyle w:val="49"/>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67"/>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68"/>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20"/>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9"/>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70"/>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71"/>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72"/>
                    <a:stretch>
                      <a:fillRect/>
                    </a:stretch>
                  </pic:blipFill>
                  <pic:spPr>
                    <a:xfrm>
                      <a:off x="0" y="0"/>
                      <a:ext cx="5760085" cy="1956600"/>
                    </a:xfrm>
                    <a:prstGeom prst="rect">
                      <a:avLst/>
                    </a:prstGeom>
                  </pic:spPr>
                </pic:pic>
              </a:graphicData>
            </a:graphic>
          </wp:inline>
        </w:drawing>
      </w:r>
    </w:p>
    <w:p>
      <w:pPr>
        <w:pStyle w:val="20"/>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8CF3C52"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w:pict>
        <v:shape id="PowerPlusWaterMarkObject81859546" o:spid="_x0000_s4125" o:spt="136" type="#_x0000_t136" style="position:absolute;left:0pt;margin-left:711.4pt;margin-top:169.4pt;height:14pt;width:129pt;mso-position-horizontal-relative:margin;mso-position-vertical-relative:margin;rotation:-2949120f;z-index:-25159884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1748336" o:spid="_x0000_s4126" o:spt="136" type="#_x0000_t136" style="position:absolute;left:0pt;margin-left:599pt;margin-top:281.85pt;height:14pt;width:129pt;mso-position-horizontal-relative:margin;mso-position-vertical-relative:margin;rotation:-2949120f;z-index:-25159987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1194555" o:spid="_x0000_s4127" o:spt="136" type="#_x0000_t136" style="position:absolute;left:0pt;margin-left:486.55pt;margin-top:394.25pt;height:14pt;width:129pt;mso-position-horizontal-relative:margin;mso-position-vertical-relative:margin;rotation:-2949120f;z-index:-25160089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0591529" o:spid="_x0000_s4128" o:spt="136" type="#_x0000_t136" style="position:absolute;left:0pt;margin-left:374.15pt;margin-top:506.7pt;height:14pt;width:129pt;mso-position-horizontal-relative:margin;mso-position-vertical-relative:margin;rotation:-2949120f;z-index:-25160192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0140105" o:spid="_x0000_s4129" o:spt="136" type="#_x0000_t136" style="position:absolute;left:0pt;margin-left:599pt;margin-top:-77.45pt;height:14pt;width:129pt;mso-position-horizontal-relative:margin;mso-position-vertical-relative:margin;rotation:-2949120f;z-index:-25160294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9678133" o:spid="_x0000_s4130" o:spt="136" type="#_x0000_t136" style="position:absolute;left:0pt;margin-left:486.55pt;margin-top:34.95pt;height:14pt;width:129pt;mso-position-horizontal-relative:margin;mso-position-vertical-relative:margin;rotation:-2949120f;z-index:-25160396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815248" o:spid="_x0000_s4131" o:spt="136" type="#_x0000_t136" style="position:absolute;left:0pt;margin-left:374.15pt;margin-top:147.4pt;height:14pt;width:129pt;mso-position-horizontal-relative:margin;mso-position-vertical-relative:margin;rotation:-2949120f;z-index:-25160499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720005" o:spid="_x0000_s4132" o:spt="136" type="#_x0000_t136" style="position:absolute;left:0pt;margin-left:261.7pt;margin-top:259.8pt;height:14pt;width:129pt;mso-position-horizontal-relative:margin;mso-position-vertical-relative:margin;rotation:-2949120f;z-index:-25160601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383655" o:spid="_x0000_s4133" o:spt="136" type="#_x0000_t136" style="position:absolute;left:0pt;margin-left:149.25pt;margin-top:372.25pt;height:14pt;width:129pt;mso-position-horizontal-relative:margin;mso-position-vertical-relative:margin;rotation:-2949120f;z-index:-25160704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709287" o:spid="_x0000_s4134" o:spt="136" type="#_x0000_t136" style="position:absolute;left:0pt;margin-left:36.85pt;margin-top:484.7pt;height:14pt;width:129pt;mso-position-horizontal-relative:margin;mso-position-vertical-relative:margin;rotation:-2949120f;z-index:-25160806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395115" o:spid="_x0000_s4135" o:spt="136" type="#_x0000_t136" style="position:absolute;left:0pt;margin-left:261.7pt;margin-top:-99.5pt;height:14pt;width:129pt;mso-position-horizontal-relative:margin;mso-position-vertical-relative:margin;rotation:-2949120f;z-index:-25160908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093838" o:spid="_x0000_s4136" o:spt="136" type="#_x0000_t136" style="position:absolute;left:0pt;margin-left:149.25pt;margin-top:12.95pt;height:14pt;width:129pt;mso-position-horizontal-relative:margin;mso-position-vertical-relative:margin;rotation:-2949120f;z-index:-25161011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6310596" o:spid="_x0000_s4137" o:spt="136" type="#_x0000_t136" style="position:absolute;left:0pt;margin-left:36.85pt;margin-top:125.4pt;height:14pt;width:129pt;mso-position-horizontal-relative:margin;mso-position-vertical-relative:margin;rotation:-2949120f;z-index:-25161113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5638810" o:spid="_x0000_s4138" o:spt="136" type="#_x0000_t136" style="position:absolute;left:0pt;margin-left:-75.6pt;margin-top:237.8pt;height:14pt;width:129pt;mso-position-horizontal-relative:margin;mso-position-vertical-relative:margin;rotation:-2949120f;z-index:-25161216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12" w:space="9"/>
      </w:pBdr>
      <w:jc w:val="both"/>
    </w:pPr>
    <w:r>
      <w:drawing>
        <wp:inline distT="0" distB="0" distL="114300" distR="114300">
          <wp:extent cx="1428750" cy="3429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r>
      <w:rPr>
        <w:rFonts w:hint="eastAsia" w:ascii="黑体" w:eastAsia="黑体" w:cs="黑体"/>
        <w:sz w:val="24"/>
        <w:szCs w:val="24"/>
      </w:rPr>
      <w:t>成套货物</w:t>
    </w:r>
    <w:r>
      <w:rPr>
        <w:rFonts w:ascii="黑体" w:eastAsia="黑体" w:cs="黑体"/>
        <w:sz w:val="24"/>
        <w:szCs w:val="24"/>
      </w:rPr>
      <w:t>/</w:t>
    </w:r>
    <w:r>
      <w:rPr>
        <w:rFonts w:hint="eastAsia" w:ascii="黑体" w:eastAsia="黑体" w:cs="黑体"/>
        <w:sz w:val="24"/>
        <w:szCs w:val="24"/>
      </w:rPr>
      <w:t>生产线招标文件技术标书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r>
      <w:rPr>
        <w:sz w:val="18"/>
      </w:rPr>
      <w:pict>
        <v:shape id="PowerPlusWaterMarkObject9043044" o:spid="_x0000_s4097" o:spt="136" type="#_x0000_t136" style="position:absolute;left:0pt;margin-left:472.35pt;margin-top:400.0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8089202" o:spid="_x0000_s4098" o:spt="136" type="#_x0000_t136" style="position:absolute;left:0pt;margin-left:359.95pt;margin-top:512.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7149450" o:spid="_x0000_s4099" o:spt="136" type="#_x0000_t136" style="position:absolute;left:0pt;margin-left:247.5pt;margin-top:624.9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6412293" o:spid="_x0000_s4100" o:spt="136" type="#_x0000_t136" style="position:absolute;left:0pt;margin-left:135.05pt;margin-top:737.3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5922735" o:spid="_x0000_s4101" o:spt="136" type="#_x0000_t136" style="position:absolute;left:0pt;margin-left:472.35pt;margin-top:40.7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5327273" o:spid="_x0000_s4102" o:spt="136" type="#_x0000_t136" style="position:absolute;left:0pt;margin-left:359.95pt;margin-top:153.1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4341382" o:spid="_x0000_s4103" o:spt="136" type="#_x0000_t136" style="position:absolute;left:0pt;margin-left:247.5pt;margin-top:265.6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3987704" o:spid="_x0000_s4104" o:spt="136" type="#_x0000_t136" style="position:absolute;left:0pt;margin-left:135.05pt;margin-top:378.0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3070278" o:spid="_x0000_s4105" o:spt="136" type="#_x0000_t136" style="position:absolute;left:0pt;margin-left:22.65pt;margin-top:490.4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2084049" o:spid="_x0000_s4106" o:spt="136" type="#_x0000_t136" style="position:absolute;left:0pt;margin-left:-89.8pt;margin-top:602.9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892867" o:spid="_x0000_s4107" o:spt="136" type="#_x0000_t136" style="position:absolute;left:0pt;margin-left:247.5pt;margin-top:-93.7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054599" o:spid="_x0000_s4108" o:spt="136" type="#_x0000_t136" style="position:absolute;left:0pt;margin-left:135.05pt;margin-top:18.7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641384" o:spid="_x0000_s4109" o:spt="136" type="#_x0000_t136" style="position:absolute;left:0pt;margin-left:22.65pt;margin-top:131.1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08737" o:spid="_x0000_s4110" o:spt="136" type="#_x0000_t136" style="position:absolute;left:0pt;margin-left:-89.8pt;margin-top:243.55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r>
      <w:rPr>
        <w:sz w:val="18"/>
      </w:rPr>
      <w:pict>
        <v:shape id="PowerPlusWaterMarkObject74730566" o:spid="_x0000_s4139" o:spt="136" type="#_x0000_t136" style="position:absolute;left:0pt;margin-left:711.4pt;margin-top:169.4pt;height:14pt;width:129pt;mso-position-horizontal-relative:margin;mso-position-vertical-relative:margin;rotation:-2949120f;z-index:-25161318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4215494" o:spid="_x0000_s4140" o:spt="136" type="#_x0000_t136" style="position:absolute;left:0pt;margin-left:599pt;margin-top:281.85pt;height:14pt;width:129pt;mso-position-horizontal-relative:margin;mso-position-vertical-relative:margin;rotation:-2949120f;z-index:-25161420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3553336" o:spid="_x0000_s4141" o:spt="136" type="#_x0000_t136" style="position:absolute;left:0pt;margin-left:486.55pt;margin-top:394.25pt;height:14pt;width:129pt;mso-position-horizontal-relative:margin;mso-position-vertical-relative:margin;rotation:-2949120f;z-index:-25161523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864606" o:spid="_x0000_s4142" o:spt="136" type="#_x0000_t136" style="position:absolute;left:0pt;margin-left:374.15pt;margin-top:506.7pt;height:14pt;width:129pt;mso-position-horizontal-relative:margin;mso-position-vertical-relative:margin;rotation:-2949120f;z-index:-25161625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828398" o:spid="_x0000_s4143" o:spt="136" type="#_x0000_t136" style="position:absolute;left:0pt;margin-left:599pt;margin-top:-77.45pt;height:14pt;width:129pt;mso-position-horizontal-relative:margin;mso-position-vertical-relative:margin;rotation:-2949120f;z-index:-25161728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563767" o:spid="_x0000_s4144" o:spt="136" type="#_x0000_t136" style="position:absolute;left:0pt;margin-left:486.55pt;margin-top:34.95pt;height:14pt;width:129pt;mso-position-horizontal-relative:margin;mso-position-vertical-relative:margin;rotation:-2949120f;z-index:-25161830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386113" o:spid="_x0000_s4145" o:spt="136" type="#_x0000_t136" style="position:absolute;left:0pt;margin-left:374.15pt;margin-top:147.4pt;height:14pt;width:129pt;mso-position-horizontal-relative:margin;mso-position-vertical-relative:margin;rotation:-2949120f;z-index:-25161932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246531" o:spid="_x0000_s4146" o:spt="136" type="#_x0000_t136" style="position:absolute;left:0pt;margin-left:261.7pt;margin-top:259.8pt;height:14pt;width:129pt;mso-position-horizontal-relative:margin;mso-position-vertical-relative:margin;rotation:-2949120f;z-index:-25162035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155929" o:spid="_x0000_s4147" o:spt="136" type="#_x0000_t136" style="position:absolute;left:0pt;margin-left:149.25pt;margin-top:372.25pt;height:14pt;width:129pt;mso-position-horizontal-relative:margin;mso-position-vertical-relative:margin;rotation:-2949120f;z-index:-25162137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1491388" o:spid="_x0000_s4148" o:spt="136" type="#_x0000_t136" style="position:absolute;left:0pt;margin-left:36.85pt;margin-top:484.7pt;height:14pt;width:129pt;mso-position-horizontal-relative:margin;mso-position-vertical-relative:margin;rotation:-2949120f;z-index:-25162240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1264145" o:spid="_x0000_s4149" o:spt="136" type="#_x0000_t136" style="position:absolute;left:0pt;margin-left:261.7pt;margin-top:-99.5pt;height:14pt;width:129pt;mso-position-horizontal-relative:margin;mso-position-vertical-relative:margin;rotation:-2949120f;z-index:-25162342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0749767" o:spid="_x0000_s4150" o:spt="136" type="#_x0000_t136" style="position:absolute;left:0pt;margin-left:149.25pt;margin-top:12.9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0708251" o:spid="_x0000_s4151" o:spt="136" type="#_x0000_t136" style="position:absolute;left:0pt;margin-left:36.85pt;margin-top:125.4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69991268" o:spid="_x0000_s4152" o:spt="136" type="#_x0000_t136" style="position:absolute;left:0pt;margin-left:-75.6pt;margin-top:237.8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2"/>
  </w:num>
  <w:num w:numId="2">
    <w:abstractNumId w:val="8"/>
  </w:num>
  <w:num w:numId="3">
    <w:abstractNumId w:val="0"/>
  </w:num>
  <w:num w:numId="4">
    <w:abstractNumId w:val="9"/>
  </w:num>
  <w:num w:numId="5">
    <w:abstractNumId w:val="5"/>
  </w:num>
  <w:num w:numId="6">
    <w:abstractNumId w:val="3"/>
  </w:num>
  <w:num w:numId="7">
    <w:abstractNumId w:val="7"/>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1A1F11"/>
    <w:rsid w:val="014832F2"/>
    <w:rsid w:val="014D51C1"/>
    <w:rsid w:val="01714809"/>
    <w:rsid w:val="01C52478"/>
    <w:rsid w:val="025C7FF6"/>
    <w:rsid w:val="027408EE"/>
    <w:rsid w:val="02963F39"/>
    <w:rsid w:val="02A62A31"/>
    <w:rsid w:val="02B3095A"/>
    <w:rsid w:val="02BA7274"/>
    <w:rsid w:val="02C32E43"/>
    <w:rsid w:val="02E61E15"/>
    <w:rsid w:val="03251978"/>
    <w:rsid w:val="0325718A"/>
    <w:rsid w:val="042921B6"/>
    <w:rsid w:val="043B2EAD"/>
    <w:rsid w:val="043B72BB"/>
    <w:rsid w:val="04461EC1"/>
    <w:rsid w:val="04504B3F"/>
    <w:rsid w:val="04915503"/>
    <w:rsid w:val="04AD02B8"/>
    <w:rsid w:val="04DE51C8"/>
    <w:rsid w:val="04DF17D4"/>
    <w:rsid w:val="05412745"/>
    <w:rsid w:val="05491761"/>
    <w:rsid w:val="055C1AD8"/>
    <w:rsid w:val="05A351AD"/>
    <w:rsid w:val="05B85D44"/>
    <w:rsid w:val="05F9748A"/>
    <w:rsid w:val="06266F78"/>
    <w:rsid w:val="063E7B7A"/>
    <w:rsid w:val="06582413"/>
    <w:rsid w:val="067E33B8"/>
    <w:rsid w:val="06E82FCB"/>
    <w:rsid w:val="06F34B95"/>
    <w:rsid w:val="07571DAC"/>
    <w:rsid w:val="084859A3"/>
    <w:rsid w:val="08DD171B"/>
    <w:rsid w:val="08E64121"/>
    <w:rsid w:val="090D588C"/>
    <w:rsid w:val="0942017F"/>
    <w:rsid w:val="09BA1FBB"/>
    <w:rsid w:val="09CB139F"/>
    <w:rsid w:val="0A0106F5"/>
    <w:rsid w:val="0A112AB7"/>
    <w:rsid w:val="0A4E5482"/>
    <w:rsid w:val="0AAA504A"/>
    <w:rsid w:val="0AD71BC7"/>
    <w:rsid w:val="0AF420EB"/>
    <w:rsid w:val="0B2B2BF5"/>
    <w:rsid w:val="0B2F3908"/>
    <w:rsid w:val="0B3F6206"/>
    <w:rsid w:val="0B6E15DE"/>
    <w:rsid w:val="0BE12DB6"/>
    <w:rsid w:val="0BFC6504"/>
    <w:rsid w:val="0C345AD1"/>
    <w:rsid w:val="0C626CE4"/>
    <w:rsid w:val="0D0C2B7B"/>
    <w:rsid w:val="0D5F6D00"/>
    <w:rsid w:val="0D9308F8"/>
    <w:rsid w:val="0DE76C3D"/>
    <w:rsid w:val="0E1A1D85"/>
    <w:rsid w:val="0E750568"/>
    <w:rsid w:val="0E9C3C97"/>
    <w:rsid w:val="0EE46134"/>
    <w:rsid w:val="0F2D7A80"/>
    <w:rsid w:val="0F4277E5"/>
    <w:rsid w:val="0F4C5227"/>
    <w:rsid w:val="0F684B57"/>
    <w:rsid w:val="0FA75561"/>
    <w:rsid w:val="0FB83603"/>
    <w:rsid w:val="0FCA77F1"/>
    <w:rsid w:val="0FCD5DCC"/>
    <w:rsid w:val="0FDB0E3A"/>
    <w:rsid w:val="10043197"/>
    <w:rsid w:val="10270545"/>
    <w:rsid w:val="103409DF"/>
    <w:rsid w:val="106D52D4"/>
    <w:rsid w:val="1087069D"/>
    <w:rsid w:val="108A1D4B"/>
    <w:rsid w:val="10921F4C"/>
    <w:rsid w:val="10A10111"/>
    <w:rsid w:val="10A17FC7"/>
    <w:rsid w:val="10BE093E"/>
    <w:rsid w:val="10E20BD8"/>
    <w:rsid w:val="111B0FE9"/>
    <w:rsid w:val="112C77F4"/>
    <w:rsid w:val="114755AB"/>
    <w:rsid w:val="115F67A8"/>
    <w:rsid w:val="119604A6"/>
    <w:rsid w:val="119A7465"/>
    <w:rsid w:val="11C07DA5"/>
    <w:rsid w:val="11C2491E"/>
    <w:rsid w:val="11F36B75"/>
    <w:rsid w:val="12491386"/>
    <w:rsid w:val="12751983"/>
    <w:rsid w:val="12887F77"/>
    <w:rsid w:val="12E60579"/>
    <w:rsid w:val="12E66E96"/>
    <w:rsid w:val="12EB0F02"/>
    <w:rsid w:val="12FE6E3A"/>
    <w:rsid w:val="13016943"/>
    <w:rsid w:val="134A6EFE"/>
    <w:rsid w:val="13695B36"/>
    <w:rsid w:val="1372609F"/>
    <w:rsid w:val="13D73572"/>
    <w:rsid w:val="14504752"/>
    <w:rsid w:val="145A6A37"/>
    <w:rsid w:val="1467440F"/>
    <w:rsid w:val="153955DC"/>
    <w:rsid w:val="15400323"/>
    <w:rsid w:val="15433A9B"/>
    <w:rsid w:val="15481005"/>
    <w:rsid w:val="15584512"/>
    <w:rsid w:val="15A93017"/>
    <w:rsid w:val="15FC2F04"/>
    <w:rsid w:val="16181FAC"/>
    <w:rsid w:val="163C579E"/>
    <w:rsid w:val="164B1DA1"/>
    <w:rsid w:val="16501B6B"/>
    <w:rsid w:val="168756A0"/>
    <w:rsid w:val="16F94849"/>
    <w:rsid w:val="17045E51"/>
    <w:rsid w:val="172011D4"/>
    <w:rsid w:val="17252C3B"/>
    <w:rsid w:val="173F0A2E"/>
    <w:rsid w:val="17770BC2"/>
    <w:rsid w:val="17860E2F"/>
    <w:rsid w:val="17A119AA"/>
    <w:rsid w:val="18586F2B"/>
    <w:rsid w:val="19442DF9"/>
    <w:rsid w:val="19873C1D"/>
    <w:rsid w:val="19A766B9"/>
    <w:rsid w:val="19AF3EFD"/>
    <w:rsid w:val="19CE76BA"/>
    <w:rsid w:val="19F26070"/>
    <w:rsid w:val="19F97C8B"/>
    <w:rsid w:val="1A1523CE"/>
    <w:rsid w:val="1A6A6939"/>
    <w:rsid w:val="1AA730BD"/>
    <w:rsid w:val="1B333D5D"/>
    <w:rsid w:val="1B587618"/>
    <w:rsid w:val="1B5F19C7"/>
    <w:rsid w:val="1B823DEE"/>
    <w:rsid w:val="1C1C709B"/>
    <w:rsid w:val="1C4F6795"/>
    <w:rsid w:val="1C9F6814"/>
    <w:rsid w:val="1CCB626F"/>
    <w:rsid w:val="1D1F0356"/>
    <w:rsid w:val="1D5C514E"/>
    <w:rsid w:val="1D865D14"/>
    <w:rsid w:val="1D8705EC"/>
    <w:rsid w:val="1DD872E4"/>
    <w:rsid w:val="1DEC0E7D"/>
    <w:rsid w:val="1E43150B"/>
    <w:rsid w:val="1EA93E80"/>
    <w:rsid w:val="1ED04B7D"/>
    <w:rsid w:val="1ED33FB6"/>
    <w:rsid w:val="1EE81332"/>
    <w:rsid w:val="1F197111"/>
    <w:rsid w:val="1F32415A"/>
    <w:rsid w:val="1F424861"/>
    <w:rsid w:val="1F542F9A"/>
    <w:rsid w:val="1F702632"/>
    <w:rsid w:val="1F7E2174"/>
    <w:rsid w:val="1FDC6454"/>
    <w:rsid w:val="1FE63629"/>
    <w:rsid w:val="20107567"/>
    <w:rsid w:val="2035487C"/>
    <w:rsid w:val="204149A4"/>
    <w:rsid w:val="20916A7C"/>
    <w:rsid w:val="20AB56C6"/>
    <w:rsid w:val="214A3F2E"/>
    <w:rsid w:val="21547789"/>
    <w:rsid w:val="2176507C"/>
    <w:rsid w:val="217C1026"/>
    <w:rsid w:val="21BE35AF"/>
    <w:rsid w:val="21C11174"/>
    <w:rsid w:val="22244B28"/>
    <w:rsid w:val="22467FD4"/>
    <w:rsid w:val="229451FD"/>
    <w:rsid w:val="22A12DB6"/>
    <w:rsid w:val="22D11FA9"/>
    <w:rsid w:val="236356D1"/>
    <w:rsid w:val="236B5802"/>
    <w:rsid w:val="23A91C83"/>
    <w:rsid w:val="23C962E8"/>
    <w:rsid w:val="247E4FED"/>
    <w:rsid w:val="24AD78E0"/>
    <w:rsid w:val="24B30BE8"/>
    <w:rsid w:val="24E34060"/>
    <w:rsid w:val="253A0491"/>
    <w:rsid w:val="254E0478"/>
    <w:rsid w:val="25E036B2"/>
    <w:rsid w:val="25E9082A"/>
    <w:rsid w:val="25F42473"/>
    <w:rsid w:val="26372DC2"/>
    <w:rsid w:val="269C17B8"/>
    <w:rsid w:val="26AF2D79"/>
    <w:rsid w:val="26B34B91"/>
    <w:rsid w:val="27014C27"/>
    <w:rsid w:val="270D66E8"/>
    <w:rsid w:val="27514612"/>
    <w:rsid w:val="278B0DAB"/>
    <w:rsid w:val="279C6B0E"/>
    <w:rsid w:val="27A64735"/>
    <w:rsid w:val="27CC4DF2"/>
    <w:rsid w:val="281864F2"/>
    <w:rsid w:val="286903EF"/>
    <w:rsid w:val="287F5DD3"/>
    <w:rsid w:val="288047CB"/>
    <w:rsid w:val="289E62FA"/>
    <w:rsid w:val="28FD6E90"/>
    <w:rsid w:val="291E2CA6"/>
    <w:rsid w:val="29331862"/>
    <w:rsid w:val="29861C3F"/>
    <w:rsid w:val="299741EC"/>
    <w:rsid w:val="299E147F"/>
    <w:rsid w:val="29C32A87"/>
    <w:rsid w:val="29CF26DC"/>
    <w:rsid w:val="2A1C5DA0"/>
    <w:rsid w:val="2A200D39"/>
    <w:rsid w:val="2A280AB9"/>
    <w:rsid w:val="2A507EFF"/>
    <w:rsid w:val="2ADC05A4"/>
    <w:rsid w:val="2AEF2177"/>
    <w:rsid w:val="2B5D60D4"/>
    <w:rsid w:val="2B6F0D7F"/>
    <w:rsid w:val="2B8716BD"/>
    <w:rsid w:val="2B8B76FF"/>
    <w:rsid w:val="2BD5034F"/>
    <w:rsid w:val="2BE05C4E"/>
    <w:rsid w:val="2C924AE7"/>
    <w:rsid w:val="2CB77649"/>
    <w:rsid w:val="2D025012"/>
    <w:rsid w:val="2D3B693B"/>
    <w:rsid w:val="2D4178F0"/>
    <w:rsid w:val="2D7711AA"/>
    <w:rsid w:val="2D7D58EB"/>
    <w:rsid w:val="2DA45D22"/>
    <w:rsid w:val="2DAE631A"/>
    <w:rsid w:val="2DD65954"/>
    <w:rsid w:val="2DD877E0"/>
    <w:rsid w:val="2DE616C9"/>
    <w:rsid w:val="2DE801DF"/>
    <w:rsid w:val="2DFC2451"/>
    <w:rsid w:val="2E3422F8"/>
    <w:rsid w:val="2E3D68D2"/>
    <w:rsid w:val="2E453743"/>
    <w:rsid w:val="2E6E566D"/>
    <w:rsid w:val="2E7F188E"/>
    <w:rsid w:val="2EA91D49"/>
    <w:rsid w:val="2EBC0905"/>
    <w:rsid w:val="2EC73739"/>
    <w:rsid w:val="2EFB1B0E"/>
    <w:rsid w:val="2F5C684F"/>
    <w:rsid w:val="2F63756E"/>
    <w:rsid w:val="2F6812EF"/>
    <w:rsid w:val="2F922AC9"/>
    <w:rsid w:val="2FE6553A"/>
    <w:rsid w:val="303D4E30"/>
    <w:rsid w:val="30767505"/>
    <w:rsid w:val="307776D1"/>
    <w:rsid w:val="30862574"/>
    <w:rsid w:val="309D1AAC"/>
    <w:rsid w:val="30A36336"/>
    <w:rsid w:val="30AD52F3"/>
    <w:rsid w:val="30B631E1"/>
    <w:rsid w:val="30F658E4"/>
    <w:rsid w:val="311933AA"/>
    <w:rsid w:val="314C32D2"/>
    <w:rsid w:val="317D15BB"/>
    <w:rsid w:val="31D07E6C"/>
    <w:rsid w:val="31D907BC"/>
    <w:rsid w:val="323F65DA"/>
    <w:rsid w:val="32412074"/>
    <w:rsid w:val="32DE0199"/>
    <w:rsid w:val="332D3F59"/>
    <w:rsid w:val="333C2963"/>
    <w:rsid w:val="335B2774"/>
    <w:rsid w:val="33A4642E"/>
    <w:rsid w:val="33D4039C"/>
    <w:rsid w:val="33D47E05"/>
    <w:rsid w:val="33DF460E"/>
    <w:rsid w:val="3413677D"/>
    <w:rsid w:val="342B544B"/>
    <w:rsid w:val="345E036E"/>
    <w:rsid w:val="34A7571D"/>
    <w:rsid w:val="34C47852"/>
    <w:rsid w:val="34DE1E4F"/>
    <w:rsid w:val="34F07DB1"/>
    <w:rsid w:val="357E6FD1"/>
    <w:rsid w:val="359009FB"/>
    <w:rsid w:val="35D354B8"/>
    <w:rsid w:val="35D4025C"/>
    <w:rsid w:val="362666BC"/>
    <w:rsid w:val="363646D4"/>
    <w:rsid w:val="368A6B11"/>
    <w:rsid w:val="36ED2AA8"/>
    <w:rsid w:val="36F44712"/>
    <w:rsid w:val="37085B1F"/>
    <w:rsid w:val="372E04CB"/>
    <w:rsid w:val="38783D6C"/>
    <w:rsid w:val="387A46CB"/>
    <w:rsid w:val="38E070F2"/>
    <w:rsid w:val="390D33AB"/>
    <w:rsid w:val="391E6D06"/>
    <w:rsid w:val="39573D9E"/>
    <w:rsid w:val="39D63AE8"/>
    <w:rsid w:val="3A074847"/>
    <w:rsid w:val="3A830B2E"/>
    <w:rsid w:val="3AA90FE6"/>
    <w:rsid w:val="3AA9318F"/>
    <w:rsid w:val="3AB62DA0"/>
    <w:rsid w:val="3B057828"/>
    <w:rsid w:val="3B69577B"/>
    <w:rsid w:val="3B702D85"/>
    <w:rsid w:val="3B7D3FD5"/>
    <w:rsid w:val="3B7F4E52"/>
    <w:rsid w:val="3B823DDF"/>
    <w:rsid w:val="3BC4191A"/>
    <w:rsid w:val="3BD827B4"/>
    <w:rsid w:val="3C1D3AA1"/>
    <w:rsid w:val="3C237ED3"/>
    <w:rsid w:val="3C4D2D59"/>
    <w:rsid w:val="3C872CDC"/>
    <w:rsid w:val="3CAA596A"/>
    <w:rsid w:val="3CAF1D22"/>
    <w:rsid w:val="3CB1587B"/>
    <w:rsid w:val="3CB735F2"/>
    <w:rsid w:val="3D186684"/>
    <w:rsid w:val="3D260E6E"/>
    <w:rsid w:val="3D363C36"/>
    <w:rsid w:val="3D686B10"/>
    <w:rsid w:val="3D8B2178"/>
    <w:rsid w:val="3D8F4DAA"/>
    <w:rsid w:val="3DB34909"/>
    <w:rsid w:val="3DD115F5"/>
    <w:rsid w:val="3DE435F0"/>
    <w:rsid w:val="3DE5122C"/>
    <w:rsid w:val="3DF37E53"/>
    <w:rsid w:val="3E0E37DD"/>
    <w:rsid w:val="3ED26DE9"/>
    <w:rsid w:val="3EED17D0"/>
    <w:rsid w:val="3F0C0304"/>
    <w:rsid w:val="3F774839"/>
    <w:rsid w:val="3FBD02CF"/>
    <w:rsid w:val="3FEC147E"/>
    <w:rsid w:val="3FED7DE8"/>
    <w:rsid w:val="40376375"/>
    <w:rsid w:val="411411E7"/>
    <w:rsid w:val="412732B7"/>
    <w:rsid w:val="4127791F"/>
    <w:rsid w:val="41281794"/>
    <w:rsid w:val="413C1FDF"/>
    <w:rsid w:val="41806A69"/>
    <w:rsid w:val="41B0259C"/>
    <w:rsid w:val="41B77686"/>
    <w:rsid w:val="41BC6F1C"/>
    <w:rsid w:val="41EF2363"/>
    <w:rsid w:val="41F77860"/>
    <w:rsid w:val="424A4B98"/>
    <w:rsid w:val="42581D3A"/>
    <w:rsid w:val="428E23A1"/>
    <w:rsid w:val="42CC5625"/>
    <w:rsid w:val="42CC79A8"/>
    <w:rsid w:val="42ED2EA4"/>
    <w:rsid w:val="42F6649D"/>
    <w:rsid w:val="42FE0080"/>
    <w:rsid w:val="43315D2E"/>
    <w:rsid w:val="43670C99"/>
    <w:rsid w:val="43824A1C"/>
    <w:rsid w:val="43D110E1"/>
    <w:rsid w:val="43E873C9"/>
    <w:rsid w:val="441575BD"/>
    <w:rsid w:val="44905B1F"/>
    <w:rsid w:val="45056C1E"/>
    <w:rsid w:val="45316885"/>
    <w:rsid w:val="45A95EE9"/>
    <w:rsid w:val="45FB0F21"/>
    <w:rsid w:val="46167166"/>
    <w:rsid w:val="46174EF7"/>
    <w:rsid w:val="4636719A"/>
    <w:rsid w:val="465859F2"/>
    <w:rsid w:val="47200EE3"/>
    <w:rsid w:val="47435AC2"/>
    <w:rsid w:val="47544B78"/>
    <w:rsid w:val="47587AF7"/>
    <w:rsid w:val="47745A86"/>
    <w:rsid w:val="47886D63"/>
    <w:rsid w:val="47E239AC"/>
    <w:rsid w:val="480F4B73"/>
    <w:rsid w:val="487974BD"/>
    <w:rsid w:val="48AE506D"/>
    <w:rsid w:val="48DB38E3"/>
    <w:rsid w:val="49001B5E"/>
    <w:rsid w:val="49376DB0"/>
    <w:rsid w:val="49804BB7"/>
    <w:rsid w:val="49826DCB"/>
    <w:rsid w:val="499013E7"/>
    <w:rsid w:val="49A22843"/>
    <w:rsid w:val="49C8088A"/>
    <w:rsid w:val="4A0F6D68"/>
    <w:rsid w:val="4A233384"/>
    <w:rsid w:val="4A301C93"/>
    <w:rsid w:val="4A3302AB"/>
    <w:rsid w:val="4A572A17"/>
    <w:rsid w:val="4A6F2535"/>
    <w:rsid w:val="4AC85D49"/>
    <w:rsid w:val="4AE308A9"/>
    <w:rsid w:val="4AF21305"/>
    <w:rsid w:val="4B260F2D"/>
    <w:rsid w:val="4B9049B6"/>
    <w:rsid w:val="4B9A1456"/>
    <w:rsid w:val="4BA32C82"/>
    <w:rsid w:val="4BD134C2"/>
    <w:rsid w:val="4BE70627"/>
    <w:rsid w:val="4C0A5AE1"/>
    <w:rsid w:val="4C130AB8"/>
    <w:rsid w:val="4C5A284D"/>
    <w:rsid w:val="4C5C0673"/>
    <w:rsid w:val="4CB96B43"/>
    <w:rsid w:val="4CC75FCC"/>
    <w:rsid w:val="4CC87A5E"/>
    <w:rsid w:val="4CD63947"/>
    <w:rsid w:val="4CF957AB"/>
    <w:rsid w:val="4CFC49F4"/>
    <w:rsid w:val="4D073D73"/>
    <w:rsid w:val="4D1E27BA"/>
    <w:rsid w:val="4D23574A"/>
    <w:rsid w:val="4D4C4DB0"/>
    <w:rsid w:val="4D7322D5"/>
    <w:rsid w:val="4DD7034C"/>
    <w:rsid w:val="4DE312CB"/>
    <w:rsid w:val="4DF5318E"/>
    <w:rsid w:val="4E1F4862"/>
    <w:rsid w:val="4E2E4393"/>
    <w:rsid w:val="4E535EF2"/>
    <w:rsid w:val="4E9E55D0"/>
    <w:rsid w:val="4F08773C"/>
    <w:rsid w:val="4F102B4E"/>
    <w:rsid w:val="4F31409F"/>
    <w:rsid w:val="4F5955B2"/>
    <w:rsid w:val="4F5E670E"/>
    <w:rsid w:val="4F846A83"/>
    <w:rsid w:val="50070E2C"/>
    <w:rsid w:val="501112F3"/>
    <w:rsid w:val="504B57F2"/>
    <w:rsid w:val="50C5433A"/>
    <w:rsid w:val="50C62BC7"/>
    <w:rsid w:val="50F72A66"/>
    <w:rsid w:val="5123368C"/>
    <w:rsid w:val="5130747C"/>
    <w:rsid w:val="515C765A"/>
    <w:rsid w:val="51905BB3"/>
    <w:rsid w:val="51946FCB"/>
    <w:rsid w:val="51D87A1D"/>
    <w:rsid w:val="51DD796B"/>
    <w:rsid w:val="51DF373B"/>
    <w:rsid w:val="51F83C2D"/>
    <w:rsid w:val="52CA1AD4"/>
    <w:rsid w:val="52EF4CB5"/>
    <w:rsid w:val="52F959F0"/>
    <w:rsid w:val="5302488E"/>
    <w:rsid w:val="53136173"/>
    <w:rsid w:val="533757EA"/>
    <w:rsid w:val="534B12B7"/>
    <w:rsid w:val="539A4AC7"/>
    <w:rsid w:val="5420228D"/>
    <w:rsid w:val="542631B6"/>
    <w:rsid w:val="5447483C"/>
    <w:rsid w:val="5474625A"/>
    <w:rsid w:val="54942CAE"/>
    <w:rsid w:val="54A61722"/>
    <w:rsid w:val="54B31FAF"/>
    <w:rsid w:val="54C211D8"/>
    <w:rsid w:val="54CE2999"/>
    <w:rsid w:val="54E97446"/>
    <w:rsid w:val="551F3E29"/>
    <w:rsid w:val="55326D63"/>
    <w:rsid w:val="555C4076"/>
    <w:rsid w:val="555D1A10"/>
    <w:rsid w:val="56394926"/>
    <w:rsid w:val="56AC4A78"/>
    <w:rsid w:val="56DB16B9"/>
    <w:rsid w:val="577A3463"/>
    <w:rsid w:val="57B05359"/>
    <w:rsid w:val="57F967AD"/>
    <w:rsid w:val="58052975"/>
    <w:rsid w:val="584D1A65"/>
    <w:rsid w:val="584F5C44"/>
    <w:rsid w:val="58504D6C"/>
    <w:rsid w:val="58E525CA"/>
    <w:rsid w:val="58E55347"/>
    <w:rsid w:val="58EE7372"/>
    <w:rsid w:val="593873A0"/>
    <w:rsid w:val="593D045A"/>
    <w:rsid w:val="5960739E"/>
    <w:rsid w:val="59896D0A"/>
    <w:rsid w:val="59972C8B"/>
    <w:rsid w:val="59B72684"/>
    <w:rsid w:val="5A295A8C"/>
    <w:rsid w:val="5A9579AE"/>
    <w:rsid w:val="5AC468CD"/>
    <w:rsid w:val="5AEF1058"/>
    <w:rsid w:val="5B342B9A"/>
    <w:rsid w:val="5B5953B0"/>
    <w:rsid w:val="5B630802"/>
    <w:rsid w:val="5B807F68"/>
    <w:rsid w:val="5B822BA5"/>
    <w:rsid w:val="5BA72CE5"/>
    <w:rsid w:val="5C034D53"/>
    <w:rsid w:val="5CC81D66"/>
    <w:rsid w:val="5D722852"/>
    <w:rsid w:val="5E1D6F56"/>
    <w:rsid w:val="5E473CC7"/>
    <w:rsid w:val="5E52187F"/>
    <w:rsid w:val="5E6A13CD"/>
    <w:rsid w:val="5E705D15"/>
    <w:rsid w:val="5E93326C"/>
    <w:rsid w:val="5E9F1A7A"/>
    <w:rsid w:val="5EAF3818"/>
    <w:rsid w:val="5EFB4BA4"/>
    <w:rsid w:val="5EFE2597"/>
    <w:rsid w:val="5F025452"/>
    <w:rsid w:val="5F5F46B5"/>
    <w:rsid w:val="5F6762C1"/>
    <w:rsid w:val="5FB25360"/>
    <w:rsid w:val="5FBA3CC0"/>
    <w:rsid w:val="5FD90D61"/>
    <w:rsid w:val="60177697"/>
    <w:rsid w:val="602329DB"/>
    <w:rsid w:val="607777D6"/>
    <w:rsid w:val="609A56B8"/>
    <w:rsid w:val="60BC76A1"/>
    <w:rsid w:val="60F0637F"/>
    <w:rsid w:val="610B7637"/>
    <w:rsid w:val="612279BA"/>
    <w:rsid w:val="615F5624"/>
    <w:rsid w:val="61786FF4"/>
    <w:rsid w:val="61D215CF"/>
    <w:rsid w:val="62593D9F"/>
    <w:rsid w:val="625C563D"/>
    <w:rsid w:val="626A1704"/>
    <w:rsid w:val="627921C2"/>
    <w:rsid w:val="62B362C8"/>
    <w:rsid w:val="62C1330E"/>
    <w:rsid w:val="6342085E"/>
    <w:rsid w:val="636F415C"/>
    <w:rsid w:val="63D22876"/>
    <w:rsid w:val="64917820"/>
    <w:rsid w:val="64AA1CC5"/>
    <w:rsid w:val="6528341F"/>
    <w:rsid w:val="656B2909"/>
    <w:rsid w:val="659B459C"/>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AA2321"/>
    <w:rsid w:val="68011379"/>
    <w:rsid w:val="680A7420"/>
    <w:rsid w:val="681E1720"/>
    <w:rsid w:val="68252C37"/>
    <w:rsid w:val="68817BAC"/>
    <w:rsid w:val="689A5E59"/>
    <w:rsid w:val="68A94E70"/>
    <w:rsid w:val="68EE72DF"/>
    <w:rsid w:val="690B4C92"/>
    <w:rsid w:val="690B7907"/>
    <w:rsid w:val="69175F5C"/>
    <w:rsid w:val="69485FEA"/>
    <w:rsid w:val="69677DC0"/>
    <w:rsid w:val="69937EC7"/>
    <w:rsid w:val="69D64558"/>
    <w:rsid w:val="69E3623E"/>
    <w:rsid w:val="6A042548"/>
    <w:rsid w:val="6A471EFD"/>
    <w:rsid w:val="6A480B98"/>
    <w:rsid w:val="6AB57116"/>
    <w:rsid w:val="6B17424A"/>
    <w:rsid w:val="6B2218FA"/>
    <w:rsid w:val="6B570F62"/>
    <w:rsid w:val="6B686C59"/>
    <w:rsid w:val="6B691672"/>
    <w:rsid w:val="6BA17D14"/>
    <w:rsid w:val="6BE97F42"/>
    <w:rsid w:val="6C2063E9"/>
    <w:rsid w:val="6C5E6A51"/>
    <w:rsid w:val="6C6513C3"/>
    <w:rsid w:val="6C744268"/>
    <w:rsid w:val="6C913746"/>
    <w:rsid w:val="6CD62D03"/>
    <w:rsid w:val="6CD817EC"/>
    <w:rsid w:val="6CD97FB6"/>
    <w:rsid w:val="6D0E5050"/>
    <w:rsid w:val="6D4B22B8"/>
    <w:rsid w:val="6D930013"/>
    <w:rsid w:val="6E1A1656"/>
    <w:rsid w:val="6E231DD6"/>
    <w:rsid w:val="6E5A5288"/>
    <w:rsid w:val="6E8E65DD"/>
    <w:rsid w:val="6EBD310B"/>
    <w:rsid w:val="6EE013EE"/>
    <w:rsid w:val="6EE079F1"/>
    <w:rsid w:val="6EE42C42"/>
    <w:rsid w:val="6F240921"/>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D6B5C"/>
    <w:rsid w:val="71AE1AEA"/>
    <w:rsid w:val="71C00FD3"/>
    <w:rsid w:val="71CF3B6C"/>
    <w:rsid w:val="71F80F33"/>
    <w:rsid w:val="722922C6"/>
    <w:rsid w:val="727176A7"/>
    <w:rsid w:val="72CB03A1"/>
    <w:rsid w:val="732D4B5D"/>
    <w:rsid w:val="73393C88"/>
    <w:rsid w:val="7362513F"/>
    <w:rsid w:val="73771D49"/>
    <w:rsid w:val="73A1354E"/>
    <w:rsid w:val="73D20C3F"/>
    <w:rsid w:val="73E035D5"/>
    <w:rsid w:val="743D0241"/>
    <w:rsid w:val="747B7149"/>
    <w:rsid w:val="74855143"/>
    <w:rsid w:val="74A11E7D"/>
    <w:rsid w:val="7550071B"/>
    <w:rsid w:val="75590B0A"/>
    <w:rsid w:val="7582279F"/>
    <w:rsid w:val="75843EB5"/>
    <w:rsid w:val="75912FA2"/>
    <w:rsid w:val="75BB71AF"/>
    <w:rsid w:val="75E62752"/>
    <w:rsid w:val="75F01962"/>
    <w:rsid w:val="760E19DF"/>
    <w:rsid w:val="764E52E0"/>
    <w:rsid w:val="76557F3E"/>
    <w:rsid w:val="76676A53"/>
    <w:rsid w:val="76944574"/>
    <w:rsid w:val="76A3294D"/>
    <w:rsid w:val="76B620A1"/>
    <w:rsid w:val="76D61240"/>
    <w:rsid w:val="76D766A5"/>
    <w:rsid w:val="76F20814"/>
    <w:rsid w:val="76F92565"/>
    <w:rsid w:val="77462524"/>
    <w:rsid w:val="77501DCD"/>
    <w:rsid w:val="779A6594"/>
    <w:rsid w:val="77A21064"/>
    <w:rsid w:val="77E34EB2"/>
    <w:rsid w:val="781564B8"/>
    <w:rsid w:val="78224ACF"/>
    <w:rsid w:val="78CD6DCC"/>
    <w:rsid w:val="78D07CAF"/>
    <w:rsid w:val="78DE12D7"/>
    <w:rsid w:val="79210683"/>
    <w:rsid w:val="799C3465"/>
    <w:rsid w:val="79B14EC4"/>
    <w:rsid w:val="7A025270"/>
    <w:rsid w:val="7A2A6B4A"/>
    <w:rsid w:val="7A681070"/>
    <w:rsid w:val="7A860C7C"/>
    <w:rsid w:val="7AB879FE"/>
    <w:rsid w:val="7B3264DD"/>
    <w:rsid w:val="7B81188A"/>
    <w:rsid w:val="7B827630"/>
    <w:rsid w:val="7B9E2902"/>
    <w:rsid w:val="7BC854E2"/>
    <w:rsid w:val="7C0562EC"/>
    <w:rsid w:val="7C067A45"/>
    <w:rsid w:val="7C0D2ED7"/>
    <w:rsid w:val="7C1C072C"/>
    <w:rsid w:val="7C27683F"/>
    <w:rsid w:val="7C8A5545"/>
    <w:rsid w:val="7CB14B4D"/>
    <w:rsid w:val="7CF26969"/>
    <w:rsid w:val="7D25523C"/>
    <w:rsid w:val="7D492B3F"/>
    <w:rsid w:val="7DB23041"/>
    <w:rsid w:val="7E5F7809"/>
    <w:rsid w:val="7ED56C53"/>
    <w:rsid w:val="7EEA1BAF"/>
    <w:rsid w:val="7F5460D4"/>
    <w:rsid w:val="7F552892"/>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next w:val="1"/>
    <w:qFormat/>
    <w:uiPriority w:val="99"/>
    <w:pPr>
      <w:ind w:firstLine="420" w:firstLineChars="200"/>
    </w:pPr>
    <w:rPr>
      <w:kern w:val="0"/>
    </w:rPr>
  </w:style>
  <w:style w:type="paragraph" w:styleId="11">
    <w:name w:val="caption"/>
    <w:basedOn w:val="1"/>
    <w:next w:val="1"/>
    <w:qFormat/>
    <w:uiPriority w:val="35"/>
    <w:pPr>
      <w:spacing w:before="152" w:after="160"/>
    </w:pPr>
    <w:rPr>
      <w:rFonts w:ascii="Arial" w:hAnsi="Arial" w:eastAsia="黑体" w:cs="Arial"/>
      <w:sz w:val="20"/>
      <w:szCs w:val="20"/>
    </w:rPr>
  </w:style>
  <w:style w:type="paragraph" w:styleId="12">
    <w:name w:val="Document Map"/>
    <w:basedOn w:val="1"/>
    <w:link w:val="74"/>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5"/>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Indent"/>
    <w:basedOn w:val="1"/>
    <w:link w:val="83"/>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3"/>
    <w:basedOn w:val="1"/>
    <w:next w:val="1"/>
    <w:qFormat/>
    <w:uiPriority w:val="39"/>
    <w:pPr>
      <w:ind w:left="480"/>
      <w:jc w:val="left"/>
    </w:pPr>
    <w:rPr>
      <w:rFonts w:ascii="Calibri" w:hAnsi="Calibri" w:eastAsia="宋体" w:cs="Times New Roman"/>
      <w:i/>
      <w:iCs/>
      <w:sz w:val="20"/>
      <w:szCs w:val="20"/>
    </w:rPr>
  </w:style>
  <w:style w:type="paragraph" w:styleId="20">
    <w:name w:val="Plain Text"/>
    <w:basedOn w:val="1"/>
    <w:link w:val="76"/>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7"/>
    <w:qFormat/>
    <w:uiPriority w:val="0"/>
    <w:pPr>
      <w:ind w:left="100" w:leftChars="2500"/>
    </w:pPr>
    <w:rPr>
      <w:sz w:val="24"/>
    </w:rPr>
  </w:style>
  <w:style w:type="paragraph" w:styleId="23">
    <w:name w:val="Body Text Indent 2"/>
    <w:basedOn w:val="1"/>
    <w:link w:val="55"/>
    <w:qFormat/>
    <w:uiPriority w:val="0"/>
    <w:pPr>
      <w:spacing w:after="120" w:line="480" w:lineRule="auto"/>
      <w:ind w:left="420" w:leftChars="200"/>
    </w:pPr>
  </w:style>
  <w:style w:type="paragraph" w:styleId="24">
    <w:name w:val="Balloon Text"/>
    <w:basedOn w:val="1"/>
    <w:link w:val="71"/>
    <w:qFormat/>
    <w:uiPriority w:val="0"/>
    <w:rPr>
      <w:sz w:val="18"/>
    </w:rPr>
  </w:style>
  <w:style w:type="paragraph" w:styleId="25">
    <w:name w:val="footer"/>
    <w:basedOn w:val="1"/>
    <w:link w:val="77"/>
    <w:qFormat/>
    <w:uiPriority w:val="99"/>
    <w:pPr>
      <w:tabs>
        <w:tab w:val="center" w:pos="4153"/>
        <w:tab w:val="right" w:pos="8306"/>
      </w:tabs>
      <w:snapToGrid w:val="0"/>
      <w:jc w:val="left"/>
    </w:pPr>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4"/>
    <w:next w:val="14"/>
    <w:link w:val="56"/>
    <w:qFormat/>
    <w:uiPriority w:val="0"/>
    <w:rPr>
      <w:b/>
    </w:rPr>
  </w:style>
  <w:style w:type="paragraph" w:styleId="40">
    <w:name w:val="Body Text First Indent 2"/>
    <w:basedOn w:val="16"/>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3"/>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4"/>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2"/>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4"/>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2"/>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0"/>
    <w:qFormat/>
    <w:locked/>
    <w:uiPriority w:val="0"/>
    <w:rPr>
      <w:rFonts w:ascii="宋体" w:hAnsi="Courier New"/>
    </w:rPr>
  </w:style>
  <w:style w:type="character" w:customStyle="1" w:styleId="77">
    <w:name w:val="页脚 字符"/>
    <w:link w:val="25"/>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6"/>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0"/>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6" Type="http://schemas.openxmlformats.org/officeDocument/2006/relationships/fontTable" Target="fontTable.xml"/><Relationship Id="rId75" Type="http://schemas.openxmlformats.org/officeDocument/2006/relationships/customXml" Target="../customXml/item2.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30.png"/><Relationship Id="rId71" Type="http://schemas.openxmlformats.org/officeDocument/2006/relationships/image" Target="media/image29.png"/><Relationship Id="rId70" Type="http://schemas.openxmlformats.org/officeDocument/2006/relationships/image" Target="media/image28.png"/><Relationship Id="rId7" Type="http://schemas.openxmlformats.org/officeDocument/2006/relationships/header" Target="header2.xml"/><Relationship Id="rId69" Type="http://schemas.openxmlformats.org/officeDocument/2006/relationships/image" Target="media/image27.png"/><Relationship Id="rId68" Type="http://schemas.openxmlformats.org/officeDocument/2006/relationships/image" Target="media/image26.png"/><Relationship Id="rId67" Type="http://schemas.openxmlformats.org/officeDocument/2006/relationships/image" Target="media/image25.png"/><Relationship Id="rId66" Type="http://schemas.openxmlformats.org/officeDocument/2006/relationships/image" Target="media/image24.png"/><Relationship Id="rId65" Type="http://schemas.openxmlformats.org/officeDocument/2006/relationships/image" Target="media/image23.png"/><Relationship Id="rId64" Type="http://schemas.openxmlformats.org/officeDocument/2006/relationships/image" Target="media/image22.png"/><Relationship Id="rId63" Type="http://schemas.openxmlformats.org/officeDocument/2006/relationships/image" Target="media/image21.png"/><Relationship Id="rId62" Type="http://schemas.openxmlformats.org/officeDocument/2006/relationships/image" Target="media/image20.png"/><Relationship Id="rId61" Type="http://schemas.openxmlformats.org/officeDocument/2006/relationships/image" Target="media/image19.png"/><Relationship Id="rId60" Type="http://schemas.openxmlformats.org/officeDocument/2006/relationships/image" Target="media/image18.png"/><Relationship Id="rId6" Type="http://schemas.openxmlformats.org/officeDocument/2006/relationships/footer" Target="footer3.xml"/><Relationship Id="rId59" Type="http://schemas.openxmlformats.org/officeDocument/2006/relationships/image" Target="media/image17.png"/><Relationship Id="rId58" Type="http://schemas.openxmlformats.org/officeDocument/2006/relationships/image" Target="media/image16.jpeg"/><Relationship Id="rId57" Type="http://schemas.openxmlformats.org/officeDocument/2006/relationships/image" Target="media/image15.png"/><Relationship Id="rId56" Type="http://schemas.openxmlformats.org/officeDocument/2006/relationships/image" Target="media/image14.jpeg"/><Relationship Id="rId55" Type="http://schemas.openxmlformats.org/officeDocument/2006/relationships/image" Target="media/image13.png"/><Relationship Id="rId54" Type="http://schemas.openxmlformats.org/officeDocument/2006/relationships/image" Target="media/image12.jpeg"/><Relationship Id="rId53" Type="http://schemas.openxmlformats.org/officeDocument/2006/relationships/image" Target="media/image11.png"/><Relationship Id="rId52" Type="http://schemas.openxmlformats.org/officeDocument/2006/relationships/image" Target="media/image10.jpeg"/><Relationship Id="rId51" Type="http://schemas.openxmlformats.org/officeDocument/2006/relationships/image" Target="media/image9.png"/><Relationship Id="rId50" Type="http://schemas.openxmlformats.org/officeDocument/2006/relationships/image" Target="media/image8.jpeg"/><Relationship Id="rId5" Type="http://schemas.openxmlformats.org/officeDocument/2006/relationships/header" Target="header1.xml"/><Relationship Id="rId49" Type="http://schemas.openxmlformats.org/officeDocument/2006/relationships/image" Target="media/image7.png"/><Relationship Id="rId48" Type="http://schemas.openxmlformats.org/officeDocument/2006/relationships/image" Target="media/image6.jpeg"/><Relationship Id="rId47" Type="http://schemas.openxmlformats.org/officeDocument/2006/relationships/image" Target="media/image5.png"/><Relationship Id="rId46" Type="http://schemas.openxmlformats.org/officeDocument/2006/relationships/image" Target="media/image4.jpeg"/><Relationship Id="rId45" Type="http://schemas.openxmlformats.org/officeDocument/2006/relationships/image" Target="media/image3.png"/><Relationship Id="rId44" Type="http://schemas.openxmlformats.org/officeDocument/2006/relationships/image" Target="media/image2.jpeg"/><Relationship Id="rId43" Type="http://schemas.openxmlformats.org/officeDocument/2006/relationships/theme" Target="theme/theme1.xml"/><Relationship Id="rId42" Type="http://schemas.openxmlformats.org/officeDocument/2006/relationships/footer" Target="footer30.xml"/><Relationship Id="rId41" Type="http://schemas.openxmlformats.org/officeDocument/2006/relationships/footer" Target="footer29.xml"/><Relationship Id="rId40" Type="http://schemas.openxmlformats.org/officeDocument/2006/relationships/header" Target="header10.xml"/><Relationship Id="rId4" Type="http://schemas.openxmlformats.org/officeDocument/2006/relationships/footer" Target="footer2.xml"/><Relationship Id="rId39" Type="http://schemas.openxmlformats.org/officeDocument/2006/relationships/header" Target="header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header" Target="header8.xml"/><Relationship Id="rId35" Type="http://schemas.openxmlformats.org/officeDocument/2006/relationships/header" Target="header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80</Pages>
  <Words>31566</Words>
  <Characters>33036</Characters>
  <Lines>305</Lines>
  <Paragraphs>86</Paragraphs>
  <TotalTime>2</TotalTime>
  <ScaleCrop>false</ScaleCrop>
  <LinksUpToDate>false</LinksUpToDate>
  <CharactersWithSpaces>39379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赵翊旭</cp:lastModifiedBy>
  <cp:lastPrinted>2022-07-01T03:19:00Z</cp:lastPrinted>
  <dcterms:modified xsi:type="dcterms:W3CDTF">2024-12-12T02:21:28Z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ies>
</file>