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widowControl/>
        <w:ind w:firstLine="199" w:firstLineChars="55"/>
        <w:jc w:val="center"/>
        <w:rPr>
          <w:rFonts w:hint="eastAsia" w:ascii="方正小标宋简体" w:eastAsia="方正小标宋简体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2024年等保测评</w:t>
      </w:r>
      <w:r>
        <w:rPr>
          <w:rFonts w:hint="eastAsia" w:ascii="方正小标宋简体" w:eastAsia="方正小标宋简体"/>
          <w:b/>
          <w:bC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项目</w:t>
      </w:r>
    </w:p>
    <w:p>
      <w:pPr>
        <w:pStyle w:val="16"/>
        <w:widowControl/>
        <w:ind w:firstLine="199" w:firstLineChars="55"/>
        <w:jc w:val="center"/>
        <w:rPr>
          <w:rFonts w:ascii="方正小标宋简体" w:eastAsia="方正小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招 标 公 告</w:t>
      </w:r>
    </w:p>
    <w:p>
      <w:pPr>
        <w:pStyle w:val="16"/>
        <w:widowControl/>
        <w:ind w:firstLine="480"/>
        <w:rPr>
          <w:rFonts w:ascii="宋体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6"/>
        <w:widowControl/>
        <w:ind w:firstLine="480"/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2024年等保测评</w:t>
      </w:r>
      <w:r>
        <w:rPr>
          <w:rFonts w:hint="eastAsia" w:ascii="仿宋" w:eastAsia="仿宋"/>
          <w:color w:val="000000" w:themeColor="text1"/>
          <w:szCs w:val="24"/>
          <w14:textFill>
            <w14:solidFill>
              <w14:schemeClr w14:val="tx1"/>
            </w14:solidFill>
          </w14:textFill>
        </w:rPr>
        <w:t>项目通过</w:t>
      </w:r>
      <w:r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公开招标的形式进行，欢迎合格潜在投标人</w:t>
      </w:r>
      <w:r>
        <w:rPr>
          <w:rFonts w:hint="eastAsia" w:ascii="仿宋" w:eastAsia="仿宋" w:cs="仿宋_GB2312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前来参加投标</w:t>
      </w:r>
      <w:r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16"/>
        <w:widowControl/>
        <w:ind w:left="0" w:leftChars="0" w:firstLine="240" w:firstLineChars="100"/>
        <w:rPr>
          <w:rFonts w:ascii="仿宋" w:eastAsia="仿宋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eastAsia="仿宋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  <w:t>1、项目名称</w:t>
      </w:r>
    </w:p>
    <w:p>
      <w:pPr>
        <w:pStyle w:val="16"/>
        <w:widowControl/>
        <w:ind w:firstLine="480"/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项目名称：</w:t>
      </w:r>
      <w:r>
        <w:rPr>
          <w:rFonts w:hint="eastAsia" w:ascii="仿宋" w:eastAsia="仿宋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2024年等保测评</w:t>
      </w:r>
      <w:r>
        <w:rPr>
          <w:rFonts w:hint="eastAsia" w:ascii="仿宋" w:eastAsia="仿宋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</w:t>
      </w:r>
    </w:p>
    <w:p>
      <w:pPr>
        <w:pStyle w:val="16"/>
        <w:widowControl/>
        <w:ind w:firstLine="480"/>
        <w:rPr>
          <w:rFonts w:hint="eastAsia" w:ascii="仿宋" w:eastAsia="仿宋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项目编号：</w:t>
      </w:r>
      <w:r>
        <w:rPr>
          <w:rFonts w:ascii="宋体" w:hAnsi="宋体" w:eastAsia="宋体" w:cs="宋体"/>
          <w:sz w:val="24"/>
          <w:szCs w:val="24"/>
        </w:rPr>
        <w:t>CGZX2024070167</w:t>
      </w:r>
    </w:p>
    <w:p>
      <w:pPr>
        <w:pStyle w:val="16"/>
        <w:widowControl/>
        <w:ind w:firstLine="482"/>
        <w:rPr>
          <w:rFonts w:ascii="仿宋" w:eastAsia="仿宋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b/>
          <w:color w:val="000000" w:themeColor="text1"/>
          <w14:textFill>
            <w14:solidFill>
              <w14:schemeClr w14:val="tx1"/>
            </w14:solidFill>
          </w14:textFill>
        </w:rPr>
        <w:t>2、招标内容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根据招标方要求实施中国重汽</w:t>
      </w:r>
      <w:r>
        <w:rPr>
          <w:rFonts w:hint="eastAsia" w:ascii="仿宋" w:eastAsia="仿宋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2024年等保测评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项目，具体项目内容及技术参数详见标书。</w:t>
      </w:r>
    </w:p>
    <w:p>
      <w:pPr>
        <w:numPr>
          <w:ilvl w:val="0"/>
          <w:numId w:val="2"/>
        </w:numPr>
        <w:spacing w:line="360" w:lineRule="auto"/>
        <w:ind w:firstLine="482" w:firstLineChars="200"/>
        <w:rPr>
          <w:rFonts w:hint="eastAsia"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投标人资格要求</w:t>
      </w:r>
    </w:p>
    <w:p>
      <w:pPr>
        <w:pStyle w:val="7"/>
        <w:ind w:left="0" w:leftChars="0" w:firstLine="420" w:firstLineChars="0"/>
        <w:rPr>
          <w:rFonts w:hint="default" w:eastAsia="仿宋"/>
          <w:lang w:val="en-US" w:eastAsia="zh-CN"/>
        </w:rPr>
      </w:pPr>
      <w:r>
        <w:rPr>
          <w:rFonts w:hint="eastAsia" w:ascii="仿宋" w:eastAsia="仿宋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必备条件：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（1）投标人注册资金不低于1000万元人民币，成立时间3年以上，具有独立法人资格，并具有良好信誉和业绩；缴纳社保人员</w:t>
      </w:r>
      <w:r>
        <w:rPr>
          <w:rFonts w:hint="eastAsia" w:ascii="仿宋" w:eastAsia="仿宋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50</w:t>
      </w: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人以上 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（2）投标人应具有相关招标项目的实施及服务能力。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（3）投标人独立承接并成功实施过2个以上（含）的大型集团</w:t>
      </w:r>
      <w:r>
        <w:rPr>
          <w:rFonts w:hint="eastAsia" w:ascii="仿宋" w:eastAsia="仿宋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等级保护测评</w:t>
      </w: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，并提供相应的证明材料。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（4）投标人遵守执业准则和执业规范，近3年内没有违法、违规或行业自律惩戒记录，提供信用中国网站查询记录。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（5）投标人必须是软件所有权人或所有权人的合法授权人，保证所售出的软件为可合法销售的正版软件产品，不侵犯其他第三人的合法权利 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（6）投标人须认可招标人的工作指令，包括节、假日能正常开展工作的要求。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（7）没有被公司列入黑名单。</w:t>
      </w:r>
    </w:p>
    <w:p>
      <w:pPr>
        <w:spacing w:line="360" w:lineRule="auto"/>
        <w:ind w:firstLine="360" w:firstLineChars="150"/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（8）供方的直接或间接股东、法定代表人、董事、监事、高管非重汽员工及其亲属。</w:t>
      </w:r>
    </w:p>
    <w:p>
      <w:pPr>
        <w:spacing w:line="360" w:lineRule="auto"/>
        <w:ind w:firstLine="361" w:firstLineChars="150"/>
        <w:rPr>
          <w:rFonts w:ascii="仿宋"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仿宋"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注：经查实，如拟投标人不具备上述投标资格或提供虚假材料的，将直接取消报名资格，投标保证金不予退还。</w:t>
      </w:r>
    </w:p>
    <w:p>
      <w:pPr>
        <w:spacing w:line="360" w:lineRule="auto"/>
        <w:ind w:firstLine="482" w:firstLineChars="200"/>
        <w:rPr>
          <w:rFonts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仿宋" w:eastAsia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报名及招标文件的获取</w:t>
      </w:r>
    </w:p>
    <w:p>
      <w:pPr>
        <w:spacing w:line="360" w:lineRule="auto"/>
        <w:ind w:firstLine="480" w:firstLineChars="200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凡有意参加投标者，请于202</w:t>
      </w:r>
      <w:r>
        <w:rPr>
          <w:rFonts w:hint="eastAsia" w:ascii="仿宋" w:eastAsia="仿宋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eastAsia="仿宋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eastAsia="仿宋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08</w:t>
      </w:r>
      <w:r>
        <w:rPr>
          <w:rFonts w:hint="eastAsia" w:ascii="仿宋" w:eastAsia="仿宋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eastAsia="仿宋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eastAsia="仿宋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日下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午17:00前完成以下工作：一、前往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指定网址</w:t>
      </w:r>
      <w:r>
        <w:fldChar w:fldCharType="begin"/>
      </w:r>
      <w:r>
        <w:instrText xml:space="preserve"> HYPERLINK "http://ecaitong.sinotruk.com:8012/#/login" \t "dlt" </w:instrText>
      </w:r>
      <w:r>
        <w:fldChar w:fldCharType="separate"/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http://ecaitong.sinotruk.com:8012/#/log</w:t>
      </w:r>
      <w:bookmarkStart w:id="0" w:name="_GoBack"/>
      <w:bookmarkEnd w:id="0"/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in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进行供应商信息注册（建议尽早开展注册工作，操作手册见附件3）；二、注册成功后，须在完成项目应标并上传相关文档（操作手册见附件4，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按照3.投标人资格要求内容和4.1-4.3顺序及所列项相关资料的原件扫描件，要求每一页原文件扫描在一页上，禁止两页或多页合并扫描在一页，扫描文件必须清晰可辨否则影响报名的审核，扫描文件格式为pdf格式，禁止采用压缩文件格式或图片格式，所有扫描文件都集成到1个pdf文档并设置目录），报名联系人</w:t>
      </w:r>
      <w:r>
        <w:rPr>
          <w:rFonts w:hint="eastAsia" w:ascii="仿宋" w:eastAsia="仿宋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eastAsia="仿宋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苑轩</w:t>
      </w:r>
      <w:r>
        <w:rPr>
          <w:rFonts w:hint="eastAsia" w:ascii="仿宋" w:eastAsia="仿宋" w:cs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，联系电话：</w:t>
      </w:r>
      <w:r>
        <w:rPr>
          <w:rFonts w:hint="eastAsia" w:ascii="仿宋" w:eastAsia="仿宋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17753076658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ind w:firstLine="480" w:firstLineChars="200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4.1 有效的企业法人营业执照副本复印件，并加盖投标人公章，按规定需要年检的，年检章要清楚；</w:t>
      </w:r>
    </w:p>
    <w:p>
      <w:pPr>
        <w:spacing w:line="360" w:lineRule="auto"/>
        <w:ind w:firstLine="480" w:firstLineChars="200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4.2拟投标人在“国家企业信用信息公示系统”或 “信用中国”等信息平台中，无行政处罚及失信记录等信息；</w:t>
      </w:r>
    </w:p>
    <w:p>
      <w:pPr>
        <w:spacing w:line="360" w:lineRule="auto"/>
        <w:ind w:firstLine="480" w:firstLineChars="200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4.3法定代表人授权委托书。</w:t>
      </w:r>
    </w:p>
    <w:p>
      <w:pPr>
        <w:spacing w:line="360" w:lineRule="auto"/>
        <w:ind w:firstLine="482" w:firstLineChars="200"/>
        <w:rPr>
          <w:rFonts w:ascii="仿宋" w:eastAsia="仿宋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本项目实行资格后审，报名成功不代表资格审查通过，以最终通过招标工作小组的审查为准。</w:t>
      </w:r>
    </w:p>
    <w:p>
      <w:pPr>
        <w:widowControl/>
        <w:spacing w:line="360" w:lineRule="auto"/>
        <w:ind w:firstLine="480" w:firstLineChars="200"/>
        <w:jc w:val="left"/>
        <w:rPr>
          <w:rFonts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待资格审核通过后，投</w:t>
      </w:r>
      <w:r>
        <w:rPr>
          <w:rFonts w:hint="eastAsia" w:ascii="仿宋" w:eastAsia="仿宋" w:cs="宋体"/>
          <w:color w:val="000000" w:themeColor="text1"/>
          <w:kern w:val="0"/>
          <w:sz w:val="24"/>
          <w:highlight w:val="none"/>
          <w14:textFill>
            <w14:solidFill>
              <w14:schemeClr w14:val="tx1"/>
            </w14:solidFill>
          </w14:textFill>
        </w:rPr>
        <w:t>标方可在系统中自行下载获取招标文件</w:t>
      </w:r>
      <w:r>
        <w:rPr>
          <w:rFonts w:hint="eastAsia"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投标方务必在</w:t>
      </w:r>
      <w:r>
        <w:rPr>
          <w:rFonts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招标文件中规定的日期前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将保证金汇入中国重汽指定账户。本次报名投标单位需向中国重汽集团济南动力有限公司（开户银行：中国建设银行济南市天桥区支行 ， 银行帐号：37001616508050150300 ）缴纳投标保证金</w:t>
      </w:r>
      <w:r>
        <w:rPr>
          <w:rFonts w:hint="eastAsia" w:ascii="仿宋" w:eastAsia="仿宋" w:cs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10000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元</w:t>
      </w:r>
      <w:r>
        <w:rPr>
          <w:rFonts w:hint="eastAsia" w:ascii="仿宋" w:eastAsia="仿宋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，未中标单位招标后一个付款周期内退还，中标单位合同签定生效后退还。</w:t>
      </w:r>
    </w:p>
    <w:p>
      <w:pPr>
        <w:spacing w:line="360" w:lineRule="auto"/>
        <w:rPr>
          <w:rFonts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5. 投标文件的递交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5.1 投标文件递交的截止时间</w:t>
      </w:r>
      <w:r>
        <w:rPr>
          <w:rFonts w:hint="eastAsia"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详见招标文件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5.2 逾期送达的或者未送达指定地点的投标文件，招标人不予受理。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cs="TimesNewRomanPSMT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 w:cs="TimesNewRomanPSMT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6、招标公告发布媒介</w:t>
      </w:r>
    </w:p>
    <w:p>
      <w:pPr>
        <w:spacing w:line="360" w:lineRule="auto"/>
        <w:ind w:firstLine="480" w:firstLineChars="200"/>
        <w:rPr>
          <w:rFonts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本次招标公告在</w:t>
      </w:r>
      <w:r>
        <w:rPr>
          <w:rFonts w:hint="eastAsia" w:ascii="仿宋" w:eastAsia="仿宋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中国重汽官方网站发布</w:t>
      </w:r>
      <w:r>
        <w:rPr>
          <w:rFonts w:hint="eastAsia" w:ascii="仿宋" w:eastAsia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附件</w:t>
      </w:r>
      <w:r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法定代表人授权委托书</w:t>
      </w:r>
    </w:p>
    <w:p>
      <w:pPr>
        <w:autoSpaceDE w:val="0"/>
        <w:autoSpaceDN w:val="0"/>
        <w:adjustRightInd w:val="0"/>
        <w:snapToGrid w:val="0"/>
        <w:spacing w:line="360" w:lineRule="auto"/>
        <w:ind w:right="240"/>
        <w:jc w:val="left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right="240"/>
        <w:jc w:val="left"/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本授权委托书声明：我＿＿＿＿＿＿＿（姓名）系＿＿＿＿＿＿＿＿＿＿＿＿＿＿＿＿＿＿＿＿＿＿＿＿＿＿＿＿（投标人全称）的法定代表人，就    （项目名称）   （招标编号）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全权代表无转委权。特此委托。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7" w:hRule="atLeast"/>
          <w:jc w:val="center"/>
        </w:trPr>
        <w:tc>
          <w:tcPr>
            <w:tcW w:w="85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before="93" w:beforeLines="30" w:line="312" w:lineRule="auto"/>
              <w:rPr>
                <w:rFonts w:ascii="宋体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adjustRightInd w:val="0"/>
              <w:snapToGrid w:val="0"/>
              <w:spacing w:before="93" w:beforeLines="30" w:line="312" w:lineRule="auto"/>
              <w:jc w:val="center"/>
              <w:rPr>
                <w:rFonts w:ascii="宋体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/>
                <w:color w:val="000000" w:themeColor="text1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  <w:t>（附授权代理人身份证明复印件）</w:t>
            </w:r>
          </w:p>
        </w:tc>
      </w:tr>
    </w:tbl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全权代表姓名：            性别：          年龄：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单位：                    部门：          职务：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法定代表人签字或盖章                          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被授权人签字                            </w:t>
      </w:r>
    </w:p>
    <w:p>
      <w:pPr>
        <w:spacing w:line="360" w:lineRule="auto"/>
        <w:ind w:firstLine="480" w:firstLineChars="200"/>
        <w:rPr>
          <w:rFonts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投标人名称（公章）                       </w:t>
      </w:r>
    </w:p>
    <w:p>
      <w:pPr>
        <w:spacing w:line="460" w:lineRule="exact"/>
        <w:ind w:firstLine="5520" w:firstLineChars="2300"/>
        <w:rPr>
          <w:rFonts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color w:val="000000" w:themeColor="text1"/>
          <w:sz w:val="24"/>
          <w:szCs w:val="20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/>
          <w:color w:val="000000" w:themeColor="text1"/>
          <w:sz w:val="24"/>
          <w:szCs w:val="20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/>
          <w:color w:val="000000" w:themeColor="text1"/>
          <w:sz w:val="24"/>
          <w:szCs w:val="20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  <w:t>日</w:t>
      </w:r>
    </w:p>
    <w:p>
      <w:pPr>
        <w:spacing w:line="460" w:lineRule="exact"/>
        <w:ind w:firstLine="5520" w:firstLineChars="2300"/>
        <w:rPr>
          <w:rFonts w:ascii="宋体"/>
          <w:color w:val="000000" w:themeColor="text1"/>
          <w:sz w:val="24"/>
          <w:szCs w:val="20"/>
          <w14:textFill>
            <w14:solidFill>
              <w14:schemeClr w14:val="tx1"/>
            </w14:solidFill>
          </w14:textFill>
        </w:rPr>
      </w:pPr>
    </w:p>
    <w:p>
      <w:pPr>
        <w:rPr>
          <w:rFonts w:ascii="等线" w:eastAsia="等线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附件2</w:t>
      </w:r>
    </w:p>
    <w:p>
      <w:pPr>
        <w:jc w:val="center"/>
        <w:rPr>
          <w:rFonts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  <w:t>投标报名表</w:t>
      </w:r>
    </w:p>
    <w:p>
      <w:pPr>
        <w:ind w:firstLine="120" w:firstLineChars="50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投标人（公章）：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2526"/>
        <w:gridCol w:w="2272"/>
        <w:gridCol w:w="2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ind w:firstLine="400" w:firstLineChars="200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投标人</w:t>
            </w:r>
          </w:p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（全称）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6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产品品牌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25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2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E-mail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  <w:jc w:val="center"/>
        </w:trPr>
        <w:tc>
          <w:tcPr>
            <w:tcW w:w="18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报名时间</w:t>
            </w:r>
          </w:p>
        </w:tc>
        <w:tc>
          <w:tcPr>
            <w:tcW w:w="71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ind w:left="470" w:right="69" w:rightChars="33" w:hanging="470" w:hangingChars="196"/>
        <w:rPr>
          <w:rFonts w:asci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t>注：请投标单位认真填写同时加盖公章，于规定时间前回传至报名邮箱并进行电话确认，如以上所含内容与投标文件内容不一致的，将取消投标资格。</w:t>
      </w:r>
    </w:p>
    <w:p>
      <w:pPr>
        <w:pStyle w:val="9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附件3</w:t>
      </w:r>
    </w:p>
    <w:p>
      <w:pPr>
        <w:jc w:val="center"/>
        <w:rPr>
          <w:rFonts w:ascii="宋体" w:hAnsi="宋体"/>
          <w:b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  <w:t>非生产供应商注册操作手册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jc w:val="center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object>
          <v:shape id="_x0000_i1025" o:spt="75" type="#_x0000_t75" style="height:65.35pt;width:72.6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  <w:t>注：投标人应根据上述附件内容进行供应商信息注册</w:t>
      </w: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附件4</w:t>
      </w:r>
    </w:p>
    <w:p>
      <w:pPr>
        <w:jc w:val="center"/>
        <w:rPr>
          <w:rFonts w:ascii="宋体" w:hAnsi="宋体"/>
          <w:b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黑体"/>
          <w:b/>
          <w:color w:val="000000" w:themeColor="text1"/>
          <w:sz w:val="28"/>
          <w:szCs w:val="22"/>
          <w:lang w:bidi="ar"/>
          <w14:textFill>
            <w14:solidFill>
              <w14:schemeClr w14:val="tx1"/>
            </w14:solidFill>
          </w14:textFill>
        </w:rPr>
        <w:t>非生产供应商招投标操作手册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ind w:firstLine="480" w:firstLineChars="200"/>
        <w:jc w:val="center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  <w:object>
          <v:shape id="_x0000_i1026" o:spt="75" type="#_x0000_t75" style="height:65.35pt;width:72.6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6">
            <o:LockedField>false</o:LockedField>
          </o:OLEObject>
        </w:object>
      </w: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</w:p>
    <w:p>
      <w:pPr>
        <w:ind w:left="570"/>
        <w:rPr>
          <w:rFonts w:ascii="宋体" w:hAnsi="宋体" w:cs="宋体"/>
          <w:color w:val="000000" w:themeColor="text1"/>
          <w:sz w:val="24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2"/>
          <w:lang w:bidi="ar"/>
          <w14:textFill>
            <w14:solidFill>
              <w14:schemeClr w14:val="tx1"/>
            </w14:solidFill>
          </w14:textFill>
        </w:rPr>
        <w:t>注：投标人应根据上述附件内容进行招投标操作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CB22C32-0788-408B-BF76-F273CBF54C7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EBC93F70-5EDE-4BAB-9DA8-AADC72E4343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60C8D8AB-B2C9-492B-8469-A91542767B6A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66E97F70-A7F4-420C-B4E1-3A2339505AF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C9A91768-394F-4F5E-BF76-5631CA300AE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1079B3EB-1341-4A4C-9239-501F1986F5D6}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A93EF6A2-5A75-4838-AB07-F67A3BEA8BE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D6AC49"/>
    <w:multiLevelType w:val="singleLevel"/>
    <w:tmpl w:val="52D6AC49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7830C845"/>
    <w:multiLevelType w:val="multilevel"/>
    <w:tmpl w:val="7830C845"/>
    <w:lvl w:ilvl="0" w:tentative="0">
      <w:start w:val="1"/>
      <w:numFmt w:val="decimal"/>
      <w:pStyle w:val="17"/>
      <w:lvlText w:val="%1）"/>
      <w:lvlJc w:val="left"/>
      <w:pPr>
        <w:ind w:left="420" w:hanging="420"/>
      </w:pPr>
      <w:rPr>
        <w:rFonts w:hint="eastAsia" w:ascii="Times New Roman" w:hAnsi="Times New Roman" w:eastAsia="宋体" w:cs="Times New Roman"/>
        <w:b w:val="0"/>
        <w:bCs/>
      </w:rPr>
    </w:lvl>
    <w:lvl w:ilvl="1" w:tentative="0">
      <w:start w:val="1"/>
      <w:numFmt w:val="decimal"/>
      <w:lvlText w:val="%2)"/>
      <w:lvlJc w:val="left"/>
      <w:pPr>
        <w:tabs>
          <w:tab w:val="left" w:pos="693"/>
        </w:tabs>
        <w:ind w:left="693" w:hanging="420"/>
      </w:pPr>
    </w:lvl>
    <w:lvl w:ilvl="2" w:tentative="0">
      <w:start w:val="1"/>
      <w:numFmt w:val="lowerRoman"/>
      <w:lvlText w:val="%3."/>
      <w:lvlJc w:val="right"/>
      <w:pPr>
        <w:ind w:left="1113" w:hanging="420"/>
      </w:pPr>
    </w:lvl>
    <w:lvl w:ilvl="3" w:tentative="0">
      <w:start w:val="1"/>
      <w:numFmt w:val="decimal"/>
      <w:lvlText w:val="%4."/>
      <w:lvlJc w:val="left"/>
      <w:pPr>
        <w:ind w:left="1533" w:hanging="420"/>
      </w:pPr>
    </w:lvl>
    <w:lvl w:ilvl="4" w:tentative="0">
      <w:start w:val="1"/>
      <w:numFmt w:val="lowerLetter"/>
      <w:lvlText w:val="%5)"/>
      <w:lvlJc w:val="left"/>
      <w:pPr>
        <w:ind w:left="1953" w:hanging="420"/>
      </w:pPr>
    </w:lvl>
    <w:lvl w:ilvl="5" w:tentative="0">
      <w:start w:val="1"/>
      <w:numFmt w:val="lowerRoman"/>
      <w:lvlText w:val="%6."/>
      <w:lvlJc w:val="right"/>
      <w:pPr>
        <w:ind w:left="2373" w:hanging="420"/>
      </w:pPr>
    </w:lvl>
    <w:lvl w:ilvl="6" w:tentative="0">
      <w:start w:val="1"/>
      <w:numFmt w:val="decimal"/>
      <w:lvlText w:val="%7."/>
      <w:lvlJc w:val="left"/>
      <w:pPr>
        <w:ind w:left="2793" w:hanging="420"/>
      </w:pPr>
    </w:lvl>
    <w:lvl w:ilvl="7" w:tentative="0">
      <w:start w:val="1"/>
      <w:numFmt w:val="lowerLetter"/>
      <w:lvlText w:val="%8)"/>
      <w:lvlJc w:val="left"/>
      <w:pPr>
        <w:ind w:left="3213" w:hanging="420"/>
      </w:pPr>
    </w:lvl>
    <w:lvl w:ilvl="8" w:tentative="0">
      <w:start w:val="1"/>
      <w:numFmt w:val="lowerRoman"/>
      <w:lvlText w:val="%9."/>
      <w:lvlJc w:val="right"/>
      <w:pPr>
        <w:ind w:left="3633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yMTExNzg5OGY2MGJjMDc2NDI4MWQwOGU4ZTJkNjIifQ=="/>
  </w:docVars>
  <w:rsids>
    <w:rsidRoot w:val="00770687"/>
    <w:rsid w:val="0000111D"/>
    <w:rsid w:val="00004334"/>
    <w:rsid w:val="00054115"/>
    <w:rsid w:val="001E2E4A"/>
    <w:rsid w:val="00214487"/>
    <w:rsid w:val="00424FC4"/>
    <w:rsid w:val="004A124C"/>
    <w:rsid w:val="005070BA"/>
    <w:rsid w:val="0054406F"/>
    <w:rsid w:val="00577089"/>
    <w:rsid w:val="006E113A"/>
    <w:rsid w:val="00770687"/>
    <w:rsid w:val="007820C3"/>
    <w:rsid w:val="0084417A"/>
    <w:rsid w:val="008E49EB"/>
    <w:rsid w:val="0094174F"/>
    <w:rsid w:val="009B713B"/>
    <w:rsid w:val="00A5088C"/>
    <w:rsid w:val="00AA16F2"/>
    <w:rsid w:val="00B8020F"/>
    <w:rsid w:val="00B9236C"/>
    <w:rsid w:val="00CB50D1"/>
    <w:rsid w:val="00CE30E0"/>
    <w:rsid w:val="00D67D80"/>
    <w:rsid w:val="00F2487C"/>
    <w:rsid w:val="0178765F"/>
    <w:rsid w:val="038D264D"/>
    <w:rsid w:val="048C4389"/>
    <w:rsid w:val="04926F7C"/>
    <w:rsid w:val="06BA7D75"/>
    <w:rsid w:val="091C05CE"/>
    <w:rsid w:val="0A0310EE"/>
    <w:rsid w:val="0A0B4738"/>
    <w:rsid w:val="0D0B7B28"/>
    <w:rsid w:val="13EC3EB6"/>
    <w:rsid w:val="14EB084B"/>
    <w:rsid w:val="15B47E37"/>
    <w:rsid w:val="1AEB194F"/>
    <w:rsid w:val="1B1B085E"/>
    <w:rsid w:val="1B976D52"/>
    <w:rsid w:val="1D4F561D"/>
    <w:rsid w:val="1D4F5E35"/>
    <w:rsid w:val="1D6E1E4A"/>
    <w:rsid w:val="1DE955CB"/>
    <w:rsid w:val="22A862FE"/>
    <w:rsid w:val="26105230"/>
    <w:rsid w:val="2A647011"/>
    <w:rsid w:val="2B750BAB"/>
    <w:rsid w:val="304722AC"/>
    <w:rsid w:val="320978AC"/>
    <w:rsid w:val="332E0BF8"/>
    <w:rsid w:val="365D08DD"/>
    <w:rsid w:val="38FF096D"/>
    <w:rsid w:val="3A1A1CD3"/>
    <w:rsid w:val="3E5F68FC"/>
    <w:rsid w:val="42E9356E"/>
    <w:rsid w:val="42FF43AB"/>
    <w:rsid w:val="48A74EA2"/>
    <w:rsid w:val="522332C2"/>
    <w:rsid w:val="52496BD5"/>
    <w:rsid w:val="56286BBA"/>
    <w:rsid w:val="590EC98C"/>
    <w:rsid w:val="5B1A473F"/>
    <w:rsid w:val="5C4676EA"/>
    <w:rsid w:val="5C4A364D"/>
    <w:rsid w:val="6131284B"/>
    <w:rsid w:val="61894E1D"/>
    <w:rsid w:val="61F665F7"/>
    <w:rsid w:val="63791BBF"/>
    <w:rsid w:val="65B71E43"/>
    <w:rsid w:val="66502104"/>
    <w:rsid w:val="67875CB6"/>
    <w:rsid w:val="696A60B8"/>
    <w:rsid w:val="6DD53149"/>
    <w:rsid w:val="6F61143B"/>
    <w:rsid w:val="761779CF"/>
    <w:rsid w:val="771B449F"/>
    <w:rsid w:val="77775144"/>
    <w:rsid w:val="7827625F"/>
    <w:rsid w:val="78FD590F"/>
    <w:rsid w:val="7A4D00DB"/>
    <w:rsid w:val="7DAC056C"/>
    <w:rsid w:val="7F7FF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9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1"/>
    <w:autoRedefine/>
    <w:qFormat/>
    <w:uiPriority w:val="0"/>
    <w:pPr>
      <w:snapToGrid w:val="0"/>
      <w:spacing w:line="300" w:lineRule="auto"/>
      <w:ind w:firstLine="556"/>
    </w:pPr>
    <w:rPr>
      <w:rFonts w:ascii="仿宋_GB2312" w:eastAsia="仿宋_GB2312"/>
      <w:sz w:val="28"/>
    </w:rPr>
  </w:style>
  <w:style w:type="paragraph" w:styleId="6">
    <w:name w:val="caption"/>
    <w:basedOn w:val="1"/>
    <w:next w:val="1"/>
    <w:autoRedefine/>
    <w:qFormat/>
    <w:uiPriority w:val="0"/>
    <w:rPr>
      <w:rFonts w:ascii="等线 Light" w:hAnsi="等线 Light" w:eastAsia="黑体"/>
      <w:sz w:val="20"/>
      <w:szCs w:val="20"/>
    </w:rPr>
  </w:style>
  <w:style w:type="paragraph" w:styleId="7">
    <w:name w:val="Body Text"/>
    <w:basedOn w:val="1"/>
    <w:next w:val="8"/>
    <w:autoRedefine/>
    <w:qFormat/>
    <w:uiPriority w:val="1"/>
    <w:pPr>
      <w:widowControl/>
      <w:overflowPunct w:val="0"/>
      <w:autoSpaceDE w:val="0"/>
      <w:autoSpaceDN w:val="0"/>
      <w:adjustRightInd w:val="0"/>
      <w:spacing w:before="120" w:after="120"/>
      <w:ind w:left="2520"/>
      <w:jc w:val="left"/>
    </w:pPr>
    <w:rPr>
      <w:rFonts w:ascii="Book Antiqua" w:hAnsi="Book Antiqua" w:eastAsia="宋体" w:cs="Times New Roman"/>
      <w:kern w:val="0"/>
      <w:sz w:val="20"/>
      <w:szCs w:val="20"/>
    </w:rPr>
  </w:style>
  <w:style w:type="paragraph" w:styleId="8">
    <w:name w:val="Body Text First Indent"/>
    <w:basedOn w:val="7"/>
    <w:autoRedefine/>
    <w:unhideWhenUsed/>
    <w:qFormat/>
    <w:uiPriority w:val="99"/>
    <w:pPr>
      <w:ind w:firstLine="420" w:firstLineChars="100"/>
    </w:pPr>
  </w:style>
  <w:style w:type="paragraph" w:styleId="9">
    <w:name w:val="Plain Text"/>
    <w:autoRedefine/>
    <w:qFormat/>
    <w:uiPriority w:val="0"/>
    <w:pPr>
      <w:widowControl w:val="0"/>
      <w:jc w:val="both"/>
    </w:pPr>
    <w:rPr>
      <w:rFonts w:ascii="等线" w:hAnsi="Times New Roman" w:eastAsia="等线" w:cs="Courier New"/>
      <w:kern w:val="2"/>
      <w:sz w:val="21"/>
      <w:szCs w:val="24"/>
      <w:lang w:val="en-US" w:eastAsia="zh-CN" w:bidi="ar-SA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4">
    <w:name w:val="Hyperlink"/>
    <w:autoRedefine/>
    <w:qFormat/>
    <w:uiPriority w:val="0"/>
    <w:rPr>
      <w:color w:val="000000"/>
      <w:u w:val="single"/>
    </w:rPr>
  </w:style>
  <w:style w:type="paragraph" w:customStyle="1" w:styleId="15">
    <w:name w:val="Default"/>
    <w:next w:val="5"/>
    <w:autoRedefine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eastAsia="等线" w:cs="方正小标宋简体"/>
      <w:color w:val="000000"/>
      <w:sz w:val="24"/>
      <w:szCs w:val="24"/>
      <w:lang w:val="en-US" w:eastAsia="zh-CN" w:bidi="ar-SA"/>
    </w:rPr>
  </w:style>
  <w:style w:type="paragraph" w:customStyle="1" w:styleId="16">
    <w:name w:val="文档正文-1"/>
    <w:autoRedefine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customStyle="1" w:styleId="17">
    <w:name w:val="文档正文一级标题"/>
    <w:basedOn w:val="16"/>
    <w:autoRedefine/>
    <w:qFormat/>
    <w:uiPriority w:val="0"/>
    <w:pPr>
      <w:numPr>
        <w:ilvl w:val="0"/>
        <w:numId w:val="1"/>
      </w:numPr>
      <w:ind w:firstLine="0" w:firstLineChars="0"/>
    </w:pPr>
  </w:style>
  <w:style w:type="paragraph" w:styleId="1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HP Inc.</Company>
  <Pages>5</Pages>
  <Words>1811</Words>
  <Characters>1959</Characters>
  <Lines>16</Lines>
  <Paragraphs>4</Paragraphs>
  <TotalTime>7</TotalTime>
  <ScaleCrop>false</ScaleCrop>
  <LinksUpToDate>false</LinksUpToDate>
  <CharactersWithSpaces>2133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2023-08-02T00:21:00Z</dcterms:created>
  <dc:creator>Leo Liu (刘恒)</dc:creator>
  <cp:lastModifiedBy>苑轩</cp:lastModifiedBy>
  <dcterms:modified xsi:type="dcterms:W3CDTF">2024-07-26T07:12:04Z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D2FD847A25924783B13709ECB56E4775_13</vt:lpwstr>
  </property>
</Properties>
</file>