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0"/>
          <w:szCs w:val="30"/>
          <w:lang w:val="en-US" w:eastAsia="zh-CN"/>
        </w:rPr>
      </w:pPr>
    </w:p>
    <w:p>
      <w:pPr>
        <w:jc w:val="center"/>
        <w:rPr>
          <w:rFonts w:ascii="宋体" w:hAnsi="宋体"/>
          <w:sz w:val="30"/>
          <w:szCs w:val="30"/>
        </w:rPr>
      </w:pPr>
    </w:p>
    <w:p>
      <w:pPr>
        <w:jc w:val="center"/>
        <w:rPr>
          <w:rFonts w:ascii="宋体" w:hAnsi="宋体"/>
          <w:sz w:val="48"/>
          <w:szCs w:val="48"/>
        </w:rPr>
      </w:pPr>
      <w:r>
        <w:rPr>
          <w:rFonts w:hint="eastAsia" w:ascii="宋体" w:hAnsi="宋体"/>
          <w:sz w:val="48"/>
          <w:szCs w:val="48"/>
        </w:rPr>
        <w:t>中国重汽集团成都王牌商用车有限公司</w:t>
      </w:r>
    </w:p>
    <w:p>
      <w:pPr>
        <w:jc w:val="center"/>
        <w:rPr>
          <w:rFonts w:ascii="宋体" w:hAnsi="宋体"/>
          <w:sz w:val="48"/>
          <w:szCs w:val="48"/>
        </w:rPr>
      </w:pPr>
      <w:r>
        <w:rPr>
          <w:rFonts w:hint="eastAsia" w:ascii="宋体" w:hAnsi="宋体"/>
          <w:sz w:val="48"/>
          <w:szCs w:val="48"/>
        </w:rPr>
        <w:t>废旧物资竞价处置项目</w:t>
      </w:r>
    </w:p>
    <w:p>
      <w:pPr>
        <w:jc w:val="center"/>
        <w:rPr>
          <w:rFonts w:ascii="宋体" w:hAnsi="宋体"/>
          <w:sz w:val="48"/>
          <w:szCs w:val="48"/>
        </w:rPr>
      </w:pPr>
    </w:p>
    <w:p>
      <w:pPr>
        <w:jc w:val="right"/>
        <w:rPr>
          <w:sz w:val="28"/>
          <w:szCs w:val="28"/>
        </w:rPr>
      </w:pPr>
    </w:p>
    <w:p>
      <w:pPr>
        <w:jc w:val="right"/>
        <w:rPr>
          <w:sz w:val="28"/>
          <w:szCs w:val="28"/>
        </w:rPr>
      </w:pPr>
    </w:p>
    <w:p>
      <w:pPr>
        <w:ind w:right="280"/>
        <w:jc w:val="right"/>
        <w:rPr>
          <w:sz w:val="28"/>
          <w:szCs w:val="28"/>
        </w:rPr>
      </w:pPr>
      <w:r>
        <w:rPr>
          <w:sz w:val="28"/>
          <w:szCs w:val="28"/>
        </w:rPr>
        <w:t xml:space="preserve"> </w:t>
      </w: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28"/>
          <w:szCs w:val="28"/>
        </w:rPr>
      </w:pPr>
    </w:p>
    <w:p>
      <w:pPr>
        <w:jc w:val="center"/>
        <w:rPr>
          <w:rFonts w:hint="eastAsia" w:ascii="宋体" w:hAnsi="宋体"/>
          <w:sz w:val="28"/>
          <w:szCs w:val="28"/>
        </w:rPr>
      </w:pPr>
    </w:p>
    <w:p>
      <w:pPr>
        <w:jc w:val="center"/>
        <w:rPr>
          <w:rFonts w:ascii="宋体" w:hAnsi="宋体"/>
          <w:sz w:val="28"/>
          <w:szCs w:val="28"/>
        </w:rPr>
      </w:pPr>
      <w:r>
        <w:rPr>
          <w:rFonts w:hint="eastAsia" w:ascii="宋体" w:hAnsi="宋体"/>
          <w:sz w:val="28"/>
          <w:szCs w:val="28"/>
        </w:rPr>
        <w:t>2024年7月</w:t>
      </w:r>
    </w:p>
    <w:p>
      <w:pPr>
        <w:pStyle w:val="3"/>
        <w:spacing w:line="360" w:lineRule="auto"/>
        <w:jc w:val="center"/>
        <w:rPr>
          <w:rFonts w:ascii="黑体" w:eastAsia="黑体"/>
          <w:b/>
          <w:bCs/>
          <w:sz w:val="36"/>
          <w:szCs w:val="36"/>
        </w:rPr>
      </w:pPr>
      <w:r>
        <w:rPr>
          <w:rFonts w:hint="eastAsia" w:ascii="黑体" w:eastAsia="黑体"/>
          <w:b/>
          <w:bCs/>
          <w:sz w:val="36"/>
          <w:szCs w:val="36"/>
        </w:rPr>
        <w:t>第一章 招标文件</w:t>
      </w:r>
    </w:p>
    <w:p>
      <w:pPr>
        <w:pStyle w:val="3"/>
        <w:spacing w:line="360" w:lineRule="auto"/>
        <w:rPr>
          <w:rFonts w:ascii="黑体" w:eastAsia="黑体"/>
          <w:b/>
          <w:bCs/>
          <w:sz w:val="28"/>
        </w:rPr>
      </w:pPr>
      <w:r>
        <w:rPr>
          <w:rFonts w:hint="eastAsia" w:ascii="黑体" w:eastAsia="黑体"/>
          <w:b/>
          <w:bCs/>
          <w:sz w:val="28"/>
        </w:rPr>
        <w:t>一、项目名称</w:t>
      </w:r>
    </w:p>
    <w:p>
      <w:pPr>
        <w:rPr>
          <w:rFonts w:hint="eastAsia"/>
        </w:rPr>
      </w:pPr>
      <w:bookmarkStart w:id="0" w:name="OLE_LINK1"/>
      <w:r>
        <w:rPr>
          <w:rFonts w:hint="eastAsia"/>
        </w:rPr>
        <w:t>项目名称：中国重汽集团成都王牌商用车有限公司废旧物资竞价处置项目</w:t>
      </w:r>
    </w:p>
    <w:bookmarkEnd w:id="0"/>
    <w:p>
      <w:pPr>
        <w:pStyle w:val="3"/>
        <w:spacing w:line="360" w:lineRule="auto"/>
        <w:rPr>
          <w:rFonts w:ascii="黑体" w:eastAsia="黑体"/>
          <w:b/>
          <w:bCs/>
          <w:sz w:val="28"/>
        </w:rPr>
      </w:pPr>
      <w:r>
        <w:rPr>
          <w:rFonts w:hint="eastAsia" w:ascii="黑体" w:eastAsia="黑体"/>
          <w:b/>
          <w:bCs/>
          <w:sz w:val="28"/>
        </w:rPr>
        <w:t>二、招标内容及形式</w:t>
      </w:r>
    </w:p>
    <w:p>
      <w:pPr>
        <w:pStyle w:val="3"/>
        <w:spacing w:line="360" w:lineRule="auto"/>
        <w:ind w:firstLine="420" w:firstLineChars="200"/>
      </w:pPr>
      <w:r>
        <w:rPr>
          <w:rFonts w:hint="eastAsia"/>
        </w:rPr>
        <w:t>招标范围：</w:t>
      </w:r>
      <w:r>
        <w:rPr>
          <w:rFonts w:hint="eastAsia" w:ascii="Times New Roman" w:hAnsi="Times New Roman"/>
        </w:rPr>
        <w:t>中国重汽集团成都王牌商用车有限公司</w:t>
      </w:r>
      <w:r>
        <w:rPr>
          <w:rFonts w:hint="eastAsia"/>
        </w:rPr>
        <w:t>产品类废钢物资。</w:t>
      </w:r>
    </w:p>
    <w:p>
      <w:pPr>
        <w:pStyle w:val="3"/>
        <w:spacing w:line="360" w:lineRule="auto"/>
        <w:ind w:firstLine="420" w:firstLineChars="200"/>
      </w:pPr>
      <w:r>
        <w:rPr>
          <w:rFonts w:hint="eastAsia"/>
        </w:rPr>
        <w:t>招标形式：山东重工集团·集采平台公开询价招标。</w:t>
      </w:r>
    </w:p>
    <w:p>
      <w:pPr>
        <w:pStyle w:val="3"/>
        <w:spacing w:line="360" w:lineRule="auto"/>
        <w:rPr>
          <w:rFonts w:ascii="黑体" w:eastAsia="黑体"/>
          <w:b/>
          <w:bCs/>
          <w:sz w:val="28"/>
        </w:rPr>
      </w:pPr>
      <w:r>
        <w:rPr>
          <w:rFonts w:hint="eastAsia" w:ascii="黑体" w:eastAsia="黑体"/>
          <w:b/>
          <w:bCs/>
          <w:sz w:val="28"/>
        </w:rPr>
        <w:t>三、交货及付款</w:t>
      </w:r>
    </w:p>
    <w:p>
      <w:pPr>
        <w:pStyle w:val="3"/>
        <w:spacing w:line="360" w:lineRule="auto"/>
        <w:ind w:firstLine="420" w:firstLineChars="200"/>
      </w:pPr>
      <w:r>
        <w:rPr>
          <w:rFonts w:hint="eastAsia"/>
        </w:rPr>
        <w:t>1、交货方式：中标方自提</w:t>
      </w:r>
    </w:p>
    <w:p>
      <w:pPr>
        <w:pStyle w:val="3"/>
        <w:spacing w:line="360" w:lineRule="auto"/>
        <w:ind w:firstLine="420" w:firstLineChars="200"/>
      </w:pPr>
      <w:r>
        <w:rPr>
          <w:rFonts w:hint="eastAsia"/>
        </w:rPr>
        <w:t>2、付款方式：需中标方预付货款</w:t>
      </w:r>
    </w:p>
    <w:p>
      <w:pPr>
        <w:pStyle w:val="3"/>
        <w:spacing w:line="360" w:lineRule="auto"/>
        <w:ind w:firstLine="420" w:firstLineChars="200"/>
        <w:rPr>
          <w:rFonts w:hint="default" w:eastAsia="宋体"/>
          <w:lang w:val="en-US" w:eastAsia="zh-CN"/>
        </w:rPr>
      </w:pPr>
      <w:r>
        <w:rPr>
          <w:rFonts w:hint="eastAsia"/>
        </w:rPr>
        <w:t>3、竞价时间：</w:t>
      </w:r>
      <w:r>
        <w:rPr>
          <w:rFonts w:hint="eastAsia"/>
          <w:b/>
          <w:bCs/>
          <w:color w:val="FF0000"/>
        </w:rPr>
        <w:t>2024年</w:t>
      </w:r>
      <w:r>
        <w:rPr>
          <w:rFonts w:hint="eastAsia"/>
          <w:b/>
          <w:bCs/>
          <w:color w:val="FF0000"/>
          <w:lang w:val="en-US" w:eastAsia="zh-CN"/>
        </w:rPr>
        <w:t>8</w:t>
      </w:r>
      <w:r>
        <w:rPr>
          <w:rFonts w:hint="eastAsia"/>
          <w:b/>
          <w:bCs/>
          <w:color w:val="FF0000"/>
        </w:rPr>
        <w:t>月</w:t>
      </w:r>
      <w:r>
        <w:rPr>
          <w:rFonts w:hint="eastAsia"/>
          <w:b/>
          <w:bCs/>
          <w:color w:val="FF0000"/>
          <w:lang w:val="en-US" w:eastAsia="zh-CN"/>
        </w:rPr>
        <w:t>6</w:t>
      </w:r>
      <w:r>
        <w:rPr>
          <w:rFonts w:hint="eastAsia"/>
          <w:b/>
          <w:bCs/>
          <w:color w:val="FF0000"/>
        </w:rPr>
        <w:t>日</w:t>
      </w:r>
      <w:r>
        <w:rPr>
          <w:rFonts w:hint="eastAsia"/>
          <w:b/>
          <w:bCs/>
          <w:color w:val="FF0000"/>
          <w:lang w:val="en-US" w:eastAsia="zh-CN"/>
        </w:rPr>
        <w:t>10</w:t>
      </w:r>
      <w:r>
        <w:rPr>
          <w:rFonts w:hint="eastAsia"/>
          <w:b/>
          <w:bCs/>
          <w:color w:val="FF0000"/>
        </w:rPr>
        <w:t>：</w:t>
      </w:r>
      <w:r>
        <w:rPr>
          <w:rFonts w:hint="eastAsia"/>
          <w:b/>
          <w:bCs/>
          <w:color w:val="FF0000"/>
          <w:lang w:val="en-US" w:eastAsia="zh-CN"/>
        </w:rPr>
        <w:t>00开始</w:t>
      </w:r>
    </w:p>
    <w:p>
      <w:pPr>
        <w:pStyle w:val="3"/>
        <w:spacing w:line="360" w:lineRule="auto"/>
        <w:rPr>
          <w:rFonts w:ascii="黑体" w:eastAsia="黑体"/>
          <w:b/>
          <w:bCs/>
          <w:sz w:val="28"/>
        </w:rPr>
      </w:pPr>
      <w:r>
        <w:rPr>
          <w:rFonts w:hint="eastAsia" w:ascii="黑体" w:eastAsia="黑体"/>
          <w:b/>
          <w:bCs/>
          <w:sz w:val="28"/>
        </w:rPr>
        <w:t>四、投标说明</w:t>
      </w:r>
    </w:p>
    <w:p>
      <w:pPr>
        <w:pStyle w:val="3"/>
        <w:spacing w:line="360" w:lineRule="auto"/>
        <w:ind w:left="631" w:leftChars="200" w:hanging="211" w:hangingChars="100"/>
        <w:rPr>
          <w:b/>
        </w:rPr>
      </w:pPr>
      <w:r>
        <w:rPr>
          <w:rFonts w:hint="eastAsia"/>
          <w:b/>
        </w:rPr>
        <w:t>1、投标条件</w:t>
      </w:r>
    </w:p>
    <w:p>
      <w:pPr>
        <w:pStyle w:val="3"/>
        <w:spacing w:line="360" w:lineRule="auto"/>
        <w:ind w:firstLine="413" w:firstLineChars="196"/>
        <w:rPr>
          <w:b/>
        </w:rPr>
      </w:pPr>
      <w:r>
        <w:rPr>
          <w:rFonts w:hint="eastAsia"/>
          <w:b/>
        </w:rPr>
        <w:t>所有投标方需满足以下条件，并经招标方审核通过后方可获得该项目的投标资格：</w:t>
      </w:r>
    </w:p>
    <w:p>
      <w:pPr>
        <w:pStyle w:val="3"/>
        <w:spacing w:line="360" w:lineRule="auto"/>
        <w:ind w:firstLine="205" w:firstLineChars="98"/>
        <w:rPr>
          <w:b/>
        </w:rPr>
      </w:pPr>
      <w:r>
        <w:rPr>
          <w:rFonts w:hint="eastAsia"/>
          <w:szCs w:val="21"/>
        </w:rPr>
        <w:t>（1）投标方必须是在中华人民共和国境内注册的独立法人机构，具有独立承担民事责任能力，</w:t>
      </w:r>
      <w:r>
        <w:rPr>
          <w:rFonts w:hint="eastAsia"/>
          <w:color w:val="000000"/>
          <w:szCs w:val="21"/>
        </w:rPr>
        <w:t>注册资金</w:t>
      </w:r>
      <w:r>
        <w:rPr>
          <w:rFonts w:hint="eastAsia"/>
          <w:b/>
          <w:bCs/>
          <w:color w:val="FF0000"/>
          <w:szCs w:val="21"/>
        </w:rPr>
        <w:t>不少于100万人民币</w:t>
      </w:r>
      <w:r>
        <w:rPr>
          <w:rFonts w:hint="eastAsia"/>
          <w:szCs w:val="21"/>
        </w:rPr>
        <w:t>；经营范围</w:t>
      </w:r>
      <w:r>
        <w:rPr>
          <w:rFonts w:hint="eastAsia" w:hAnsi="宋体"/>
          <w:szCs w:val="21"/>
        </w:rPr>
        <w:t>包含且不限于废旧金属的回收</w:t>
      </w:r>
      <w:r>
        <w:rPr>
          <w:rFonts w:hint="eastAsia"/>
          <w:szCs w:val="21"/>
        </w:rPr>
        <w:t>；</w:t>
      </w:r>
      <w:r>
        <w:rPr>
          <w:rFonts w:hint="eastAsia" w:hAnsi="宋体"/>
          <w:szCs w:val="21"/>
        </w:rPr>
        <w:t>并</w:t>
      </w:r>
      <w:r>
        <w:rPr>
          <w:rFonts w:hAnsi="宋体"/>
          <w:szCs w:val="21"/>
        </w:rPr>
        <w:t>在人员、设备、资金等方面具有承担本</w:t>
      </w:r>
      <w:r>
        <w:rPr>
          <w:rFonts w:hint="eastAsia" w:hAnsi="宋体"/>
          <w:szCs w:val="21"/>
        </w:rPr>
        <w:t>项目</w:t>
      </w:r>
      <w:r>
        <w:rPr>
          <w:rFonts w:hAnsi="宋体"/>
          <w:szCs w:val="21"/>
        </w:rPr>
        <w:t>的能力</w:t>
      </w:r>
      <w:r>
        <w:rPr>
          <w:rFonts w:hint="eastAsia" w:hAnsi="宋体"/>
          <w:szCs w:val="21"/>
        </w:rPr>
        <w:t>；</w:t>
      </w:r>
      <w:r>
        <w:rPr>
          <w:b/>
        </w:rPr>
        <w:t xml:space="preserve"> </w:t>
      </w:r>
    </w:p>
    <w:p>
      <w:pPr>
        <w:pStyle w:val="3"/>
        <w:spacing w:line="360" w:lineRule="auto"/>
        <w:ind w:firstLine="210" w:firstLineChars="100"/>
        <w:rPr>
          <w:szCs w:val="21"/>
        </w:rPr>
      </w:pPr>
      <w:r>
        <w:rPr>
          <w:rFonts w:hint="eastAsia"/>
          <w:szCs w:val="21"/>
        </w:rPr>
        <w:t>（2）投标方应提供三证合一的营业执照副本原件、法定代表人资格证明；</w:t>
      </w:r>
    </w:p>
    <w:p>
      <w:pPr>
        <w:pStyle w:val="3"/>
        <w:spacing w:line="360" w:lineRule="auto"/>
        <w:ind w:firstLine="205" w:firstLineChars="98"/>
        <w:rPr>
          <w:rFonts w:hint="eastAsia"/>
          <w:szCs w:val="21"/>
        </w:rPr>
      </w:pPr>
      <w:r>
        <w:rPr>
          <w:rFonts w:hint="eastAsia" w:hAnsi="宋体"/>
        </w:rPr>
        <w:t>（3）</w:t>
      </w:r>
      <w:r>
        <w:rPr>
          <w:rFonts w:hint="eastAsia"/>
          <w:szCs w:val="21"/>
        </w:rPr>
        <w:t>投标方在以往的招标活动中没有违法、违规、违纪和违约行为。</w:t>
      </w:r>
    </w:p>
    <w:p>
      <w:pPr>
        <w:pStyle w:val="3"/>
        <w:spacing w:line="360" w:lineRule="auto"/>
        <w:ind w:firstLine="205" w:firstLineChars="98"/>
        <w:rPr>
          <w:rFonts w:hint="eastAsia" w:hAnsi="宋体"/>
        </w:rPr>
      </w:pPr>
      <w:r>
        <w:rPr>
          <w:rFonts w:hint="eastAsia"/>
          <w:szCs w:val="21"/>
        </w:rPr>
        <w:t>（4）投标方同意随时接受招标方现场监督标的物的处置过程。</w:t>
      </w:r>
    </w:p>
    <w:p>
      <w:pPr>
        <w:pStyle w:val="3"/>
        <w:spacing w:line="360" w:lineRule="auto"/>
        <w:ind w:firstLine="205" w:firstLineChars="98"/>
        <w:rPr>
          <w:rFonts w:hint="eastAsia" w:hAnsi="宋体"/>
        </w:rPr>
      </w:pPr>
      <w:r>
        <w:rPr>
          <w:rFonts w:hint="eastAsia" w:hAnsi="宋体"/>
        </w:rPr>
        <w:t>（5）投标方应在信用中国（https://www.creditchina.gov.cn）中查询不存在不良记录；</w:t>
      </w:r>
    </w:p>
    <w:p>
      <w:pPr>
        <w:pStyle w:val="3"/>
        <w:spacing w:line="360" w:lineRule="auto"/>
        <w:ind w:firstLine="205" w:firstLineChars="98"/>
        <w:rPr>
          <w:rFonts w:hint="eastAsia" w:hAnsi="宋体"/>
        </w:rPr>
      </w:pPr>
      <w:r>
        <w:rPr>
          <w:rFonts w:hint="eastAsia" w:hAnsi="宋体"/>
        </w:rPr>
        <w:t>（6）成立时间要求，一般应成立一年以上，计算至开标日。</w:t>
      </w:r>
      <w:r>
        <w:rPr>
          <w:rFonts w:hint="eastAsia" w:hAnsi="宋体"/>
        </w:rPr>
        <w:br w:type="textWrapping"/>
      </w:r>
      <w:r>
        <w:rPr>
          <w:rFonts w:hint="eastAsia" w:hAnsi="宋体"/>
        </w:rPr>
        <w:t> （7）投标人须具有完全履行招标文件的所有要求的能力；</w:t>
      </w:r>
      <w:r>
        <w:rPr>
          <w:rFonts w:hint="eastAsia" w:hAnsi="宋体"/>
        </w:rPr>
        <w:br w:type="textWrapping"/>
      </w:r>
      <w:r>
        <w:rPr>
          <w:rFonts w:hint="eastAsia" w:hAnsi="宋体"/>
        </w:rPr>
        <w:t xml:space="preserve">  （8）投标人须负责提供合理的便于运输的包装物，并承担相关费用；</w:t>
      </w:r>
      <w:r>
        <w:rPr>
          <w:rFonts w:hint="eastAsia" w:hAnsi="宋体"/>
        </w:rPr>
        <w:br w:type="textWrapping"/>
      </w:r>
      <w:r>
        <w:rPr>
          <w:rFonts w:hint="eastAsia" w:hAnsi="宋体"/>
        </w:rPr>
        <w:t> （9）投标人须认可招标人的工作指令，包括节、假日能正常开展工作的要求；</w:t>
      </w:r>
      <w:r>
        <w:rPr>
          <w:rFonts w:hint="eastAsia" w:hAnsi="宋体"/>
        </w:rPr>
        <w:br w:type="textWrapping"/>
      </w:r>
      <w:r>
        <w:rPr>
          <w:rFonts w:hint="eastAsia" w:hAnsi="宋体"/>
        </w:rPr>
        <w:t> （10）投标人必须是最终投标、签订合同的单位，不得以任何理由将已中标项目以任何形式转包给其他单位；</w:t>
      </w:r>
    </w:p>
    <w:p>
      <w:pPr>
        <w:pStyle w:val="3"/>
        <w:spacing w:line="360" w:lineRule="auto"/>
        <w:ind w:firstLine="205" w:firstLineChars="98"/>
        <w:rPr>
          <w:rFonts w:hint="eastAsia" w:hAnsi="宋体"/>
        </w:rPr>
      </w:pPr>
      <w:r>
        <w:rPr>
          <w:rFonts w:hint="eastAsia" w:hAnsi="宋体"/>
        </w:rPr>
        <w:t>（11）近三年经审计的财务报表（资产负债表、利润表、现金流量表）未见异常。</w:t>
      </w:r>
    </w:p>
    <w:p>
      <w:pPr>
        <w:pStyle w:val="3"/>
        <w:spacing w:line="360" w:lineRule="auto"/>
        <w:ind w:left="420"/>
        <w:rPr>
          <w:b/>
        </w:rPr>
      </w:pPr>
      <w:r>
        <w:rPr>
          <w:rFonts w:hint="eastAsia"/>
          <w:b/>
        </w:rPr>
        <w:t>*注：报价同时需附件上传的材料</w:t>
      </w:r>
    </w:p>
    <w:p>
      <w:pPr>
        <w:pStyle w:val="3"/>
        <w:spacing w:line="360" w:lineRule="auto"/>
        <w:ind w:left="840"/>
        <w:rPr>
          <w:b/>
        </w:rPr>
      </w:pPr>
      <w:r>
        <w:rPr>
          <w:rFonts w:hint="eastAsia"/>
          <w:b/>
        </w:rPr>
        <w:t>以上投标条件中，第2、3、</w:t>
      </w:r>
      <w:r>
        <w:rPr>
          <w:b/>
        </w:rPr>
        <w:t>5</w:t>
      </w:r>
      <w:r>
        <w:rPr>
          <w:rFonts w:hint="eastAsia"/>
          <w:b/>
        </w:rPr>
        <w:t>、1</w:t>
      </w:r>
      <w:r>
        <w:rPr>
          <w:b/>
        </w:rPr>
        <w:t>1</w:t>
      </w:r>
      <w:r>
        <w:rPr>
          <w:rFonts w:hint="eastAsia"/>
          <w:b/>
        </w:rPr>
        <w:t>项，报名时需上传相应证明文件，否则视为无效。</w:t>
      </w:r>
    </w:p>
    <w:p>
      <w:pPr>
        <w:pStyle w:val="3"/>
        <w:spacing w:line="360" w:lineRule="auto"/>
        <w:ind w:left="631" w:leftChars="200" w:hanging="211" w:hangingChars="100"/>
        <w:rPr>
          <w:b/>
        </w:rPr>
      </w:pPr>
      <w:r>
        <w:rPr>
          <w:rFonts w:hint="eastAsia"/>
          <w:b/>
        </w:rPr>
        <w:t>2、投标要求</w:t>
      </w:r>
    </w:p>
    <w:p>
      <w:pPr>
        <w:pStyle w:val="3"/>
        <w:spacing w:line="360" w:lineRule="auto"/>
        <w:ind w:left="631" w:leftChars="200" w:hanging="211" w:hangingChars="100"/>
        <w:rPr>
          <w:rFonts w:hAnsi="宋体"/>
          <w:color w:val="0000FF"/>
        </w:rPr>
      </w:pPr>
      <w:r>
        <w:rPr>
          <w:rFonts w:hint="eastAsia" w:hAnsi="宋体"/>
          <w:b/>
        </w:rPr>
        <w:t>报名参与本项目的投标方，需遵循以下要求：</w:t>
      </w:r>
    </w:p>
    <w:p>
      <w:pPr>
        <w:pStyle w:val="3"/>
        <w:numPr>
          <w:ilvl w:val="0"/>
          <w:numId w:val="1"/>
        </w:numPr>
        <w:spacing w:line="360" w:lineRule="auto"/>
        <w:rPr>
          <w:b/>
          <w:u w:val="single"/>
        </w:rPr>
      </w:pPr>
      <w:r>
        <w:rPr>
          <w:rFonts w:hint="eastAsia"/>
          <w:b/>
          <w:u w:val="single"/>
        </w:rPr>
        <w:t>投标方向招标方财务部门缴纳</w:t>
      </w:r>
      <w:r>
        <w:rPr>
          <w:rFonts w:hint="eastAsia"/>
          <w:b/>
          <w:color w:val="FF0000"/>
          <w:highlight w:val="yellow"/>
          <w:u w:val="single"/>
        </w:rPr>
        <w:t>20000</w:t>
      </w:r>
      <w:r>
        <w:rPr>
          <w:rFonts w:hint="eastAsia"/>
          <w:b/>
          <w:u w:val="single"/>
        </w:rPr>
        <w:t>元（人民币）/投标方作为本次投标的投标保证金。</w:t>
      </w:r>
    </w:p>
    <w:p>
      <w:pPr>
        <w:pStyle w:val="3"/>
        <w:spacing w:line="360" w:lineRule="auto"/>
        <w:rPr>
          <w:rFonts w:hint="eastAsia"/>
          <w:b/>
          <w:color w:val="FF0000"/>
          <w:u w:val="single"/>
        </w:rPr>
      </w:pPr>
      <w:r>
        <w:rPr>
          <w:rFonts w:hint="eastAsia"/>
          <w:b/>
          <w:u w:val="single"/>
        </w:rPr>
        <w:t>*缴纳方式：基本账户转账</w:t>
      </w:r>
    </w:p>
    <w:tbl>
      <w:tblPr>
        <w:tblStyle w:val="5"/>
        <w:tblW w:w="834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46" w:type="dxa"/>
            <w:noWrap w:val="0"/>
            <w:vAlign w:val="center"/>
          </w:tcPr>
          <w:p>
            <w:pPr>
              <w:spacing w:line="360" w:lineRule="auto"/>
              <w:jc w:val="left"/>
              <w:rPr>
                <w:rFonts w:hint="eastAsia" w:ascii="仿宋_GB2312" w:eastAsia="仿宋_GB2312"/>
                <w:szCs w:val="21"/>
              </w:rPr>
            </w:pPr>
            <w:r>
              <w:rPr>
                <w:rFonts w:hint="eastAsia" w:ascii="仿宋_GB2312" w:eastAsia="仿宋_GB2312"/>
                <w:color w:val="000000"/>
                <w:szCs w:val="21"/>
              </w:rPr>
              <w:t>开户银行：</w:t>
            </w:r>
            <w:r>
              <w:rPr>
                <w:rFonts w:hint="eastAsia" w:ascii="仿宋_GB2312" w:eastAsia="仿宋_GB2312"/>
                <w:color w:val="000000"/>
                <w:szCs w:val="21"/>
                <w:highlight w:val="yellow"/>
              </w:rPr>
              <w:t>中国农业银行股份有限公司青白江弥牟支行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spacing w:line="360" w:lineRule="auto"/>
              <w:rPr>
                <w:rFonts w:hint="eastAsia" w:ascii="仿宋_GB2312" w:eastAsia="仿宋_GB2312"/>
                <w:szCs w:val="21"/>
              </w:rPr>
            </w:pPr>
            <w:r>
              <w:rPr>
                <w:rFonts w:hint="eastAsia" w:ascii="仿宋_GB2312" w:eastAsia="仿宋_GB2312"/>
                <w:color w:val="000000"/>
                <w:szCs w:val="21"/>
              </w:rPr>
              <w:t>户名：</w:t>
            </w:r>
            <w:r>
              <w:rPr>
                <w:rFonts w:hint="eastAsia" w:ascii="仿宋_GB2312" w:eastAsia="仿宋_GB2312"/>
                <w:color w:val="000000"/>
                <w:szCs w:val="21"/>
                <w:highlight w:val="yellow"/>
              </w:rPr>
              <w:t>中国重汽集团成都王牌商用车有限公司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rPr>
                <w:rFonts w:hint="eastAsia" w:ascii="仿宋_GB2312" w:eastAsia="仿宋_GB2312"/>
                <w:szCs w:val="21"/>
              </w:rPr>
            </w:pPr>
            <w:r>
              <w:rPr>
                <w:rFonts w:hint="eastAsia" w:ascii="仿宋_GB2312" w:eastAsia="仿宋_GB2312"/>
                <w:color w:val="000000"/>
                <w:szCs w:val="21"/>
              </w:rPr>
              <w:t>账号：</w:t>
            </w:r>
            <w:r>
              <w:rPr>
                <w:rFonts w:hint="eastAsia" w:ascii="仿宋_GB2312" w:eastAsia="仿宋_GB2312"/>
                <w:color w:val="000000"/>
                <w:szCs w:val="21"/>
                <w:highlight w:val="yellow"/>
              </w:rPr>
              <w:t>22844401040000572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46" w:type="dxa"/>
            <w:noWrap w:val="0"/>
            <w:vAlign w:val="center"/>
          </w:tcPr>
          <w:p>
            <w:pPr>
              <w:rPr>
                <w:rFonts w:ascii="仿宋_GB2312" w:eastAsia="仿宋_GB2312"/>
                <w:szCs w:val="21"/>
              </w:rPr>
            </w:pPr>
            <w:r>
              <w:rPr>
                <w:rFonts w:hint="eastAsia" w:ascii="仿宋_GB2312" w:eastAsia="仿宋_GB2312"/>
                <w:color w:val="000000"/>
                <w:szCs w:val="21"/>
              </w:rPr>
              <w:t>纳税人识别号：</w:t>
            </w:r>
            <w:r>
              <w:rPr>
                <w:rFonts w:hint="eastAsia" w:ascii="仿宋_GB2312" w:eastAsia="仿宋_GB2312"/>
                <w:color w:val="000000"/>
                <w:szCs w:val="21"/>
                <w:highlight w:val="yellow"/>
              </w:rPr>
              <w:t>91510113660488048Q</w:t>
            </w:r>
          </w:p>
        </w:tc>
      </w:tr>
    </w:tbl>
    <w:p>
      <w:pPr>
        <w:pStyle w:val="3"/>
        <w:spacing w:line="360" w:lineRule="auto"/>
        <w:ind w:firstLine="422" w:firstLineChars="200"/>
        <w:rPr>
          <w:b/>
          <w:color w:val="4472C4"/>
        </w:rPr>
      </w:pPr>
      <w:r>
        <w:rPr>
          <w:rFonts w:hint="eastAsia"/>
          <w:b/>
        </w:rPr>
        <w:t>（</w:t>
      </w:r>
      <w:r>
        <w:rPr>
          <w:b/>
        </w:rPr>
        <w:t>2</w:t>
      </w:r>
      <w:r>
        <w:rPr>
          <w:rFonts w:hint="eastAsia"/>
          <w:b/>
        </w:rPr>
        <w:t>）投标保证金需在</w:t>
      </w:r>
      <w:r>
        <w:rPr>
          <w:rFonts w:hint="eastAsia"/>
          <w:b/>
          <w:color w:val="FF0000"/>
        </w:rPr>
        <w:t>2024年</w:t>
      </w:r>
      <w:r>
        <w:rPr>
          <w:rFonts w:hint="eastAsia"/>
          <w:b/>
          <w:color w:val="FF0000"/>
          <w:lang w:val="en-US" w:eastAsia="zh-CN"/>
        </w:rPr>
        <w:t>8</w:t>
      </w:r>
      <w:r>
        <w:rPr>
          <w:rFonts w:hint="eastAsia"/>
          <w:b/>
          <w:color w:val="FF0000"/>
        </w:rPr>
        <w:t>月</w:t>
      </w:r>
      <w:r>
        <w:rPr>
          <w:rFonts w:hint="eastAsia"/>
          <w:b/>
          <w:color w:val="FF0000"/>
          <w:lang w:val="en-US" w:eastAsia="zh-CN"/>
        </w:rPr>
        <w:t>5</w:t>
      </w:r>
      <w:r>
        <w:rPr>
          <w:rFonts w:hint="eastAsia"/>
          <w:b/>
          <w:color w:val="FF0000"/>
        </w:rPr>
        <w:t>日前 8:30-17:00转入指定账户，并备注废旧物资投标保证金，其他时间转入的投标方将无法参与招投标</w:t>
      </w:r>
      <w:r>
        <w:rPr>
          <w:rFonts w:hint="eastAsia"/>
          <w:b/>
        </w:rPr>
        <w:t>。保证金转入成功后，必须向</w:t>
      </w:r>
      <w:r>
        <w:rPr>
          <w:b/>
        </w:rPr>
        <w:fldChar w:fldCharType="begin"/>
      </w:r>
      <w:r>
        <w:rPr>
          <w:b/>
        </w:rPr>
        <w:instrText xml:space="preserve"> HYPERLINK "mailto:</w:instrText>
      </w:r>
      <w:r>
        <w:rPr>
          <w:rFonts w:hint="eastAsia"/>
          <w:b/>
        </w:rPr>
        <w:instrText xml:space="preserve">邮箱</w:instrText>
      </w:r>
      <w:r>
        <w:rPr>
          <w:b/>
        </w:rPr>
        <w:instrText xml:space="preserve">scbwzgl</w:instrText>
      </w:r>
      <w:r>
        <w:rPr>
          <w:rFonts w:hint="eastAsia"/>
          <w:b/>
        </w:rPr>
        <w:instrText xml:space="preserve">@</w:instrText>
      </w:r>
      <w:r>
        <w:rPr>
          <w:b/>
        </w:rPr>
        <w:instrText xml:space="preserve">sinotruk.com" </w:instrText>
      </w:r>
      <w:r>
        <w:rPr>
          <w:b/>
        </w:rPr>
        <w:fldChar w:fldCharType="separate"/>
      </w:r>
      <w:r>
        <w:rPr>
          <w:rStyle w:val="7"/>
          <w:rFonts w:hint="eastAsia"/>
          <w:b/>
          <w:color w:val="auto"/>
        </w:rPr>
        <w:t>邮箱</w:t>
      </w:r>
      <w:r>
        <w:rPr>
          <w:rFonts w:hint="eastAsia"/>
          <w:b/>
          <w:color w:val="FF0000"/>
          <w:highlight w:val="yellow"/>
        </w:rPr>
        <w:t>zxc742919@sina.com</w:t>
      </w:r>
      <w:r>
        <w:rPr>
          <w:b/>
        </w:rPr>
        <w:fldChar w:fldCharType="end"/>
      </w:r>
      <w:r>
        <w:rPr>
          <w:rFonts w:hint="eastAsia"/>
          <w:b/>
        </w:rPr>
        <w:t>发送退款账号、账户名称、开户行名称、开户行行号、开户行所在地，否则影响退保证金。</w:t>
      </w:r>
    </w:p>
    <w:p>
      <w:pPr>
        <w:pStyle w:val="3"/>
        <w:spacing w:line="360" w:lineRule="auto"/>
        <w:ind w:firstLine="420"/>
        <w:rPr>
          <w:rFonts w:hint="eastAsia" w:hAnsi="宋体"/>
          <w:b/>
        </w:rPr>
      </w:pPr>
      <w:r>
        <w:rPr>
          <w:rFonts w:hint="eastAsia" w:hAnsi="宋体"/>
          <w:b/>
        </w:rPr>
        <w:t>（</w:t>
      </w:r>
      <w:r>
        <w:rPr>
          <w:rFonts w:hAnsi="宋体"/>
          <w:b/>
        </w:rPr>
        <w:t>3</w:t>
      </w:r>
      <w:r>
        <w:rPr>
          <w:rFonts w:hint="eastAsia" w:hAnsi="宋体"/>
          <w:b/>
        </w:rPr>
        <w:t>）发生以下情况时，有权没收保证金：</w:t>
      </w:r>
    </w:p>
    <w:p>
      <w:pPr>
        <w:pStyle w:val="3"/>
        <w:spacing w:line="360" w:lineRule="auto"/>
        <w:ind w:firstLine="422" w:firstLineChars="200"/>
        <w:rPr>
          <w:rFonts w:hint="eastAsia" w:hAnsi="宋体"/>
          <w:b/>
        </w:rPr>
      </w:pPr>
      <w:r>
        <w:rPr>
          <w:rFonts w:hint="eastAsia" w:hAnsi="宋体"/>
          <w:b/>
        </w:rPr>
        <w:t>①因投标方原因，造成报价无效的或影响正常报价的；</w:t>
      </w:r>
    </w:p>
    <w:p>
      <w:pPr>
        <w:pStyle w:val="3"/>
        <w:spacing w:line="360" w:lineRule="auto"/>
        <w:ind w:firstLine="422" w:firstLineChars="200"/>
        <w:rPr>
          <w:rFonts w:hint="eastAsia" w:hAnsi="宋体"/>
          <w:b/>
        </w:rPr>
      </w:pPr>
      <w:r>
        <w:rPr>
          <w:rFonts w:hint="eastAsia" w:hAnsi="宋体"/>
          <w:b/>
        </w:rPr>
        <w:t>②截至开标前，投标方无正当理由、未以书面形式递交说明而在投标截止日不来投标的；</w:t>
      </w:r>
    </w:p>
    <w:p>
      <w:pPr>
        <w:pStyle w:val="3"/>
        <w:spacing w:line="360" w:lineRule="auto"/>
        <w:ind w:firstLine="422" w:firstLineChars="200"/>
        <w:rPr>
          <w:rFonts w:hint="eastAsia" w:hAnsi="宋体"/>
          <w:b/>
        </w:rPr>
      </w:pPr>
      <w:r>
        <w:rPr>
          <w:rFonts w:hint="eastAsia" w:hAnsi="宋体"/>
          <w:b/>
        </w:rPr>
        <w:t>③自中标（成交）通知书发出之日起 30 日内，中标（成交）方无正当理由不签订合同的；</w:t>
      </w:r>
    </w:p>
    <w:p>
      <w:pPr>
        <w:pStyle w:val="3"/>
        <w:spacing w:line="360" w:lineRule="auto"/>
        <w:ind w:firstLine="422" w:firstLineChars="200"/>
        <w:rPr>
          <w:rFonts w:hint="eastAsia" w:hAnsi="宋体"/>
          <w:b/>
        </w:rPr>
      </w:pPr>
      <w:r>
        <w:rPr>
          <w:rFonts w:hint="eastAsia" w:hAnsi="宋体"/>
          <w:b/>
        </w:rPr>
        <w:t>④投标过程中被查实有串标、围标、陪标等违规违纪行为的；</w:t>
      </w:r>
    </w:p>
    <w:p>
      <w:pPr>
        <w:pStyle w:val="3"/>
        <w:spacing w:line="360" w:lineRule="auto"/>
        <w:ind w:firstLine="422" w:firstLineChars="200"/>
        <w:rPr>
          <w:rFonts w:hAnsi="宋体"/>
          <w:b/>
        </w:rPr>
      </w:pPr>
      <w:r>
        <w:rPr>
          <w:rFonts w:hint="eastAsia" w:hAnsi="宋体"/>
          <w:b/>
        </w:rPr>
        <w:t>⑤投标方有违约违规行为或被投诉、举报的，在调查处理期间，保证金暂不退还，待调查处理结束后按有关规定处理。</w:t>
      </w:r>
    </w:p>
    <w:p>
      <w:pPr>
        <w:pStyle w:val="3"/>
        <w:spacing w:line="360" w:lineRule="auto"/>
        <w:ind w:firstLine="422" w:firstLineChars="200"/>
        <w:rPr>
          <w:rFonts w:hint="eastAsia" w:hAnsi="宋体"/>
          <w:b/>
        </w:rPr>
      </w:pPr>
      <w:r>
        <w:rPr>
          <w:rFonts w:hint="eastAsia" w:hAnsi="宋体"/>
          <w:b/>
        </w:rPr>
        <w:t>（4）保证金转账需使用</w:t>
      </w:r>
      <w:r>
        <w:rPr>
          <w:rFonts w:hint="eastAsia" w:hAnsi="宋体"/>
          <w:b/>
          <w:color w:val="FF0000"/>
        </w:rPr>
        <w:t>投标公司对公账户</w:t>
      </w:r>
      <w:r>
        <w:rPr>
          <w:rFonts w:hint="eastAsia" w:hAnsi="宋体"/>
          <w:b/>
        </w:rPr>
        <w:t>，不得使用私人账户。不存在以上违规情况的投标方，招标方在确定中标方后1-2个付款周期内（1-2个月）无息退还投标保证金本金给未中标的投标人。</w:t>
      </w:r>
    </w:p>
    <w:p>
      <w:pPr>
        <w:pStyle w:val="3"/>
        <w:spacing w:line="360" w:lineRule="auto"/>
        <w:ind w:firstLine="422" w:firstLineChars="200"/>
        <w:rPr>
          <w:rFonts w:hint="eastAsia" w:hAnsi="宋体"/>
          <w:b/>
        </w:rPr>
      </w:pPr>
      <w:r>
        <w:rPr>
          <w:rFonts w:hint="eastAsia" w:hAnsi="宋体"/>
          <w:b/>
        </w:rPr>
        <w:t>3.资质审核方法：</w:t>
      </w:r>
    </w:p>
    <w:p>
      <w:pPr>
        <w:pStyle w:val="3"/>
        <w:spacing w:line="360" w:lineRule="auto"/>
        <w:ind w:firstLine="422" w:firstLineChars="200"/>
        <w:rPr>
          <w:rFonts w:hint="eastAsia"/>
          <w:b/>
          <w:szCs w:val="22"/>
        </w:rPr>
      </w:pPr>
      <w:r>
        <w:rPr>
          <w:rFonts w:hint="eastAsia"/>
          <w:b/>
          <w:szCs w:val="22"/>
        </w:rPr>
        <w:t>分为预审和资质后审，预审针对网上报名成功的投保方，根据其投标保证金是否按期打款进行审核。</w:t>
      </w:r>
    </w:p>
    <w:p>
      <w:pPr>
        <w:pStyle w:val="3"/>
        <w:spacing w:line="360" w:lineRule="auto"/>
        <w:ind w:firstLine="422" w:firstLineChars="200"/>
        <w:rPr>
          <w:rFonts w:hint="eastAsia"/>
          <w:b/>
          <w:szCs w:val="22"/>
        </w:rPr>
      </w:pPr>
      <w:r>
        <w:rPr>
          <w:rFonts w:hint="eastAsia"/>
          <w:b/>
          <w:szCs w:val="22"/>
        </w:rPr>
        <w:t>资质后审针对报价最高的投标方，启动资质审查，审查内容包括：</w:t>
      </w:r>
    </w:p>
    <w:p>
      <w:pPr>
        <w:pStyle w:val="3"/>
        <w:spacing w:line="360" w:lineRule="auto"/>
        <w:ind w:firstLine="422" w:firstLineChars="200"/>
        <w:rPr>
          <w:rFonts w:hint="eastAsia"/>
          <w:b/>
          <w:szCs w:val="22"/>
        </w:rPr>
      </w:pPr>
      <w:r>
        <w:rPr>
          <w:rFonts w:hint="eastAsia"/>
          <w:b/>
          <w:szCs w:val="22"/>
        </w:rPr>
        <w:t>a)经营资质符合项目要求，注册时间满足标书要求；</w:t>
      </w:r>
    </w:p>
    <w:p>
      <w:pPr>
        <w:pStyle w:val="3"/>
        <w:spacing w:line="360" w:lineRule="auto"/>
        <w:ind w:firstLine="422" w:firstLineChars="200"/>
        <w:rPr>
          <w:rFonts w:hint="eastAsia"/>
          <w:b/>
          <w:szCs w:val="22"/>
        </w:rPr>
      </w:pPr>
      <w:r>
        <w:rPr>
          <w:rFonts w:hint="eastAsia"/>
          <w:b/>
          <w:szCs w:val="22"/>
        </w:rPr>
        <w:t>b)注册资本符合项目要求，原则上投标人注册资金不得低于项目标的额或不低于</w:t>
      </w:r>
      <w:r>
        <w:rPr>
          <w:b/>
          <w:szCs w:val="22"/>
        </w:rPr>
        <w:t>3</w:t>
      </w:r>
      <w:r>
        <w:rPr>
          <w:rFonts w:hint="eastAsia"/>
          <w:b/>
          <w:szCs w:val="22"/>
        </w:rPr>
        <w:t>00万元；</w:t>
      </w:r>
    </w:p>
    <w:p>
      <w:pPr>
        <w:pStyle w:val="3"/>
        <w:spacing w:line="360" w:lineRule="auto"/>
        <w:ind w:firstLine="422" w:firstLineChars="200"/>
        <w:rPr>
          <w:rFonts w:hint="eastAsia"/>
          <w:b/>
          <w:szCs w:val="22"/>
        </w:rPr>
      </w:pPr>
      <w:r>
        <w:rPr>
          <w:rFonts w:hint="eastAsia"/>
          <w:b/>
          <w:szCs w:val="22"/>
        </w:rPr>
        <w:t>c)财务状况良好；</w:t>
      </w:r>
    </w:p>
    <w:p>
      <w:pPr>
        <w:pStyle w:val="3"/>
        <w:spacing w:line="360" w:lineRule="auto"/>
        <w:ind w:firstLine="422" w:firstLineChars="200"/>
        <w:rPr>
          <w:rFonts w:hint="eastAsia"/>
          <w:b/>
          <w:szCs w:val="22"/>
        </w:rPr>
      </w:pPr>
      <w:r>
        <w:rPr>
          <w:rFonts w:hint="eastAsia"/>
          <w:b/>
          <w:szCs w:val="22"/>
        </w:rPr>
        <w:t>d)在“国家企业信用信息公示系统”、“中国执行信息公开网”、“信用中国”、“天眼查”“裁判文书网”等信息平台中，无行政处罚及失信记录等信息；</w:t>
      </w:r>
    </w:p>
    <w:p>
      <w:pPr>
        <w:pStyle w:val="3"/>
        <w:spacing w:line="360" w:lineRule="auto"/>
        <w:ind w:firstLine="422" w:firstLineChars="200"/>
        <w:rPr>
          <w:rFonts w:hint="eastAsia"/>
          <w:b/>
        </w:rPr>
      </w:pPr>
      <w:r>
        <w:rPr>
          <w:rFonts w:hint="eastAsia"/>
          <w:b/>
          <w:szCs w:val="22"/>
        </w:rPr>
        <w:t>e)供方的直接或间接股东、法定代表人、董事、监事、高管非重汽员工及其亲属等。</w:t>
      </w:r>
    </w:p>
    <w:p>
      <w:pPr>
        <w:pStyle w:val="3"/>
        <w:spacing w:line="360" w:lineRule="auto"/>
        <w:ind w:firstLine="422" w:firstLineChars="200"/>
        <w:rPr>
          <w:rFonts w:hint="eastAsia"/>
          <w:b/>
        </w:rPr>
      </w:pPr>
      <w:r>
        <w:rPr>
          <w:rFonts w:hint="eastAsia"/>
          <w:b/>
        </w:rPr>
        <w:t>4、现场勘察</w:t>
      </w:r>
    </w:p>
    <w:p>
      <w:pPr>
        <w:pStyle w:val="3"/>
        <w:spacing w:line="360" w:lineRule="auto"/>
        <w:rPr>
          <w:b/>
          <w:bCs/>
        </w:rPr>
      </w:pPr>
      <w:r>
        <w:rPr>
          <w:rFonts w:hint="eastAsia"/>
          <w:b/>
        </w:rPr>
        <w:t xml:space="preserve">      </w:t>
      </w:r>
      <w:r>
        <w:rPr>
          <w:rFonts w:hint="eastAsia"/>
          <w:b/>
          <w:bCs/>
        </w:rPr>
        <w:t>物资状态以现场实物为准，如投标方放弃看现场，视为认可现场实物状态。各投标方如需查看现场实物，</w:t>
      </w:r>
      <w:r>
        <w:rPr>
          <w:rFonts w:hint="eastAsia"/>
          <w:b/>
          <w:bCs/>
          <w:lang w:val="en-US" w:eastAsia="zh-CN"/>
        </w:rPr>
        <w:t>8</w:t>
      </w:r>
      <w:r>
        <w:rPr>
          <w:rFonts w:hint="eastAsia"/>
          <w:b/>
          <w:bCs/>
        </w:rPr>
        <w:t>月</w:t>
      </w:r>
      <w:r>
        <w:rPr>
          <w:rFonts w:hint="eastAsia"/>
          <w:b/>
          <w:bCs/>
          <w:lang w:val="en-US" w:eastAsia="zh-CN"/>
        </w:rPr>
        <w:t>4</w:t>
      </w:r>
      <w:r>
        <w:rPr>
          <w:rFonts w:hint="eastAsia"/>
          <w:b/>
          <w:bCs/>
        </w:rPr>
        <w:t>日中午12:00前联系（</w:t>
      </w:r>
      <w:r>
        <w:rPr>
          <w:rFonts w:hint="eastAsia"/>
          <w:b/>
          <w:bCs/>
          <w:highlight w:val="yellow"/>
        </w:rPr>
        <w:t>成都王牌 张学成13688345447</w:t>
      </w:r>
      <w:r>
        <w:rPr>
          <w:rFonts w:hint="eastAsia" w:hAnsi="宋体"/>
          <w:b/>
          <w:bCs/>
          <w:szCs w:val="21"/>
        </w:rPr>
        <w:t>）</w:t>
      </w:r>
      <w:r>
        <w:rPr>
          <w:rFonts w:hint="eastAsia"/>
          <w:b/>
          <w:bCs/>
        </w:rPr>
        <w:t>。如未按时报名，视为放弃查看机会。投标方准备</w:t>
      </w:r>
      <w:r>
        <w:rPr>
          <w:rFonts w:hint="eastAsia"/>
          <w:b/>
          <w:bCs/>
          <w:lang w:val="en-US" w:eastAsia="zh-CN"/>
        </w:rPr>
        <w:t>8</w:t>
      </w:r>
      <w:r>
        <w:rPr>
          <w:rFonts w:hint="eastAsia"/>
          <w:b/>
          <w:bCs/>
        </w:rPr>
        <w:t>月</w:t>
      </w:r>
      <w:r>
        <w:rPr>
          <w:rFonts w:hint="eastAsia"/>
          <w:b/>
          <w:bCs/>
          <w:lang w:val="en-US" w:eastAsia="zh-CN"/>
        </w:rPr>
        <w:t>5</w:t>
      </w:r>
      <w:r>
        <w:rPr>
          <w:rFonts w:hint="eastAsia"/>
          <w:b/>
          <w:bCs/>
        </w:rPr>
        <w:t>日统一看现场，不再单独组织。</w:t>
      </w:r>
    </w:p>
    <w:p>
      <w:pPr>
        <w:pStyle w:val="3"/>
        <w:spacing w:line="360" w:lineRule="auto"/>
        <w:ind w:firstLine="422" w:firstLineChars="200"/>
        <w:rPr>
          <w:rFonts w:hint="eastAsia"/>
          <w:b/>
        </w:rPr>
      </w:pPr>
      <w:r>
        <w:rPr>
          <w:rFonts w:hint="eastAsia"/>
          <w:b/>
        </w:rPr>
        <w:t>5、报价</w:t>
      </w:r>
    </w:p>
    <w:p>
      <w:pPr>
        <w:pStyle w:val="3"/>
        <w:spacing w:line="360" w:lineRule="auto"/>
        <w:ind w:firstLine="420" w:firstLineChars="200"/>
        <w:rPr>
          <w:b/>
          <w:szCs w:val="22"/>
        </w:rPr>
      </w:pPr>
      <w:r>
        <w:rPr>
          <w:rFonts w:hint="eastAsia"/>
        </w:rPr>
        <w:t>（1）报价货币单位为：元/吨（人民币，含税），网络平台报价时填报各类单价</w:t>
      </w:r>
      <w:r>
        <w:rPr>
          <w:rFonts w:hint="eastAsia"/>
          <w:szCs w:val="22"/>
        </w:rPr>
        <w:t>，平台将以综合总价进行排名，以总价排名第一中标。</w:t>
      </w:r>
      <w:r>
        <w:rPr>
          <w:rFonts w:hint="eastAsia"/>
          <w:b/>
          <w:szCs w:val="22"/>
        </w:rPr>
        <w:t>报价过程中出现明显报价错误的投标方，取消该包次报价资格，并扣除保证金3000元/次。</w:t>
      </w:r>
    </w:p>
    <w:p>
      <w:pPr>
        <w:pStyle w:val="3"/>
        <w:spacing w:line="360" w:lineRule="auto"/>
        <w:ind w:firstLine="420" w:firstLineChars="200"/>
        <w:rPr>
          <w:rFonts w:hint="eastAsia" w:hAnsi="宋体"/>
          <w:bCs/>
        </w:rPr>
      </w:pPr>
      <w:r>
        <w:rPr>
          <w:rFonts w:hint="eastAsia"/>
        </w:rPr>
        <w:t>（2）</w:t>
      </w:r>
      <w:r>
        <w:rPr>
          <w:rFonts w:hint="eastAsia" w:hAnsi="宋体" w:cs="宋体"/>
          <w:szCs w:val="21"/>
        </w:rPr>
        <w:t>投标方承诺所报价格真实有效且具有法律效力</w:t>
      </w:r>
      <w:r>
        <w:rPr>
          <w:rFonts w:hint="eastAsia"/>
          <w:szCs w:val="22"/>
        </w:rPr>
        <w:t>。</w:t>
      </w:r>
      <w:r>
        <w:rPr>
          <w:rFonts w:hint="eastAsia" w:hAnsi="宋体" w:cs="宋体"/>
          <w:b/>
          <w:bCs/>
          <w:szCs w:val="21"/>
        </w:rPr>
        <w:t>招标合同期内无论何种情况选定为中标方的，均需按照投标价格执行，否则视为弃标，列入黑名单。</w:t>
      </w:r>
    </w:p>
    <w:p>
      <w:pPr>
        <w:jc w:val="center"/>
        <w:rPr>
          <w:rFonts w:hint="eastAsia" w:ascii="宋体" w:hAnsi="宋体" w:cs="宋体"/>
          <w:b/>
          <w:bCs/>
          <w:szCs w:val="21"/>
        </w:rPr>
      </w:pPr>
      <w:r>
        <w:rPr>
          <w:rFonts w:hint="eastAsia" w:ascii="宋体" w:hAnsi="宋体" w:cs="宋体"/>
          <w:b/>
          <w:bCs/>
          <w:szCs w:val="21"/>
        </w:rPr>
        <w:t>废旧物资招标货物报价表</w:t>
      </w:r>
    </w:p>
    <w:tbl>
      <w:tblPr>
        <w:tblStyle w:val="5"/>
        <w:tblW w:w="9495" w:type="dxa"/>
        <w:tblInd w:w="0" w:type="dxa"/>
        <w:tblLayout w:type="fixed"/>
        <w:tblCellMar>
          <w:top w:w="0" w:type="dxa"/>
          <w:left w:w="108" w:type="dxa"/>
          <w:bottom w:w="0" w:type="dxa"/>
          <w:right w:w="108" w:type="dxa"/>
        </w:tblCellMar>
      </w:tblPr>
      <w:tblGrid>
        <w:gridCol w:w="881"/>
        <w:gridCol w:w="2038"/>
        <w:gridCol w:w="1306"/>
        <w:gridCol w:w="1756"/>
        <w:gridCol w:w="1103"/>
        <w:gridCol w:w="2411"/>
      </w:tblGrid>
      <w:tr>
        <w:tblPrEx>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分包</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公司及主要物资</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预测量（吨）</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起拍价（元/吨，含税）</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价格是否波动</w:t>
            </w:r>
          </w:p>
        </w:tc>
        <w:tc>
          <w:tcPr>
            <w:tcW w:w="2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Style w:val="8"/>
                <w:rFonts w:hint="default"/>
                <w:lang w:bidi="ar"/>
              </w:rPr>
              <w:t>备注</w:t>
            </w:r>
          </w:p>
        </w:tc>
      </w:tr>
      <w:tr>
        <w:tblPrEx>
          <w:tblCellMar>
            <w:top w:w="0" w:type="dxa"/>
            <w:left w:w="108" w:type="dxa"/>
            <w:bottom w:w="0" w:type="dxa"/>
            <w:right w:w="108" w:type="dxa"/>
          </w:tblCellMar>
        </w:tblPrEx>
        <w:trPr>
          <w:trHeight w:val="630" w:hRule="atLeast"/>
        </w:trPr>
        <w:tc>
          <w:tcPr>
            <w:tcW w:w="88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A</w:t>
            </w:r>
          </w:p>
        </w:tc>
        <w:tc>
          <w:tcPr>
            <w:tcW w:w="203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sz w:val="24"/>
                <w:szCs w:val="24"/>
              </w:rPr>
              <w:t>油缸、煤缸</w:t>
            </w:r>
            <w:r>
              <w:rPr>
                <w:rFonts w:ascii="宋体" w:hAnsi="宋体" w:cs="宋体"/>
                <w:sz w:val="24"/>
                <w:szCs w:val="24"/>
              </w:rPr>
              <w:t>类</w:t>
            </w:r>
            <w:r>
              <w:rPr>
                <w:rFonts w:hint="eastAsia" w:ascii="宋体" w:hAnsi="宋体" w:cs="宋体"/>
                <w:sz w:val="24"/>
                <w:szCs w:val="24"/>
              </w:rPr>
              <w:t>一批</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1756"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3500</w:t>
            </w:r>
          </w:p>
        </w:tc>
        <w:tc>
          <w:tcPr>
            <w:tcW w:w="11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否</w:t>
            </w:r>
          </w:p>
        </w:tc>
        <w:tc>
          <w:tcPr>
            <w:tcW w:w="24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预测量为参考值，具体以实际重量为准。各中标单位负责自行装运以及现场的清理工作。</w:t>
            </w:r>
          </w:p>
        </w:tc>
      </w:tr>
      <w:tr>
        <w:tblPrEx>
          <w:tblCellMar>
            <w:top w:w="0" w:type="dxa"/>
            <w:left w:w="108" w:type="dxa"/>
            <w:bottom w:w="0" w:type="dxa"/>
            <w:right w:w="108" w:type="dxa"/>
          </w:tblCellMar>
        </w:tblPrEx>
        <w:trPr>
          <w:trHeight w:val="707"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B</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sz w:val="24"/>
                <w:szCs w:val="24"/>
              </w:rPr>
            </w:pPr>
            <w:r>
              <w:rPr>
                <w:rFonts w:hint="eastAsia" w:ascii="宋体" w:hAnsi="宋体" w:cs="宋体"/>
                <w:color w:val="000000"/>
                <w:kern w:val="0"/>
                <w:sz w:val="22"/>
                <w:szCs w:val="22"/>
                <w:lang w:val="en-US" w:eastAsia="zh-CN" w:bidi="ar"/>
              </w:rPr>
              <w:t>杂类产品件</w:t>
            </w:r>
            <w:r>
              <w:rPr>
                <w:rFonts w:hint="eastAsia" w:ascii="宋体" w:hAnsi="宋体" w:cs="宋体"/>
                <w:color w:val="000000"/>
                <w:kern w:val="0"/>
                <w:sz w:val="22"/>
                <w:szCs w:val="22"/>
                <w:lang w:bidi="ar"/>
              </w:rPr>
              <w:t>一批</w:t>
            </w: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80</w:t>
            </w:r>
          </w:p>
        </w:tc>
        <w:tc>
          <w:tcPr>
            <w:tcW w:w="17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2500</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否</w:t>
            </w:r>
          </w:p>
        </w:tc>
        <w:tc>
          <w:tcPr>
            <w:tcW w:w="2411"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07"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C</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sz w:val="24"/>
                <w:szCs w:val="24"/>
              </w:rPr>
              <w:t>车桥</w:t>
            </w:r>
            <w:r>
              <w:rPr>
                <w:rFonts w:ascii="宋体" w:hAnsi="宋体" w:cs="宋体"/>
                <w:sz w:val="24"/>
                <w:szCs w:val="24"/>
              </w:rPr>
              <w:t>类</w:t>
            </w:r>
            <w:r>
              <w:rPr>
                <w:rFonts w:hint="eastAsia" w:ascii="宋体" w:hAnsi="宋体" w:cs="宋体"/>
                <w:sz w:val="24"/>
                <w:szCs w:val="24"/>
              </w:rPr>
              <w:t>一批</w:t>
            </w: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7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3500</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否</w:t>
            </w:r>
          </w:p>
        </w:tc>
        <w:tc>
          <w:tcPr>
            <w:tcW w:w="2411"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bl>
    <w:p>
      <w:pPr>
        <w:rPr>
          <w:rFonts w:hint="eastAsia"/>
        </w:rPr>
      </w:pPr>
    </w:p>
    <w:p>
      <w:pPr>
        <w:pStyle w:val="2"/>
        <w:numPr>
          <w:ilvl w:val="0"/>
          <w:numId w:val="2"/>
        </w:numP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评分标准：根据MRO平台报价，报价最高者为推荐中标单位，仅一家中标。</w:t>
      </w:r>
    </w:p>
    <w:p>
      <w:pPr>
        <w:pStyle w:val="2"/>
        <w:numPr>
          <w:ilvl w:val="0"/>
          <w:numId w:val="2"/>
        </w:numPr>
        <w:rPr>
          <w:rFonts w:hint="eastAsia" w:ascii="Times New Roman" w:hAnsi="Times New Roman" w:eastAsia="宋体" w:cs="Times New Roman"/>
          <w:kern w:val="2"/>
          <w:sz w:val="21"/>
        </w:rPr>
      </w:pPr>
      <w:r>
        <w:rPr>
          <w:rFonts w:hint="eastAsia" w:ascii="Times New Roman" w:hAnsi="Times New Roman" w:eastAsia="宋体" w:cs="Times New Roman"/>
          <w:kern w:val="2"/>
          <w:sz w:val="21"/>
        </w:rPr>
        <w:t>废标及终止招标</w:t>
      </w:r>
      <w:r>
        <w:rPr>
          <w:rFonts w:hint="eastAsia" w:ascii="Times New Roman" w:hAnsi="Times New Roman" w:eastAsia="宋体" w:cs="Times New Roman"/>
          <w:kern w:val="2"/>
          <w:sz w:val="21"/>
        </w:rPr>
        <w:br w:type="textWrapping"/>
      </w:r>
      <w:r>
        <w:rPr>
          <w:rFonts w:hint="eastAsia" w:ascii="Times New Roman" w:hAnsi="Times New Roman" w:eastAsia="宋体" w:cs="Times New Roman"/>
          <w:kern w:val="2"/>
          <w:sz w:val="21"/>
        </w:rPr>
        <w:t>1.投标人有下列情形之一，其投标将被视为废标，招标人将严格按照《中华人民共和国招标投标法》及相关法律、法规及规章制度的规定行使权利。投标人给招标人造成损失的，招标人有索赔的权利，投标人应予以赔偿。⑴投标人提供的有关资格、资质证明文件不合格、不真实或提供虚假投标材料；⑵投标人在报价有效期内撤回投标；⑶在整个评标过程中，投标人有企图影响评标结果公正性的任何活动；⑷投标人以任何方式诋毁其他投标人；⑸投标人串通投标；⑹以他人名义投标或者以其他方式弄虚作假，骗取中标的；⑺投标人被他人举报，经招标人查实属实的；⑻中标人不按规定签订合同；（9）法律、法规规定的其他情况。</w:t>
      </w:r>
      <w:r>
        <w:rPr>
          <w:rFonts w:hint="eastAsia" w:ascii="Times New Roman" w:hAnsi="Times New Roman" w:eastAsia="宋体" w:cs="Times New Roman"/>
          <w:kern w:val="2"/>
          <w:sz w:val="21"/>
        </w:rPr>
        <w:br w:type="textWrapping"/>
      </w:r>
      <w:r>
        <w:rPr>
          <w:rFonts w:hint="eastAsia" w:ascii="Times New Roman" w:hAnsi="Times New Roman" w:eastAsia="宋体" w:cs="Times New Roman"/>
          <w:kern w:val="2"/>
          <w:sz w:val="21"/>
        </w:rPr>
        <w:t>2.出现下列情形之一，招标人有权否决所有投标人的投标，并终止招标。⑴出现影响采购公正的违法、违规行为的。⑵评标委员会经评审，认为所有投标都不符合招标文件要求的⑶因重大变故，采购任务取消的。⑷有效参与投标的单位不足三家以上的。⑸招标人认为其他应终止招标的情形。</w:t>
      </w:r>
    </w:p>
    <w:p>
      <w:pPr>
        <w:pStyle w:val="3"/>
        <w:numPr>
          <w:ilvl w:val="0"/>
          <w:numId w:val="3"/>
        </w:numPr>
        <w:spacing w:line="360" w:lineRule="auto"/>
        <w:rPr>
          <w:rFonts w:hint="eastAsia" w:ascii="黑体" w:eastAsia="黑体"/>
          <w:b/>
          <w:bCs/>
          <w:sz w:val="28"/>
          <w:szCs w:val="22"/>
        </w:rPr>
      </w:pPr>
      <w:r>
        <w:rPr>
          <w:rFonts w:hint="eastAsia" w:ascii="黑体" w:eastAsia="黑体"/>
          <w:b/>
          <w:bCs/>
          <w:sz w:val="32"/>
          <w:szCs w:val="24"/>
        </w:rPr>
        <w:t>时间安排</w:t>
      </w:r>
    </w:p>
    <w:p>
      <w:pPr>
        <w:pStyle w:val="3"/>
        <w:spacing w:line="360" w:lineRule="auto"/>
        <w:ind w:left="422"/>
        <w:rPr>
          <w:rFonts w:hint="eastAsia"/>
          <w:b/>
          <w:bCs/>
          <w:color w:val="FF0000"/>
        </w:rPr>
      </w:pPr>
      <w:r>
        <w:rPr>
          <w:rFonts w:hint="eastAsia"/>
          <w:b/>
          <w:bCs/>
          <w:color w:val="FF0000"/>
        </w:rPr>
        <w:t>1、</w:t>
      </w:r>
      <w:r>
        <w:rPr>
          <w:rFonts w:hint="eastAsia"/>
          <w:b/>
          <w:color w:val="FF0000"/>
        </w:rPr>
        <w:t>2024年</w:t>
      </w:r>
      <w:r>
        <w:rPr>
          <w:rFonts w:hint="eastAsia"/>
          <w:b/>
          <w:color w:val="FF0000"/>
          <w:lang w:val="en-US" w:eastAsia="zh-CN"/>
        </w:rPr>
        <w:t>8</w:t>
      </w:r>
      <w:r>
        <w:rPr>
          <w:rFonts w:hint="eastAsia"/>
          <w:b/>
          <w:color w:val="FF0000"/>
        </w:rPr>
        <w:t>月</w:t>
      </w:r>
      <w:r>
        <w:rPr>
          <w:rFonts w:hint="eastAsia"/>
          <w:b/>
          <w:color w:val="FF0000"/>
          <w:lang w:val="en-US" w:eastAsia="zh-CN"/>
        </w:rPr>
        <w:t>5</w:t>
      </w:r>
      <w:r>
        <w:rPr>
          <w:rFonts w:hint="eastAsia"/>
          <w:b/>
          <w:color w:val="FF0000"/>
        </w:rPr>
        <w:t>日看现场实物</w:t>
      </w:r>
      <w:r>
        <w:rPr>
          <w:rFonts w:hint="eastAsia"/>
          <w:b/>
          <w:color w:val="FF0000"/>
          <w:szCs w:val="22"/>
        </w:rPr>
        <w:t>。</w:t>
      </w:r>
    </w:p>
    <w:p>
      <w:pPr>
        <w:pStyle w:val="3"/>
        <w:spacing w:line="360" w:lineRule="auto"/>
        <w:ind w:left="422"/>
        <w:rPr>
          <w:rFonts w:hint="eastAsia"/>
          <w:b/>
          <w:bCs/>
          <w:color w:val="FF0000"/>
        </w:rPr>
      </w:pPr>
      <w:r>
        <w:rPr>
          <w:rFonts w:hint="eastAsia"/>
          <w:b/>
          <w:bCs/>
          <w:color w:val="FF0000"/>
        </w:rPr>
        <w:t>2、投标保证金需在2024年</w:t>
      </w:r>
      <w:r>
        <w:rPr>
          <w:rFonts w:hint="eastAsia"/>
          <w:b/>
          <w:bCs/>
          <w:color w:val="FF0000"/>
          <w:lang w:val="en-US" w:eastAsia="zh-CN"/>
        </w:rPr>
        <w:t>8</w:t>
      </w:r>
      <w:r>
        <w:rPr>
          <w:rFonts w:hint="eastAsia"/>
          <w:b/>
          <w:bCs/>
          <w:color w:val="FF0000"/>
        </w:rPr>
        <w:t>月</w:t>
      </w:r>
      <w:r>
        <w:rPr>
          <w:rFonts w:hint="eastAsia"/>
          <w:b/>
          <w:bCs/>
          <w:color w:val="FF0000"/>
          <w:lang w:val="en-US" w:eastAsia="zh-CN"/>
        </w:rPr>
        <w:t>5</w:t>
      </w:r>
      <w:r>
        <w:rPr>
          <w:rFonts w:hint="eastAsia"/>
          <w:b/>
          <w:bCs/>
          <w:color w:val="FF0000"/>
        </w:rPr>
        <w:t>日8:30-17:00转入指定账户,同时将投标保证金缴款凭证及投标方信息（单位名称、地址、开户银行、银行账号、开户行行号、联系人、联系人电话等）发送至</w:t>
      </w:r>
      <w:r>
        <w:rPr>
          <w:rFonts w:hint="eastAsia"/>
          <w:b/>
          <w:color w:val="FF0000"/>
        </w:rPr>
        <w:t>zxc742919@sina.com</w:t>
      </w:r>
      <w:r>
        <w:rPr>
          <w:rFonts w:hint="eastAsia"/>
          <w:b/>
          <w:bCs/>
          <w:color w:val="FF0000"/>
        </w:rPr>
        <w:t>邮箱。</w:t>
      </w:r>
    </w:p>
    <w:p>
      <w:pPr>
        <w:pStyle w:val="3"/>
        <w:spacing w:line="360" w:lineRule="auto"/>
        <w:ind w:left="422"/>
        <w:rPr>
          <w:rFonts w:hint="eastAsia"/>
          <w:b/>
          <w:color w:val="FF0000"/>
          <w:szCs w:val="22"/>
        </w:rPr>
      </w:pPr>
      <w:r>
        <w:rPr>
          <w:rFonts w:hint="eastAsia"/>
          <w:b/>
          <w:color w:val="FF0000"/>
          <w:szCs w:val="22"/>
        </w:rPr>
        <w:t>3、开标时间：网上开标，2024年</w:t>
      </w:r>
      <w:r>
        <w:rPr>
          <w:rFonts w:hint="eastAsia"/>
          <w:b/>
          <w:color w:val="FF0000"/>
          <w:szCs w:val="22"/>
          <w:lang w:val="en-US" w:eastAsia="zh-CN"/>
        </w:rPr>
        <w:t>8</w:t>
      </w:r>
      <w:r>
        <w:rPr>
          <w:rFonts w:hint="eastAsia"/>
          <w:b/>
          <w:color w:val="FF0000"/>
          <w:szCs w:val="22"/>
        </w:rPr>
        <w:t>月</w:t>
      </w:r>
      <w:r>
        <w:rPr>
          <w:rFonts w:hint="eastAsia"/>
          <w:b/>
          <w:color w:val="FF0000"/>
          <w:szCs w:val="22"/>
          <w:lang w:val="en-US" w:eastAsia="zh-CN"/>
        </w:rPr>
        <w:t>6</w:t>
      </w:r>
      <w:r>
        <w:rPr>
          <w:rFonts w:hint="eastAsia"/>
          <w:b/>
          <w:color w:val="FF0000"/>
          <w:szCs w:val="22"/>
        </w:rPr>
        <w:t>日上午</w:t>
      </w:r>
      <w:r>
        <w:rPr>
          <w:rFonts w:hint="eastAsia"/>
          <w:b/>
          <w:color w:val="FF0000"/>
          <w:szCs w:val="22"/>
          <w:lang w:val="en-US" w:eastAsia="zh-CN"/>
        </w:rPr>
        <w:t>10</w:t>
      </w:r>
      <w:r>
        <w:rPr>
          <w:rFonts w:hint="eastAsia"/>
          <w:b/>
          <w:color w:val="FF0000"/>
          <w:szCs w:val="22"/>
        </w:rPr>
        <w:t>点</w:t>
      </w:r>
      <w:r>
        <w:rPr>
          <w:rFonts w:hint="eastAsia"/>
          <w:b/>
          <w:color w:val="FF0000"/>
          <w:szCs w:val="22"/>
          <w:lang w:val="en-US" w:eastAsia="zh-CN"/>
        </w:rPr>
        <w:t>开始</w:t>
      </w:r>
      <w:r>
        <w:rPr>
          <w:rFonts w:hint="eastAsia"/>
          <w:b/>
          <w:bCs/>
          <w:color w:val="FF0000"/>
        </w:rPr>
        <w:t>。</w:t>
      </w:r>
    </w:p>
    <w:p>
      <w:pPr>
        <w:pStyle w:val="3"/>
        <w:spacing w:line="360" w:lineRule="auto"/>
        <w:rPr>
          <w:rFonts w:hint="eastAsia" w:ascii="黑体" w:eastAsia="黑体"/>
          <w:b/>
          <w:bCs/>
          <w:sz w:val="28"/>
          <w:szCs w:val="22"/>
        </w:rPr>
      </w:pPr>
      <w:r>
        <w:rPr>
          <w:rFonts w:hint="eastAsia" w:ascii="黑体" w:eastAsia="黑体"/>
          <w:b/>
          <w:bCs/>
          <w:sz w:val="28"/>
          <w:szCs w:val="22"/>
        </w:rPr>
        <w:t>六、合同签订</w:t>
      </w:r>
    </w:p>
    <w:p>
      <w:pPr>
        <w:spacing w:line="520" w:lineRule="exact"/>
        <w:ind w:right="2" w:firstLine="420" w:firstLineChars="200"/>
        <w:rPr>
          <w:rFonts w:hint="eastAsia" w:ascii="宋体" w:hAnsi="Courier New"/>
        </w:rPr>
      </w:pPr>
      <w:r>
        <w:rPr>
          <w:rFonts w:hint="eastAsia" w:ascii="宋体" w:hAnsi="Courier New"/>
        </w:rPr>
        <w:t>1、招标方根据询价结果确定中标方，30个工作日内向中标方发书面中标通知书，如招标结果未达到预期，招标方有权重新组织询价。</w:t>
      </w:r>
    </w:p>
    <w:p>
      <w:pPr>
        <w:spacing w:line="520" w:lineRule="exact"/>
        <w:ind w:firstLine="420" w:firstLineChars="200"/>
        <w:rPr>
          <w:rFonts w:ascii="宋体" w:hAnsi="Courier New"/>
        </w:rPr>
      </w:pPr>
      <w:r>
        <w:rPr>
          <w:rFonts w:hint="eastAsia" w:ascii="宋体" w:hAnsi="Courier New"/>
        </w:rPr>
        <w:t>2、合同以</w:t>
      </w:r>
      <w:r>
        <w:rPr>
          <w:rFonts w:hint="eastAsia"/>
        </w:rPr>
        <w:t>中标单位与招标人或其关联公司签订的合同约定</w:t>
      </w:r>
      <w:r>
        <w:rPr>
          <w:rFonts w:hint="eastAsia" w:ascii="宋体" w:hAnsi="Courier New"/>
        </w:rPr>
        <w:t>为准。中标方的投标文件及其澄清文件和双方共同谈判所达成的协议等，均为签订合同的依据。</w:t>
      </w:r>
    </w:p>
    <w:p>
      <w:pPr>
        <w:ind w:firstLine="420" w:firstLineChars="200"/>
        <w:rPr>
          <w:rFonts w:hint="eastAsia" w:ascii="宋体" w:hAnsi="Courier New"/>
        </w:rPr>
      </w:pPr>
    </w:p>
    <w:p>
      <w:pPr>
        <w:ind w:firstLine="420" w:firstLineChars="200"/>
        <w:rPr>
          <w:rFonts w:ascii="宋体" w:hAnsi="Courier New"/>
        </w:rPr>
      </w:pPr>
      <w:r>
        <w:rPr>
          <w:rFonts w:hint="eastAsia" w:ascii="宋体" w:hAnsi="Courier New"/>
        </w:rPr>
        <w:t>3、合同期为从合同签订之日起至2024年10月3</w:t>
      </w:r>
      <w:r>
        <w:rPr>
          <w:rFonts w:hint="eastAsia" w:ascii="宋体" w:hAnsi="Courier New"/>
          <w:lang w:val="en-US" w:eastAsia="zh-CN"/>
        </w:rPr>
        <w:t>1</w:t>
      </w:r>
      <w:r>
        <w:rPr>
          <w:rFonts w:hint="eastAsia" w:ascii="宋体" w:hAnsi="Courier New"/>
        </w:rPr>
        <w:t>日。</w:t>
      </w:r>
    </w:p>
    <w:p>
      <w:pPr>
        <w:spacing w:line="520" w:lineRule="exact"/>
        <w:ind w:right="2" w:firstLine="420" w:firstLineChars="200"/>
        <w:rPr>
          <w:rFonts w:ascii="宋体" w:hAnsi="Courier New"/>
        </w:rPr>
      </w:pPr>
      <w:r>
        <w:rPr>
          <w:rFonts w:hint="eastAsia" w:ascii="宋体" w:hAnsi="Courier New"/>
        </w:rPr>
        <w:t>4、中标方收到</w:t>
      </w:r>
      <w:r>
        <w:rPr>
          <w:rFonts w:hint="eastAsia"/>
          <w:color w:val="000000"/>
        </w:rPr>
        <w:t>招标人或其关联公司收购清运</w:t>
      </w:r>
      <w:r>
        <w:rPr>
          <w:rFonts w:hint="eastAsia" w:ascii="宋体" w:hAnsi="Courier New"/>
        </w:rPr>
        <w:t>通知后，应按要求的时间、地点与</w:t>
      </w:r>
      <w:r>
        <w:rPr>
          <w:rFonts w:hint="eastAsia"/>
          <w:color w:val="000000"/>
        </w:rPr>
        <w:t>招标人或其关联公司</w:t>
      </w:r>
      <w:r>
        <w:rPr>
          <w:rFonts w:hint="eastAsia" w:ascii="宋体" w:hAnsi="Courier New"/>
        </w:rPr>
        <w:t>签订合同，根据甲方要求缴纳一定数额的履约保证金，并按时清运。</w:t>
      </w:r>
    </w:p>
    <w:p>
      <w:pPr>
        <w:spacing w:line="520" w:lineRule="exact"/>
        <w:ind w:right="2" w:firstLine="420" w:firstLineChars="200"/>
        <w:rPr>
          <w:rFonts w:hint="eastAsia" w:ascii="宋体" w:hAnsi="Courier New"/>
        </w:rPr>
      </w:pPr>
      <w:r>
        <w:rPr>
          <w:rFonts w:hint="eastAsia" w:ascii="宋体" w:hAnsi="Courier New"/>
        </w:rPr>
        <w:t>5、在履行合同过程中，中标方由于履行义务的能力或信用有严重缺陷，招标方有权解除合同并取消其中标资格，招标方将从中标候选单位中重新确定中标方，或重新组织招标。</w:t>
      </w:r>
    </w:p>
    <w:p>
      <w:pPr>
        <w:spacing w:line="520" w:lineRule="exact"/>
        <w:ind w:right="2" w:firstLine="420" w:firstLineChars="200"/>
        <w:rPr>
          <w:rFonts w:hint="eastAsia" w:ascii="宋体" w:hAnsi="Courier New"/>
          <w:b/>
        </w:rPr>
      </w:pPr>
      <w:r>
        <w:rPr>
          <w:rFonts w:hint="eastAsia" w:ascii="宋体" w:hAnsi="Courier New"/>
        </w:rPr>
        <w:t>6、中标方处置、付款方式：中标方拉货前须按招标方或产出单位要求，将预计发生的货款自行协调转入相关产出单位账户。中标方凭财务部门出具收款证明、销售合同，方可进行物资的清运，严禁欠款拉货。清运时的人员、车辆须固定，并提供相关人员身份信息及车辆信息进行备案。</w:t>
      </w:r>
    </w:p>
    <w:p>
      <w:pPr>
        <w:pStyle w:val="3"/>
        <w:spacing w:line="360" w:lineRule="auto"/>
        <w:rPr>
          <w:rFonts w:ascii="黑体" w:eastAsia="黑体"/>
          <w:b/>
          <w:bCs/>
          <w:sz w:val="28"/>
        </w:rPr>
      </w:pPr>
      <w:r>
        <w:rPr>
          <w:rFonts w:hint="eastAsia" w:ascii="黑体" w:eastAsia="黑体"/>
          <w:b/>
          <w:bCs/>
          <w:sz w:val="28"/>
        </w:rPr>
        <w:t>七、中标人瑕疵滞后发现的处理原则</w:t>
      </w:r>
    </w:p>
    <w:p>
      <w:pPr>
        <w:spacing w:line="520" w:lineRule="exact"/>
        <w:ind w:firstLine="420" w:firstLineChars="200"/>
        <w:rPr>
          <w:rFonts w:eastAsia="黑体"/>
          <w:b/>
          <w:bCs/>
          <w:sz w:val="28"/>
        </w:rPr>
      </w:pPr>
      <w:r>
        <w:rPr>
          <w:rFonts w:hint="eastAsia" w:ascii="宋体" w:hAnsi="Courier New"/>
        </w:rPr>
        <w:t>本项目招标过程必须满足中国重型汽车集团《废旧物资MRO平台竞价管理流程》的要求，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2"/>
      </w:pPr>
      <w:r>
        <w:rPr>
          <w:rFonts w:hint="eastAsia" w:ascii="宋体" w:hAnsi="Courier New"/>
          <w:sz w:val="28"/>
          <w:szCs w:val="28"/>
          <w:lang w:val="en-US" w:eastAsia="zh-CN"/>
        </w:rPr>
        <w:t xml:space="preserve">   </w:t>
      </w:r>
      <w:r>
        <w:rPr>
          <w:rFonts w:hint="eastAsia" w:ascii="宋体" w:hAnsi="Courier New" w:eastAsia="宋体" w:cs="Times New Roman"/>
          <w:color w:val="auto"/>
          <w:kern w:val="2"/>
          <w:sz w:val="28"/>
          <w:szCs w:val="28"/>
          <w:highlight w:val="yellow"/>
          <w:lang w:val="en-US" w:eastAsia="zh-CN" w:bidi="ar-SA"/>
        </w:rPr>
        <w:t xml:space="preserve"> 请投标方登录1688大企业采购平台https://my.go.1688.com/参与竞标。</w:t>
      </w:r>
      <w:bookmarkStart w:id="1" w:name="_GoBack"/>
      <w:bookmarkEnd w:id="1"/>
    </w:p>
    <w:sectPr>
      <w:footerReference r:id="rId3" w:type="default"/>
      <w:pgSz w:w="11906" w:h="16838"/>
      <w:pgMar w:top="1587" w:right="1417" w:bottom="1134" w:left="141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fixed"/>
      <w:tblCellMar>
        <w:top w:w="58" w:type="dxa"/>
        <w:left w:w="115" w:type="dxa"/>
        <w:bottom w:w="58" w:type="dxa"/>
        <w:right w:w="115" w:type="dxa"/>
      </w:tblCellMar>
    </w:tblPr>
    <w:tblGrid>
      <w:gridCol w:w="9045"/>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9045" w:type="dxa"/>
          <w:noWrap w:val="0"/>
          <w:vAlign w:val="top"/>
        </w:tcPr>
        <w:p>
          <w:pPr>
            <w:pStyle w:val="4"/>
            <w:ind w:right="720"/>
            <w:jc w:val="center"/>
            <w:rPr>
              <w:color w:val="4F81BD"/>
              <w:lang w:val="en-US" w:eastAsia="zh-CN"/>
            </w:rPr>
          </w:pPr>
          <w:r>
            <w:rPr>
              <w:lang w:val="en-US" w:eastAsia="zh-CN"/>
            </w:rPr>
            <w:fldChar w:fldCharType="begin"/>
          </w:r>
          <w:r>
            <w:rPr>
              <w:lang w:val="en-US" w:eastAsia="zh-CN"/>
            </w:rPr>
            <w:instrText xml:space="preserve">PAGE   \* MERGEFORMAT</w:instrText>
          </w:r>
          <w:r>
            <w:rPr>
              <w:lang w:val="en-US" w:eastAsia="zh-CN"/>
            </w:rPr>
            <w:fldChar w:fldCharType="separate"/>
          </w:r>
          <w:r>
            <w:rPr>
              <w:color w:val="4F81BD"/>
              <w:lang w:val="zh-CN"/>
            </w:rPr>
            <w:t>-</w:t>
          </w:r>
          <w:r>
            <w:t xml:space="preserve"> 1 -</w:t>
          </w:r>
          <w:r>
            <w:rPr>
              <w:color w:val="4F81BD"/>
              <w:lang w:val="en-US" w:eastAsia="zh-CN"/>
            </w:rPr>
            <w:fldChar w:fldCharType="end"/>
          </w: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DA7D6"/>
    <w:multiLevelType w:val="singleLevel"/>
    <w:tmpl w:val="A16DA7D6"/>
    <w:lvl w:ilvl="0" w:tentative="0">
      <w:start w:val="5"/>
      <w:numFmt w:val="chineseCounting"/>
      <w:suff w:val="nothing"/>
      <w:lvlText w:val="%1、"/>
      <w:lvlJc w:val="left"/>
      <w:rPr>
        <w:rFonts w:hint="eastAsia"/>
      </w:rPr>
    </w:lvl>
  </w:abstractNum>
  <w:abstractNum w:abstractNumId="1">
    <w:nsid w:val="08924749"/>
    <w:multiLevelType w:val="singleLevel"/>
    <w:tmpl w:val="08924749"/>
    <w:lvl w:ilvl="0" w:tentative="0">
      <w:start w:val="6"/>
      <w:numFmt w:val="decimal"/>
      <w:suff w:val="nothing"/>
      <w:lvlText w:val="%1、"/>
      <w:lvlJc w:val="left"/>
    </w:lvl>
  </w:abstractNum>
  <w:abstractNum w:abstractNumId="2">
    <w:nsid w:val="29ED32B8"/>
    <w:multiLevelType w:val="multilevel"/>
    <w:tmpl w:val="29ED32B8"/>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DI1ODJjOWJjOTdmMTIxM2EwOTRkNWQ3NDQ5MWQifQ=="/>
  </w:docVars>
  <w:rsids>
    <w:rsidRoot w:val="00000000"/>
    <w:rsid w:val="108E2B3E"/>
    <w:rsid w:val="3C0A2882"/>
    <w:rsid w:val="4381237E"/>
    <w:rsid w:val="4FCD0981"/>
    <w:rsid w:val="5127733B"/>
    <w:rsid w:val="561C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Plain Text"/>
    <w:basedOn w:val="1"/>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sz w:val="18"/>
      <w:szCs w:val="18"/>
    </w:rPr>
  </w:style>
  <w:style w:type="character" w:styleId="7">
    <w:name w:val="Hyperlink"/>
    <w:basedOn w:val="6"/>
    <w:autoRedefine/>
    <w:semiHidden/>
    <w:qFormat/>
    <w:uiPriority w:val="0"/>
    <w:rPr>
      <w:rFonts w:cs="Times New Roman"/>
      <w:color w:val="1F4F88"/>
      <w:u w:val="none"/>
    </w:rPr>
  </w:style>
  <w:style w:type="character" w:customStyle="1" w:styleId="8">
    <w:name w:val="font11"/>
    <w:basedOn w:val="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2024-07-25T00:54:00Z</dcterms:created>
  <dc:creator>hsj</dc:creator>
  <cp:lastModifiedBy>朱震</cp:lastModifiedBy>
  <dcterms:modified xsi:type="dcterms:W3CDTF">2024-07-25T07:00:13Z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D22977015AE64E2484C1EC0A95326ABE_12</vt:lpwstr>
  </property>
</Properties>
</file>