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sz w:val="28"/>
          <w:szCs w:val="28"/>
          <w:highlight w:val="none"/>
        </w:rPr>
      </w:pPr>
      <w:r>
        <w:rPr>
          <w:rFonts w:hint="eastAsia" w:ascii="楷体_GB2312" w:hAnsi="宋体" w:eastAsia="楷体_GB2312"/>
          <w:sz w:val="52"/>
          <w:szCs w:val="52"/>
          <w:highlight w:val="none"/>
          <w:lang w:val="en-US" w:eastAsia="zh-CN"/>
        </w:rPr>
        <w:t>中国重汽集团济南卡车股份有限公司绵阳分公司互联网专线续费项目</w:t>
      </w:r>
    </w:p>
    <w:p>
      <w:pPr>
        <w:ind w:right="280"/>
        <w:jc w:val="center"/>
        <w:rPr>
          <w:sz w:val="28"/>
          <w:szCs w:val="28"/>
          <w:highlight w:val="none"/>
        </w:rPr>
      </w:pPr>
    </w:p>
    <w:p>
      <w:pPr>
        <w:jc w:val="center"/>
        <w:rPr>
          <w:rFonts w:ascii="宋体" w:hAnsi="宋体" w:cs="宋体"/>
          <w:sz w:val="72"/>
          <w:szCs w:val="72"/>
          <w:highlight w:val="none"/>
        </w:rPr>
      </w:pPr>
      <w:r>
        <w:rPr>
          <w:rFonts w:hint="eastAsia" w:ascii="宋体" w:hAnsi="宋体" w:cs="宋体"/>
          <w:sz w:val="72"/>
          <w:szCs w:val="72"/>
          <w:highlight w:val="none"/>
        </w:rPr>
        <w:t>招标文件</w:t>
      </w:r>
    </w:p>
    <w:p>
      <w:pPr>
        <w:jc w:val="center"/>
        <w:rPr>
          <w:rFonts w:ascii="宋体" w:hAnsi="宋体"/>
          <w:sz w:val="48"/>
          <w:szCs w:val="48"/>
          <w:highlight w:val="none"/>
        </w:rPr>
      </w:pPr>
    </w:p>
    <w:p>
      <w:pPr>
        <w:jc w:val="center"/>
        <w:rPr>
          <w:rFonts w:ascii="宋体" w:hAnsi="宋体"/>
          <w:sz w:val="48"/>
          <w:szCs w:val="48"/>
          <w:highlight w:val="none"/>
        </w:rPr>
      </w:pPr>
    </w:p>
    <w:p>
      <w:pPr>
        <w:widowControl/>
        <w:spacing w:line="360" w:lineRule="auto"/>
        <w:ind w:firstLine="3213" w:firstLineChars="1000"/>
        <w:jc w:val="both"/>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p>
    <w:p>
      <w:pPr>
        <w:jc w:val="both"/>
        <w:rPr>
          <w:rFonts w:ascii="宋体" w:hAnsi="宋体"/>
          <w:sz w:val="28"/>
          <w:szCs w:val="28"/>
          <w:highlight w:val="none"/>
        </w:rPr>
      </w:pPr>
    </w:p>
    <w:p>
      <w:pPr>
        <w:jc w:val="center"/>
        <w:rPr>
          <w:rFonts w:ascii="宋体" w:hAnsi="宋体"/>
          <w:sz w:val="28"/>
          <w:szCs w:val="28"/>
          <w:highlight w:val="none"/>
        </w:rPr>
      </w:pPr>
    </w:p>
    <w:p>
      <w:pPr>
        <w:jc w:val="center"/>
        <w:rPr>
          <w:rFonts w:hint="default" w:ascii="宋体" w:hAnsi="宋体" w:eastAsia="宋体"/>
          <w:sz w:val="28"/>
          <w:szCs w:val="28"/>
          <w:highlight w:val="none"/>
          <w:lang w:val="en-US" w:eastAsia="zh-CN"/>
        </w:rPr>
      </w:pPr>
      <w:r>
        <w:rPr>
          <w:rFonts w:hint="eastAsia" w:ascii="宋体" w:hAnsi="宋体"/>
          <w:sz w:val="28"/>
          <w:szCs w:val="28"/>
          <w:highlight w:val="none"/>
        </w:rPr>
        <w:t>招 标 人：中国重汽集团</w:t>
      </w:r>
      <w:r>
        <w:rPr>
          <w:rFonts w:hint="eastAsia" w:ascii="宋体" w:hAnsi="宋体"/>
          <w:sz w:val="28"/>
          <w:szCs w:val="28"/>
          <w:highlight w:val="none"/>
          <w:lang w:val="en-US" w:eastAsia="zh-CN"/>
        </w:rPr>
        <w:t>济南卡车股份有限公司绵阳分公司</w:t>
      </w:r>
    </w:p>
    <w:p>
      <w:pPr>
        <w:jc w:val="center"/>
        <w:rPr>
          <w:rFonts w:ascii="宋体" w:hAnsi="宋体"/>
          <w:sz w:val="28"/>
          <w:szCs w:val="28"/>
          <w:highlight w:val="none"/>
        </w:rPr>
      </w:pPr>
    </w:p>
    <w:p>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7月</w:t>
      </w:r>
    </w:p>
    <w:p>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pPr>
            <w:pStyle w:val="20"/>
            <w:tabs>
              <w:tab w:val="right" w:leader="dot" w:pos="9070"/>
              <w:tab w:val="clear" w:pos="8729"/>
            </w:tabs>
            <w:rPr>
              <w:rFonts w:hint="eastAsia" w:eastAsia="宋体"/>
              <w:lang w:val="en-US" w:eastAsia="zh-CN"/>
            </w:rPr>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二</w:t>
          </w:r>
          <w:r>
            <w:rPr>
              <w:rFonts w:hint="eastAsia"/>
            </w:rPr>
            <w:t>部分　</w:t>
          </w:r>
          <w:r>
            <w:rPr>
              <w:rFonts w:hint="eastAsia"/>
              <w:lang w:val="en-US" w:eastAsia="zh-CN"/>
            </w:rPr>
            <w:t>投标文件附件</w:t>
          </w:r>
          <w:r>
            <w:tab/>
          </w:r>
          <w:r>
            <w:fldChar w:fldCharType="begin"/>
          </w:r>
          <w:r>
            <w:instrText xml:space="preserve"> PAGEREF _Toc16500 \h </w:instrText>
          </w:r>
          <w:r>
            <w:fldChar w:fldCharType="separate"/>
          </w:r>
          <w:r>
            <w:t>1</w:t>
          </w:r>
          <w:r>
            <w:fldChar w:fldCharType="end"/>
          </w:r>
          <w:r>
            <w:rPr>
              <w:rFonts w:hint="eastAsia" w:ascii="Calibri" w:hAnsi="Calibri" w:eastAsia="宋体" w:cs="Times New Roman"/>
              <w:bCs/>
              <w:kern w:val="44"/>
              <w:szCs w:val="44"/>
            </w:rPr>
            <w:fldChar w:fldCharType="end"/>
          </w:r>
          <w:r>
            <w:rPr>
              <w:rFonts w:hint="eastAsia" w:ascii="宋体" w:hAnsi="宋体" w:eastAsia="宋体" w:cs="宋体"/>
              <w:bCs/>
              <w:kern w:val="44"/>
              <w:szCs w:val="44"/>
              <w:lang w:val="en-US" w:eastAsia="zh-CN"/>
            </w:rPr>
            <w:t>0</w:t>
          </w:r>
        </w:p>
        <w:p>
          <w:pPr>
            <w:pStyle w:val="20"/>
          </w:pPr>
          <w:r>
            <w:rPr>
              <w:rFonts w:hint="eastAsia" w:ascii="Calibri" w:hAnsi="Calibri" w:eastAsia="宋体" w:cs="Times New Roman"/>
              <w:bCs/>
              <w:kern w:val="44"/>
              <w:szCs w:val="44"/>
            </w:rPr>
            <w:fldChar w:fldCharType="end"/>
          </w:r>
        </w:p>
      </w:sdtContent>
    </w:sdt>
    <w:p>
      <w:pPr>
        <w:pStyle w:val="15"/>
        <w:tabs>
          <w:tab w:val="left" w:pos="2940"/>
        </w:tabs>
        <w:spacing w:line="360" w:lineRule="auto"/>
      </w:pPr>
      <w:r>
        <w:tab/>
      </w:r>
    </w:p>
    <w:p>
      <w:pPr>
        <w:pStyle w:val="15"/>
        <w:spacing w:line="360" w:lineRule="auto"/>
        <w:jc w:val="center"/>
      </w:pPr>
    </w:p>
    <w:p>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71"/>
      </w:pPr>
      <w:bookmarkStart w:id="0" w:name="_Toc47976595"/>
      <w:bookmarkStart w:id="1" w:name="_Toc23927"/>
      <w:r>
        <w:rPr>
          <w:rFonts w:hint="eastAsia"/>
        </w:rPr>
        <w:t>第一部分  投标人须知</w:t>
      </w:r>
      <w:bookmarkEnd w:id="0"/>
      <w:bookmarkEnd w:id="1"/>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w:t>
      </w:r>
      <w:r>
        <w:rPr>
          <w:rFonts w:hint="eastAsia"/>
          <w:highlight w:val="none"/>
        </w:rPr>
        <w:t>名称：</w:t>
      </w:r>
      <w:r>
        <w:rPr>
          <w:rFonts w:hint="eastAsia"/>
          <w:highlight w:val="none"/>
          <w:lang w:val="en-US" w:eastAsia="zh-CN"/>
        </w:rPr>
        <w:t>中国重汽集团济南卡车股份有限公司绵阳分公司互联网专线续费项目</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ascii="Helvetica" w:hAnsi="Helvetica" w:eastAsia="Helvetica" w:cs="Helvetica"/>
          <w:i w:val="0"/>
          <w:iCs w:val="0"/>
          <w:caps w:val="0"/>
          <w:color w:val="auto"/>
          <w:spacing w:val="0"/>
          <w:sz w:val="20"/>
          <w:szCs w:val="20"/>
          <w:shd w:val="clear" w:fill="FFFFFF"/>
        </w:rPr>
        <w:t>ZBGL2026070290</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邀请招标</w:t>
      </w:r>
      <w:bookmarkStart w:id="18" w:name="_GoBack"/>
      <w:bookmarkEnd w:id="18"/>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lang w:val="en-US" w:eastAsia="zh-CN"/>
        </w:rPr>
        <w:t>项目概况：本项目主要内容：</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210" w:firstLineChars="100"/>
        <w:textAlignment w:val="auto"/>
        <w:rPr>
          <w:rFonts w:hint="eastAsia"/>
          <w:highlight w:val="none"/>
          <w:lang w:val="en-US" w:eastAsia="zh-CN"/>
        </w:rPr>
      </w:pPr>
      <w:r>
        <w:rPr>
          <w:rFonts w:hint="eastAsia"/>
          <w:highlight w:val="none"/>
          <w:lang w:val="en-US" w:eastAsia="zh-CN"/>
        </w:rPr>
        <w:t>（1）接入互联网，访问重汽集团业务系统(hiwork、云学苑)和政务网等，满足绵阳分公司日常生产和办公网络通讯需求。（2）功能范围:访问重汽集团业务系统和政务网等，核心功能为数据传输通道。（3）技术范围:采用运营商级数据专线技术，1条带宽不低于200Mbps，并符合集团网络接入规范。（4）.实施范围:济南卡车制造公司绵阳分公司。</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default" w:cs="Times New Roman"/>
          <w:highlight w:val="none"/>
          <w:u w:val="none"/>
          <w:lang w:val="en-US" w:eastAsia="zh-CN"/>
        </w:rPr>
      </w:pPr>
      <w:r>
        <w:rPr>
          <w:rFonts w:hint="eastAsia"/>
          <w:highlight w:val="none"/>
          <w:lang w:val="en-US" w:eastAsia="zh-CN"/>
        </w:rPr>
        <w:t>报价：</w:t>
      </w:r>
    </w:p>
    <w:p>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lang w:val="en-US" w:eastAsia="zh-CN"/>
        </w:rPr>
        <w:t>本</w:t>
      </w:r>
      <w:r>
        <w:rPr>
          <w:rFonts w:hint="eastAsia" w:ascii="宋体" w:hAnsi="宋体" w:eastAsia="宋体" w:cs="宋体"/>
          <w:i w:val="0"/>
          <w:iCs w:val="0"/>
          <w:caps w:val="0"/>
          <w:color w:val="0F1115"/>
          <w:spacing w:val="0"/>
          <w:sz w:val="21"/>
          <w:szCs w:val="21"/>
          <w:highlight w:val="none"/>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highlight w:val="none"/>
          <w:shd w:val="clear" w:fill="FFFFFF"/>
        </w:rPr>
        <w:t>。</w:t>
      </w:r>
    </w:p>
    <w:p>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rPr>
        <w:t>投标限价为人民币</w:t>
      </w:r>
      <w:r>
        <w:rPr>
          <w:rFonts w:hint="eastAsia" w:hAnsi="宋体" w:cs="宋体"/>
          <w:i w:val="0"/>
          <w:iCs w:val="0"/>
          <w:caps w:val="0"/>
          <w:color w:val="0F1115"/>
          <w:spacing w:val="0"/>
          <w:sz w:val="21"/>
          <w:szCs w:val="21"/>
          <w:highlight w:val="none"/>
          <w:u w:val="single"/>
          <w:shd w:val="clear" w:fill="FFFFFF"/>
          <w:lang w:val="en-US" w:eastAsia="zh-CN"/>
        </w:rPr>
        <w:t xml:space="preserve">    5    </w:t>
      </w:r>
      <w:r>
        <w:rPr>
          <w:rFonts w:hint="eastAsia" w:hAnsi="宋体" w:cs="宋体"/>
          <w:i w:val="0"/>
          <w:iCs w:val="0"/>
          <w:caps w:val="0"/>
          <w:color w:val="0F1115"/>
          <w:spacing w:val="0"/>
          <w:sz w:val="21"/>
          <w:szCs w:val="21"/>
          <w:highlight w:val="none"/>
          <w:shd w:val="clear" w:fill="FFFFFF"/>
          <w:lang w:val="en-US" w:eastAsia="zh-CN"/>
        </w:rPr>
        <w:t xml:space="preserve"> </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（含税），超过投标限价无法投标。</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default" w:cs="Times New Roman"/>
          <w:highlight w:val="none"/>
          <w:lang w:val="en-US" w:eastAsia="zh-CN"/>
        </w:rPr>
        <w:t>资金来源：企业自筹，已落实。</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w:t>
      </w:r>
      <w:r>
        <w:rPr>
          <w:rFonts w:hint="eastAsia"/>
          <w:highlight w:val="none"/>
          <w:lang w:val="en-US" w:eastAsia="zh-CN"/>
        </w:rPr>
        <w:t>中国重汽集团济南卡车股份有限公司绵阳分公司</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招标人地址：</w:t>
      </w:r>
      <w:r>
        <w:rPr>
          <w:rFonts w:hint="eastAsia" w:ascii="宋体" w:hAnsi="Courier New"/>
          <w:color w:val="000000"/>
          <w:lang w:val="en-US" w:eastAsia="zh-CN"/>
        </w:rPr>
        <w:t>绵阳市高新区辽宁大道100号</w:t>
      </w:r>
      <w:r>
        <w:rPr>
          <w:rFonts w:hint="eastAsia" w:ascii="宋体" w:hAnsi="Courier New" w:eastAsia="宋体" w:cs="Times New Roman"/>
          <w:kern w:val="2"/>
          <w:sz w:val="21"/>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报名及投标招标事宜联系人：</w:t>
      </w:r>
      <w:r>
        <w:rPr>
          <w:rFonts w:hint="eastAsia" w:ascii="宋体" w:hAnsi="Courier New" w:cs="Times New Roman"/>
          <w:kern w:val="2"/>
          <w:sz w:val="21"/>
          <w:highlight w:val="none"/>
          <w:lang w:val="en-US" w:eastAsia="zh-CN" w:bidi="ar-SA"/>
        </w:rPr>
        <w:t>赵培江</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15681235198</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color w:val="auto"/>
          <w:kern w:val="2"/>
          <w:sz w:val="21"/>
          <w:highlight w:val="none"/>
          <w:lang w:val="en-US" w:eastAsia="zh-CN" w:bidi="ar-SA"/>
        </w:rPr>
      </w:pPr>
      <w:r>
        <w:rPr>
          <w:rFonts w:hint="eastAsia" w:ascii="宋体" w:hAnsi="Courier New" w:eastAsia="宋体" w:cs="Times New Roman"/>
          <w:kern w:val="2"/>
          <w:sz w:val="21"/>
          <w:highlight w:val="none"/>
          <w:lang w:val="en-US" w:eastAsia="zh-CN" w:bidi="ar-SA"/>
        </w:rPr>
        <w:t>邮箱：</w:t>
      </w:r>
      <w:r>
        <w:rPr>
          <w:rFonts w:hint="eastAsia" w:ascii="宋体" w:hAnsi="Courier New" w:cs="Times New Roman"/>
          <w:kern w:val="2"/>
          <w:sz w:val="21"/>
          <w:highlight w:val="none"/>
          <w:lang w:val="en-US" w:eastAsia="zh-CN" w:bidi="ar-SA"/>
        </w:rPr>
        <w:t>248260563@qq.com</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b w:val="0"/>
          <w:bCs w:val="0"/>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b w:val="0"/>
          <w:bCs w:val="0"/>
          <w:kern w:val="2"/>
          <w:sz w:val="21"/>
          <w:highlight w:val="none"/>
          <w:lang w:val="en-US" w:eastAsia="zh-CN" w:bidi="ar-SA"/>
        </w:rPr>
        <w:t>王波</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15908218064</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fldChar w:fldCharType="begin"/>
      </w:r>
      <w:r>
        <w:rPr>
          <w:rFonts w:hint="eastAsia" w:ascii="宋体" w:hAnsi="Courier New" w:cs="Times New Roman"/>
          <w:kern w:val="2"/>
          <w:sz w:val="21"/>
          <w:highlight w:val="none"/>
          <w:lang w:val="en-US" w:eastAsia="zh-CN" w:bidi="ar-SA"/>
        </w:rPr>
        <w:instrText xml:space="preserve"> HYPERLINK "mailto:345043371@qq.com" </w:instrText>
      </w:r>
      <w:r>
        <w:rPr>
          <w:rFonts w:hint="eastAsia" w:ascii="宋体" w:hAnsi="Courier New" w:cs="Times New Roman"/>
          <w:kern w:val="2"/>
          <w:sz w:val="21"/>
          <w:highlight w:val="none"/>
          <w:lang w:val="en-US" w:eastAsia="zh-CN" w:bidi="ar-SA"/>
        </w:rPr>
        <w:fldChar w:fldCharType="separate"/>
      </w:r>
      <w:r>
        <w:rPr>
          <w:rStyle w:val="37"/>
          <w:rFonts w:hint="eastAsia" w:ascii="宋体" w:hAnsi="Courier New" w:cs="Times New Roman"/>
          <w:kern w:val="2"/>
          <w:sz w:val="21"/>
          <w:highlight w:val="none"/>
          <w:lang w:val="en-US" w:eastAsia="zh-CN" w:bidi="ar-SA"/>
        </w:rPr>
        <w:t>345043371@qq.com</w:t>
      </w:r>
      <w:r>
        <w:rPr>
          <w:rFonts w:hint="eastAsia" w:ascii="宋体" w:hAnsi="Courier New" w:cs="Times New Roman"/>
          <w:kern w:val="2"/>
          <w:sz w:val="21"/>
          <w:highlight w:val="none"/>
          <w:lang w:val="en-US" w:eastAsia="zh-CN" w:bidi="ar-SA"/>
        </w:rPr>
        <w:fldChar w:fldCharType="end"/>
      </w:r>
      <w:r>
        <w:rPr>
          <w:rFonts w:hint="eastAsia" w:ascii="宋体" w:hAnsi="Courier New" w:cs="Times New Roman"/>
          <w:kern w:val="2"/>
          <w:sz w:val="21"/>
          <w:highlight w:val="none"/>
          <w:lang w:val="en-US" w:eastAsia="zh-CN" w:bidi="ar-SA"/>
        </w:rPr>
        <w:t xml:space="preserve"> </w:t>
      </w:r>
    </w:p>
    <w:bookmarkEnd w:id="3"/>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pPr>
        <w:pStyle w:val="15"/>
        <w:spacing w:line="360" w:lineRule="auto"/>
        <w:ind w:firstLine="420" w:firstLineChars="200"/>
        <w:rPr>
          <w:color w:val="000000"/>
        </w:rPr>
      </w:pPr>
      <w:r>
        <w:rPr>
          <w:rFonts w:hint="eastAsia"/>
          <w:color w:val="000000"/>
        </w:rPr>
        <w:t>1</w:t>
      </w:r>
      <w:r>
        <w:rPr>
          <w:rFonts w:hint="eastAsia"/>
          <w:color w:val="000000"/>
          <w:lang w:eastAsia="zh-CN"/>
        </w:rPr>
        <w:t>、</w:t>
      </w:r>
      <w:r>
        <w:rPr>
          <w:rFonts w:hint="eastAsia"/>
          <w:color w:val="000000"/>
        </w:rPr>
        <w:t>拟投标人在近三年内在经营活动中无违法记录, 如不如实告知, 一经查实一票否决。</w:t>
      </w:r>
    </w:p>
    <w:p>
      <w:pPr>
        <w:pStyle w:val="15"/>
        <w:spacing w:line="360" w:lineRule="auto"/>
        <w:ind w:firstLine="420" w:firstLineChars="200"/>
        <w:rPr>
          <w:color w:val="000000"/>
        </w:rPr>
      </w:pPr>
      <w:r>
        <w:rPr>
          <w:rFonts w:hint="eastAsia"/>
          <w:color w:val="000000"/>
        </w:rPr>
        <w:t>2</w:t>
      </w:r>
      <w:r>
        <w:rPr>
          <w:rFonts w:hint="eastAsia"/>
          <w:color w:val="000000"/>
          <w:lang w:eastAsia="zh-CN"/>
        </w:rPr>
        <w:t>、</w:t>
      </w:r>
      <w:r>
        <w:rPr>
          <w:rFonts w:hint="eastAsia"/>
          <w:color w:val="000000"/>
        </w:rPr>
        <w:t>具有健全的财务会计制度，财务状况和市场行为良好。没有处于被有权机关吊销营业执照、吊销资质、停业整顿、取消投标资格以及财产被接管、冻结或进入破产程序等任何不利于合同目的实现的情形。</w:t>
      </w:r>
    </w:p>
    <w:p>
      <w:pPr>
        <w:pStyle w:val="15"/>
        <w:spacing w:line="360" w:lineRule="auto"/>
        <w:ind w:firstLine="420" w:firstLineChars="200"/>
        <w:rPr>
          <w:color w:val="000000"/>
        </w:rPr>
      </w:pPr>
      <w:r>
        <w:rPr>
          <w:rFonts w:hint="eastAsia"/>
          <w:color w:val="000000"/>
        </w:rPr>
        <w:t>3</w:t>
      </w:r>
      <w:r>
        <w:rPr>
          <w:rFonts w:hint="eastAsia"/>
          <w:color w:val="000000"/>
          <w:lang w:eastAsia="zh-CN"/>
        </w:rPr>
        <w:t>、</w:t>
      </w:r>
      <w:r>
        <w:rPr>
          <w:rFonts w:hint="eastAsia"/>
          <w:color w:val="000000"/>
        </w:rPr>
        <w:t>拟投标人没有被列入招标人《黑名单》（《黑名单》指投标人与招标人在以往或正在进行的合作中，存在招标人认为的违反合同约定或违反法律法规等的失信行为）的。</w:t>
      </w:r>
    </w:p>
    <w:p>
      <w:pPr>
        <w:pStyle w:val="15"/>
        <w:spacing w:line="360" w:lineRule="auto"/>
        <w:ind w:firstLine="420" w:firstLineChars="200"/>
        <w:rPr>
          <w:color w:val="000000"/>
        </w:rPr>
      </w:pPr>
      <w:r>
        <w:rPr>
          <w:rFonts w:hint="eastAsia"/>
          <w:color w:val="000000"/>
        </w:rPr>
        <w:t>4</w:t>
      </w:r>
      <w:r>
        <w:rPr>
          <w:rFonts w:hint="eastAsia"/>
          <w:color w:val="000000"/>
          <w:lang w:eastAsia="zh-CN"/>
        </w:rPr>
        <w:t>、</w:t>
      </w:r>
      <w:r>
        <w:rPr>
          <w:rFonts w:hint="eastAsia"/>
          <w:color w:val="000000"/>
        </w:rPr>
        <w:t>拟投标人须具有履行合同所必须的设备、财务、技术、服务等方面的资质和能力。</w:t>
      </w:r>
    </w:p>
    <w:p>
      <w:pPr>
        <w:pStyle w:val="15"/>
        <w:spacing w:line="360" w:lineRule="auto"/>
        <w:ind w:firstLine="420" w:firstLineChars="200"/>
        <w:rPr>
          <w:color w:val="000000"/>
        </w:rPr>
      </w:pPr>
      <w:r>
        <w:rPr>
          <w:rFonts w:hint="eastAsia"/>
          <w:color w:val="000000"/>
        </w:rPr>
        <w:t>5</w:t>
      </w:r>
      <w:r>
        <w:rPr>
          <w:rFonts w:hint="eastAsia"/>
          <w:color w:val="000000"/>
          <w:lang w:eastAsia="zh-CN"/>
        </w:rPr>
        <w:t>、</w:t>
      </w:r>
      <w:r>
        <w:rPr>
          <w:rFonts w:hint="eastAsia"/>
          <w:color w:val="000000"/>
        </w:rPr>
        <w:t>拟投标人须具有完全履行招标文件的所有要求的能力。</w:t>
      </w:r>
    </w:p>
    <w:p>
      <w:pPr>
        <w:pStyle w:val="15"/>
        <w:spacing w:line="360" w:lineRule="auto"/>
        <w:ind w:firstLine="420" w:firstLineChars="200"/>
        <w:rPr>
          <w:color w:val="000000"/>
        </w:rPr>
      </w:pPr>
      <w:r>
        <w:rPr>
          <w:rFonts w:hint="eastAsia"/>
          <w:color w:val="000000"/>
        </w:rPr>
        <w:t>6</w:t>
      </w:r>
      <w:r>
        <w:rPr>
          <w:rFonts w:hint="eastAsia"/>
          <w:color w:val="000000"/>
          <w:lang w:eastAsia="zh-CN"/>
        </w:rPr>
        <w:t>、</w:t>
      </w:r>
      <w:r>
        <w:rPr>
          <w:rFonts w:hint="eastAsia"/>
          <w:color w:val="000000"/>
        </w:rPr>
        <w:t>拟投标人须认可招标人的工作指令，包括节、假日能正常开展工作的要求。</w:t>
      </w:r>
    </w:p>
    <w:p>
      <w:pPr>
        <w:pStyle w:val="15"/>
        <w:spacing w:line="360" w:lineRule="auto"/>
        <w:ind w:firstLine="420" w:firstLineChars="200"/>
        <w:rPr>
          <w:color w:val="000000"/>
        </w:rPr>
      </w:pPr>
      <w:r>
        <w:rPr>
          <w:rFonts w:hint="eastAsia"/>
          <w:color w:val="000000"/>
        </w:rPr>
        <w:t>7</w:t>
      </w:r>
      <w:r>
        <w:rPr>
          <w:rFonts w:hint="eastAsia"/>
          <w:color w:val="000000"/>
          <w:lang w:eastAsia="zh-CN"/>
        </w:rPr>
        <w:t>、</w:t>
      </w:r>
      <w:r>
        <w:rPr>
          <w:rFonts w:hint="eastAsia"/>
          <w:color w:val="000000"/>
        </w:rPr>
        <w:t>拟投标人必须是最终投标、签订合同的单位，不得以任何理由将已中标项目以任何形式转包或者分包给其他单位。</w:t>
      </w:r>
    </w:p>
    <w:p>
      <w:pPr>
        <w:pStyle w:val="15"/>
        <w:spacing w:line="360" w:lineRule="auto"/>
        <w:ind w:firstLine="420" w:firstLineChars="200"/>
        <w:rPr>
          <w:color w:val="000000"/>
        </w:rPr>
      </w:pPr>
      <w:r>
        <w:rPr>
          <w:rFonts w:hint="eastAsia"/>
          <w:color w:val="000000"/>
        </w:rPr>
        <w:t>8</w:t>
      </w:r>
      <w:r>
        <w:rPr>
          <w:rFonts w:hint="eastAsia"/>
          <w:color w:val="000000"/>
          <w:lang w:eastAsia="zh-CN"/>
        </w:rPr>
        <w:t>、</w:t>
      </w:r>
      <w:r>
        <w:rPr>
          <w:rFonts w:hint="eastAsia"/>
          <w:color w:val="000000"/>
        </w:rPr>
        <w:t>本次招标项目不接受联合体投标。</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7</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21</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6</w:t>
      </w:r>
      <w:r>
        <w:rPr>
          <w:rFonts w:hint="eastAsia" w:eastAsia="宋体" w:cs="宋体"/>
          <w:highlight w:val="none"/>
          <w:u w:val="single"/>
        </w:rPr>
        <w:t>年</w:t>
      </w:r>
      <w:r>
        <w:rPr>
          <w:rFonts w:hint="eastAsia" w:cs="宋体"/>
          <w:highlight w:val="none"/>
          <w:u w:val="single"/>
          <w:lang w:val="en-US" w:eastAsia="zh-CN"/>
        </w:rPr>
        <w:t>7</w:t>
      </w:r>
      <w:r>
        <w:rPr>
          <w:rFonts w:hint="eastAsia" w:eastAsia="宋体" w:cs="宋体"/>
          <w:highlight w:val="none"/>
          <w:u w:val="single"/>
        </w:rPr>
        <w:t>月</w:t>
      </w:r>
      <w:r>
        <w:rPr>
          <w:rFonts w:hint="eastAsia" w:cs="宋体"/>
          <w:highlight w:val="none"/>
          <w:u w:val="single"/>
          <w:lang w:val="en-US" w:eastAsia="zh-CN"/>
        </w:rPr>
        <w:t>29</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6</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7</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文件中“投标文件的组成”</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7</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30</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7月26日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pPr>
        <w:pStyle w:val="15"/>
        <w:spacing w:line="360" w:lineRule="auto"/>
        <w:ind w:firstLine="422" w:firstLineChars="200"/>
        <w:rPr>
          <w:color w:val="000000"/>
        </w:rPr>
      </w:pPr>
      <w:r>
        <w:rPr>
          <w:rFonts w:hint="eastAsia"/>
          <w:b/>
          <w:color w:val="000000"/>
        </w:rPr>
        <w:t>（注意：投标响应文件均需加盖投标单位公章，以下不再逐条款列示此项要求）</w:t>
      </w:r>
    </w:p>
    <w:p>
      <w:pPr>
        <w:pStyle w:val="15"/>
        <w:spacing w:line="360" w:lineRule="auto"/>
        <w:ind w:firstLine="422" w:firstLineChars="200"/>
        <w:rPr>
          <w:color w:val="000000"/>
        </w:rPr>
      </w:pPr>
      <w:r>
        <w:rPr>
          <w:rFonts w:hint="eastAsia"/>
          <w:b/>
          <w:color w:val="000000"/>
        </w:rPr>
        <w:t>资质文件</w:t>
      </w:r>
    </w:p>
    <w:p>
      <w:pPr>
        <w:pStyle w:val="15"/>
        <w:spacing w:line="360" w:lineRule="auto"/>
        <w:ind w:firstLine="422" w:firstLineChars="200"/>
        <w:rPr>
          <w:b/>
          <w:color w:val="FF0000"/>
        </w:rPr>
      </w:pPr>
      <w:r>
        <w:rPr>
          <w:rFonts w:hint="eastAsia"/>
          <w:b/>
          <w:color w:val="FF0000"/>
        </w:rPr>
        <w:t>①营业执照副本复印件；</w:t>
      </w:r>
    </w:p>
    <w:p>
      <w:pPr>
        <w:pStyle w:val="15"/>
        <w:spacing w:line="360" w:lineRule="auto"/>
        <w:ind w:firstLine="420" w:firstLineChars="200"/>
        <w:rPr>
          <w:color w:val="000000"/>
        </w:rPr>
      </w:pPr>
      <w:r>
        <w:rPr>
          <w:rFonts w:hint="eastAsia"/>
          <w:color w:val="000000"/>
        </w:rPr>
        <w:t>②法定代表人参加投标的，需提供法人身份证复印件；派授权人参加投标的，需提供法定代表人授权委托书及法人、被授权人身份证复印件；</w:t>
      </w:r>
    </w:p>
    <w:p>
      <w:pPr>
        <w:pStyle w:val="15"/>
        <w:spacing w:line="360" w:lineRule="auto"/>
        <w:ind w:firstLine="420" w:firstLineChars="200"/>
        <w:rPr>
          <w:color w:val="000000"/>
        </w:rPr>
      </w:pPr>
      <w:r>
        <w:rPr>
          <w:rFonts w:hint="eastAsia"/>
          <w:color w:val="000000"/>
        </w:rPr>
        <w:t>③近三年内在经营活动中没有违法违纪行为的声明；</w:t>
      </w:r>
    </w:p>
    <w:p>
      <w:pPr>
        <w:pStyle w:val="15"/>
        <w:spacing w:line="360" w:lineRule="auto"/>
        <w:ind w:firstLine="420" w:firstLineChars="200"/>
        <w:rPr>
          <w:color w:val="000000"/>
        </w:rPr>
      </w:pPr>
      <w:r>
        <w:rPr>
          <w:rFonts w:hint="eastAsia"/>
          <w:color w:val="000000"/>
        </w:rPr>
        <w:t>④投标单位在国家企业信用信息公示系统中无行政处罚、经营异常或失信信息或上述信息已被移除的声明。</w:t>
      </w:r>
    </w:p>
    <w:p>
      <w:pPr>
        <w:pStyle w:val="15"/>
        <w:spacing w:line="360" w:lineRule="auto"/>
        <w:ind w:firstLine="420" w:firstLineChars="200"/>
        <w:rPr>
          <w:color w:val="000000"/>
        </w:rPr>
      </w:pPr>
      <w:r>
        <w:rPr>
          <w:rFonts w:hint="eastAsia"/>
          <w:color w:val="000000"/>
        </w:rPr>
        <w:t>⑤投标单位需提供2023年经审计的财务报告，如投标单位公司规模较小，未有审计报告，可提供财务报表。</w:t>
      </w:r>
    </w:p>
    <w:p>
      <w:pPr>
        <w:pStyle w:val="15"/>
        <w:spacing w:line="360" w:lineRule="auto"/>
        <w:ind w:firstLine="422" w:firstLineChars="200"/>
        <w:rPr>
          <w:color w:val="000000"/>
        </w:rPr>
      </w:pPr>
      <w:r>
        <w:rPr>
          <w:rFonts w:hint="eastAsia"/>
          <w:b/>
          <w:color w:val="000000"/>
        </w:rPr>
        <w:t>注：</w:t>
      </w:r>
      <w:r>
        <w:rPr>
          <w:rFonts w:hint="eastAsia"/>
          <w:color w:val="000000"/>
        </w:rPr>
        <w:t>为防止丢失，上述资料资格审核时使用加盖单位公章的复印件，但相关原件仍需在评审现场提供；</w:t>
      </w:r>
    </w:p>
    <w:p>
      <w:pPr>
        <w:pStyle w:val="15"/>
        <w:spacing w:line="360" w:lineRule="auto"/>
        <w:ind w:firstLine="422" w:firstLineChars="200"/>
        <w:rPr>
          <w:color w:val="000000"/>
        </w:rPr>
      </w:pPr>
      <w:r>
        <w:rPr>
          <w:rFonts w:hint="eastAsia"/>
          <w:b/>
          <w:color w:val="000000"/>
        </w:rPr>
        <w:t>重要提示：</w:t>
      </w:r>
      <w:r>
        <w:rPr>
          <w:rFonts w:hint="eastAsia"/>
          <w:color w:val="000000"/>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pPr>
        <w:pStyle w:val="15"/>
        <w:spacing w:line="360" w:lineRule="auto"/>
        <w:ind w:firstLine="422" w:firstLineChars="200"/>
        <w:rPr>
          <w:color w:val="000000"/>
        </w:rPr>
      </w:pPr>
      <w:r>
        <w:rPr>
          <w:rFonts w:hint="eastAsia"/>
          <w:b/>
          <w:color w:val="000000"/>
        </w:rPr>
        <w:t>商务文件</w:t>
      </w:r>
    </w:p>
    <w:p>
      <w:pPr>
        <w:pStyle w:val="15"/>
        <w:spacing w:line="360" w:lineRule="auto"/>
        <w:ind w:firstLine="420" w:firstLineChars="200"/>
        <w:rPr>
          <w:color w:val="000000"/>
        </w:rPr>
      </w:pPr>
      <w:r>
        <w:rPr>
          <w:rFonts w:hint="eastAsia"/>
          <w:color w:val="000000"/>
        </w:rPr>
        <w:t>投标函（格式见“</w:t>
      </w:r>
      <w:r>
        <w:rPr>
          <w:rFonts w:hint="eastAsia"/>
        </w:rPr>
        <w:t>第</w:t>
      </w:r>
      <w:r>
        <w:rPr>
          <w:rFonts w:hint="eastAsia"/>
          <w:lang w:val="en-US" w:eastAsia="zh-CN"/>
        </w:rPr>
        <w:t>二</w:t>
      </w:r>
      <w:r>
        <w:rPr>
          <w:rFonts w:hint="eastAsia"/>
        </w:rPr>
        <w:t>部分　</w:t>
      </w:r>
      <w:r>
        <w:rPr>
          <w:rFonts w:hint="eastAsia"/>
          <w:lang w:val="en-US" w:eastAsia="zh-CN"/>
        </w:rPr>
        <w:t>投标文件附件</w:t>
      </w:r>
      <w:r>
        <w:rPr>
          <w:rFonts w:hint="eastAsia"/>
          <w:color w:val="000000"/>
        </w:rPr>
        <w:t>”）；</w:t>
      </w:r>
    </w:p>
    <w:p>
      <w:pPr>
        <w:pStyle w:val="15"/>
        <w:spacing w:line="360" w:lineRule="auto"/>
        <w:ind w:firstLine="420" w:firstLineChars="200"/>
        <w:rPr>
          <w:color w:val="000000"/>
        </w:rPr>
      </w:pPr>
      <w:r>
        <w:rPr>
          <w:rFonts w:hint="eastAsia"/>
          <w:color w:val="000000"/>
        </w:rPr>
        <w:t>报价表（格式见“</w:t>
      </w:r>
      <w:r>
        <w:rPr>
          <w:rFonts w:hint="eastAsia"/>
        </w:rPr>
        <w:t>第</w:t>
      </w:r>
      <w:r>
        <w:rPr>
          <w:rFonts w:hint="eastAsia"/>
          <w:lang w:val="en-US" w:eastAsia="zh-CN"/>
        </w:rPr>
        <w:t>二</w:t>
      </w:r>
      <w:r>
        <w:rPr>
          <w:rFonts w:hint="eastAsia"/>
        </w:rPr>
        <w:t>部分　</w:t>
      </w:r>
      <w:r>
        <w:rPr>
          <w:rFonts w:hint="eastAsia"/>
          <w:lang w:val="en-US" w:eastAsia="zh-CN"/>
        </w:rPr>
        <w:t>投标文件附件</w:t>
      </w:r>
      <w:r>
        <w:rPr>
          <w:rFonts w:hint="eastAsia"/>
          <w:color w:val="000000"/>
        </w:rPr>
        <w:t>”）；</w:t>
      </w:r>
    </w:p>
    <w:p>
      <w:pPr>
        <w:pStyle w:val="15"/>
        <w:spacing w:line="360" w:lineRule="auto"/>
        <w:ind w:firstLine="420" w:firstLineChars="200"/>
        <w:rPr>
          <w:color w:val="000000"/>
        </w:rPr>
      </w:pPr>
      <w:r>
        <w:rPr>
          <w:rFonts w:hint="eastAsia"/>
          <w:color w:val="000000"/>
        </w:rPr>
        <w:t>投标人认为需要提交的其它文件。</w:t>
      </w:r>
    </w:p>
    <w:p>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2026年7</w:t>
      </w:r>
      <w:r>
        <w:rPr>
          <w:rFonts w:hint="eastAsia"/>
          <w:highlight w:val="none"/>
          <w:u w:val="single"/>
          <w:lang w:val="en-US" w:eastAsia="zh-CN"/>
        </w:rPr>
        <w:t>月30日10:</w:t>
      </w:r>
      <w:r>
        <w:rPr>
          <w:rFonts w:hint="eastAsia"/>
          <w:u w:val="single"/>
          <w:lang w:val="en-US" w:eastAsia="zh-CN"/>
        </w:rPr>
        <w:t>00:00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pPr>
        <w:pStyle w:val="72"/>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2026年7</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31</w:t>
      </w:r>
      <w:r>
        <w:rPr>
          <w:rFonts w:hint="eastAsia" w:ascii="宋体" w:hAnsi="宋体" w:eastAsia="宋体" w:cs="宋体"/>
          <w:b w:val="0"/>
          <w:bCs w:val="0"/>
          <w:sz w:val="21"/>
          <w:szCs w:val="21"/>
          <w:highlight w:val="none"/>
          <w:lang w:val="en-US" w:eastAsia="zh-CN"/>
        </w:rPr>
        <w:t>日</w:t>
      </w:r>
      <w:r>
        <w:rPr>
          <w:rFonts w:hint="eastAsia" w:hAnsi="宋体" w:cs="宋体"/>
          <w:b w:val="0"/>
          <w:bCs w:val="0"/>
          <w:sz w:val="21"/>
          <w:szCs w:val="21"/>
          <w:highlight w:val="none"/>
          <w:lang w:val="en-US" w:eastAsia="zh-CN"/>
        </w:rPr>
        <w:t>14</w:t>
      </w:r>
      <w:r>
        <w:rPr>
          <w:rFonts w:hint="default" w:ascii="宋体" w:hAnsi="宋体" w:eastAsia="宋体" w:cs="宋体"/>
          <w:b w:val="0"/>
          <w:bCs w:val="0"/>
          <w:sz w:val="21"/>
          <w:szCs w:val="21"/>
          <w:highlight w:val="none"/>
          <w:lang w:val="en-US" w:eastAsia="zh-CN"/>
        </w:rPr>
        <w:t>:00:00（北京时间）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hAnsi="宋体" w:cs="宋体"/>
          <w:b w:val="0"/>
          <w:bCs w:val="0"/>
          <w:sz w:val="21"/>
          <w:szCs w:val="21"/>
          <w:highlight w:val="none"/>
          <w:lang w:val="en-US" w:eastAsia="zh-CN"/>
        </w:rPr>
        <w:t>绵阳分公司第二会议室(</w:t>
      </w:r>
      <w:r>
        <w:rPr>
          <w:rFonts w:hint="default" w:ascii="宋体" w:hAnsi="宋体" w:eastAsia="宋体" w:cs="宋体"/>
          <w:b w:val="0"/>
          <w:bCs w:val="0"/>
          <w:sz w:val="21"/>
          <w:szCs w:val="21"/>
          <w:highlight w:val="none"/>
          <w:lang w:val="en-US" w:eastAsia="zh-CN"/>
        </w:rPr>
        <w:t>若有变动另行通知</w:t>
      </w:r>
      <w:r>
        <w:rPr>
          <w:rFonts w:hint="eastAsia" w:hAnsi="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w:t>
      </w:r>
    </w:p>
    <w:p>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r>
        <w:rPr>
          <w:rFonts w:hint="eastAsia" w:hAnsi="宋体" w:cs="宋体"/>
          <w:b w:val="0"/>
          <w:bCs w:val="0"/>
          <w:sz w:val="21"/>
          <w:szCs w:val="21"/>
          <w:highlight w:val="none"/>
          <w:lang w:val="en-US" w:eastAsia="zh-CN"/>
        </w:rPr>
        <w:t>现场</w:t>
      </w:r>
    </w:p>
    <w:p>
      <w:pPr>
        <w:pStyle w:val="72"/>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pPr>
        <w:pStyle w:val="72"/>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pPr>
        <w:pStyle w:val="75"/>
        <w:keepNext w:val="0"/>
        <w:keepLines w:val="0"/>
        <w:pageBreakBefore w:val="0"/>
        <w:widowControl w:val="0"/>
        <w:numPr>
          <w:ilvl w:val="0"/>
          <w:numId w:val="18"/>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u w:val="single"/>
          <w:lang w:val="en-US" w:eastAsia="zh-CN"/>
        </w:rPr>
      </w:pPr>
      <w:r>
        <w:rPr>
          <w:rFonts w:hint="eastAsia" w:cs="Times New Roman"/>
          <w:b/>
          <w:bCs w:val="0"/>
          <w:color w:val="FF0000"/>
          <w:highlight w:val="none"/>
          <w:u w:val="single"/>
          <w:lang w:val="en-US" w:eastAsia="zh-CN"/>
        </w:rPr>
        <w:t>合理最低价无技术</w:t>
      </w:r>
    </w:p>
    <w:p>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本次招标采用合理最低价法进行评标。专家组与投标人在其开标报价的基础上进行商务谈判，投标人报价达到招标人认为的合理最低价时确定推荐中标人。本着公平、公正、公开的原则，选择合理最低价确定中标人，对未中标单位不做任何解释。</w:t>
      </w:r>
    </w:p>
    <w:p>
      <w:pPr>
        <w:pStyle w:val="72"/>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招标公告中第</w:t>
      </w:r>
      <w:r>
        <w:rPr>
          <w:rFonts w:hint="eastAsia" w:ascii="宋体" w:hAnsi="宋体" w:cs="宋体"/>
          <w:b w:val="0"/>
          <w:bCs/>
          <w:color w:val="000000"/>
          <w:sz w:val="21"/>
          <w:szCs w:val="21"/>
          <w:highlight w:val="none"/>
          <w:lang w:val="en-US" w:eastAsia="zh-CN"/>
        </w:rPr>
        <w:t>二</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附件7</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r>
        <w:rPr>
          <w:rFonts w:hint="eastAsia" w:ascii="宋体" w:hAnsi="宋体" w:eastAsia="宋体" w:cs="宋体"/>
          <w:b/>
          <w:bCs/>
          <w:color w:val="FF0000"/>
          <w:kern w:val="2"/>
          <w:sz w:val="21"/>
          <w:szCs w:val="21"/>
          <w:lang w:val="en-US" w:eastAsia="zh-CN" w:bidi="ar-SA"/>
        </w:rPr>
        <w:t>(无技术标需删除)</w:t>
      </w:r>
    </w:p>
    <w:p>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pPr>
        <w:pStyle w:val="72"/>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pPr>
        <w:pStyle w:val="75"/>
        <w:keepNext w:val="0"/>
        <w:keepLines w:val="0"/>
        <w:pageBreakBefore w:val="0"/>
        <w:widowControl w:val="0"/>
        <w:numPr>
          <w:ilvl w:val="0"/>
          <w:numId w:val="18"/>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lang w:val="en-US" w:eastAsia="zh-CN"/>
        </w:rPr>
      </w:pPr>
      <w:r>
        <w:rPr>
          <w:rFonts w:hint="eastAsia" w:cs="Times New Roman"/>
          <w:b/>
          <w:bCs w:val="0"/>
          <w:color w:val="FF0000"/>
          <w:highlight w:val="none"/>
          <w:u w:val="single"/>
          <w:lang w:val="en-US" w:eastAsia="zh-CN"/>
        </w:rPr>
        <w:t>合理最低价无技术标</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w:t>
      </w:r>
      <w:r>
        <w:rPr>
          <w:rFonts w:hint="eastAsia"/>
          <w:highlight w:val="none"/>
        </w:rPr>
        <w:t>产生</w:t>
      </w:r>
      <w:r>
        <w:rPr>
          <w:rFonts w:hint="eastAsia"/>
          <w:highlight w:val="none"/>
          <w:u w:val="single"/>
          <w:lang w:val="en-US" w:eastAsia="zh-CN"/>
        </w:rPr>
        <w:t>1</w:t>
      </w:r>
      <w:r>
        <w:rPr>
          <w:rFonts w:hint="eastAsia"/>
          <w:highlight w:val="none"/>
        </w:rPr>
        <w:t>个</w:t>
      </w:r>
      <w:r>
        <w:rPr>
          <w:rFonts w:hint="eastAsia"/>
        </w:rPr>
        <w:t>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pPr>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pPr>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5" w:name="OLE_LINK27"/>
      <w:bookmarkStart w:id="6" w:name="OLE_LINK28"/>
      <w:bookmarkStart w:id="7" w:name="OLE_LINK29"/>
      <w:bookmarkStart w:id="8" w:name="OLE_LINK26"/>
      <w:bookmarkStart w:id="9" w:name="OLE_LINK25"/>
      <w:r>
        <w:rPr>
          <w:rFonts w:hint="eastAsia" w:ascii="宋体" w:hAnsi="宋体" w:eastAsia="宋体" w:cs="宋体"/>
          <w:sz w:val="21"/>
          <w:szCs w:val="21"/>
          <w:highlight w:val="none"/>
        </w:rPr>
        <w:t>；</w:t>
      </w:r>
      <w:bookmarkEnd w:id="5"/>
      <w:bookmarkEnd w:id="6"/>
      <w:bookmarkEnd w:id="7"/>
      <w:bookmarkEnd w:id="8"/>
      <w:bookmarkEnd w:id="9"/>
    </w:p>
    <w:p>
      <w:pPr>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合同以双方最终签署的版本为准。</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color w:val="000000"/>
        </w:rPr>
        <w:t>中标人须认可招标人由于招标人上级集团公司政策变化引起的随时终止项目的要求。</w:t>
      </w:r>
    </w:p>
    <w:p>
      <w:pPr>
        <w:pStyle w:val="15"/>
        <w:spacing w:line="360" w:lineRule="auto"/>
        <w:rPr>
          <w:rFonts w:hint="eastAsia" w:ascii="黑体" w:hAnsi="Courier New" w:eastAsia="黑体" w:cs="Times New Roman"/>
          <w:b/>
          <w:bCs/>
          <w:kern w:val="2"/>
          <w:sz w:val="28"/>
          <w:highlight w:val="none"/>
          <w:lang w:val="en-US" w:eastAsia="zh-CN" w:bidi="ar-SA"/>
        </w:rPr>
      </w:pPr>
      <w:r>
        <w:rPr>
          <w:rFonts w:hint="eastAsia" w:ascii="黑体" w:hAnsi="Courier New" w:eastAsia="黑体" w:cs="Times New Roman"/>
          <w:b/>
          <w:bCs/>
          <w:kern w:val="2"/>
          <w:sz w:val="28"/>
          <w:highlight w:val="none"/>
          <w:lang w:val="en-US" w:eastAsia="zh-CN" w:bidi="ar-SA"/>
        </w:rPr>
        <w:t>十、质量技术保证及售后服务</w:t>
      </w:r>
    </w:p>
    <w:p>
      <w:pPr>
        <w:widowControl/>
        <w:shd w:val="clear" w:color="auto" w:fill="FFFFFF"/>
        <w:spacing w:line="360" w:lineRule="auto"/>
        <w:jc w:val="left"/>
        <w:rPr>
          <w:rFonts w:ascii="宋体" w:hAnsi="Courier New"/>
          <w:szCs w:val="21"/>
        </w:rPr>
      </w:pPr>
      <w:r>
        <w:rPr>
          <w:rFonts w:hint="eastAsia" w:ascii="宋体" w:hAnsi="Courier New"/>
          <w:szCs w:val="21"/>
        </w:rPr>
        <w:t>1、乙方提供的线路质量及传输通道要符合国家主管部门规定的质量标准和技术要求，保障甲方使用通信业务安全畅通，乙方提供高级别的服务保障，完善的服务维护体系和专业的维护队伍，保障：</w:t>
      </w:r>
    </w:p>
    <w:p>
      <w:pPr>
        <w:widowControl/>
        <w:shd w:val="clear" w:color="auto" w:fill="FFFFFF"/>
        <w:spacing w:line="360" w:lineRule="auto"/>
        <w:jc w:val="left"/>
        <w:rPr>
          <w:rFonts w:ascii="宋体" w:hAnsi="Courier New"/>
          <w:szCs w:val="21"/>
        </w:rPr>
      </w:pPr>
      <w:r>
        <w:rPr>
          <w:rFonts w:hint="eastAsia" w:ascii="宋体" w:hAnsi="Courier New"/>
          <w:szCs w:val="21"/>
        </w:rPr>
        <w:t>a、 24小时×365天的质量保证。</w:t>
      </w:r>
    </w:p>
    <w:p>
      <w:pPr>
        <w:widowControl/>
        <w:shd w:val="clear" w:color="auto" w:fill="FFFFFF"/>
        <w:spacing w:line="360" w:lineRule="auto"/>
        <w:jc w:val="left"/>
        <w:rPr>
          <w:rFonts w:ascii="宋体" w:hAnsi="Courier New"/>
          <w:szCs w:val="21"/>
        </w:rPr>
      </w:pPr>
      <w:r>
        <w:rPr>
          <w:rFonts w:hint="eastAsia" w:ascii="宋体" w:hAnsi="Courier New"/>
          <w:szCs w:val="21"/>
        </w:rPr>
        <w:t>b、 7×24小时电话技术支持和故障申告服务。</w:t>
      </w:r>
    </w:p>
    <w:p>
      <w:pPr>
        <w:widowControl/>
        <w:shd w:val="clear" w:color="auto" w:fill="FFFFFF"/>
        <w:spacing w:line="360" w:lineRule="auto"/>
        <w:jc w:val="left"/>
        <w:rPr>
          <w:rFonts w:ascii="宋体" w:hAnsi="Courier New"/>
          <w:szCs w:val="21"/>
        </w:rPr>
      </w:pPr>
      <w:r>
        <w:rPr>
          <w:rFonts w:hint="eastAsia" w:ascii="宋体" w:hAnsi="Courier New"/>
          <w:szCs w:val="21"/>
        </w:rPr>
        <w:t>c、甲方在使用线路的过程中发现的任何问题均可向乙方（运营商）各市、县公司申告，乙方负责故障的全程处理，并建立“首问负责制”。</w:t>
      </w:r>
    </w:p>
    <w:p>
      <w:pPr>
        <w:widowControl/>
        <w:shd w:val="clear" w:color="auto" w:fill="FFFFFF"/>
        <w:spacing w:line="360" w:lineRule="auto"/>
        <w:jc w:val="left"/>
        <w:rPr>
          <w:rFonts w:ascii="宋体" w:hAnsi="Courier New"/>
          <w:szCs w:val="21"/>
        </w:rPr>
      </w:pPr>
      <w:r>
        <w:rPr>
          <w:rFonts w:hint="eastAsia" w:ascii="宋体" w:hAnsi="Courier New"/>
          <w:szCs w:val="21"/>
        </w:rPr>
        <w:t>d、 乙方故障申告响应时间小于15分钟，省至市线路故障恢复时间小于1小时，市以下线路恢复时间小于2小时，个别特殊情况（如光缆受损）最长不超过4小时。</w:t>
      </w:r>
    </w:p>
    <w:p>
      <w:pPr>
        <w:pStyle w:val="15"/>
        <w:spacing w:line="360" w:lineRule="auto"/>
        <w:rPr>
          <w:rFonts w:hint="eastAsia" w:ascii="黑体" w:hAnsi="Courier New" w:eastAsia="黑体" w:cs="Times New Roman"/>
          <w:b/>
          <w:bCs/>
          <w:kern w:val="2"/>
          <w:sz w:val="28"/>
          <w:highlight w:val="none"/>
          <w:lang w:val="en-US" w:eastAsia="zh-CN" w:bidi="ar-SA"/>
        </w:rPr>
      </w:pPr>
      <w:r>
        <w:rPr>
          <w:rFonts w:hint="eastAsia" w:ascii="黑体" w:hAnsi="Courier New" w:eastAsia="黑体" w:cs="Times New Roman"/>
          <w:b/>
          <w:bCs/>
          <w:kern w:val="2"/>
          <w:sz w:val="28"/>
          <w:highlight w:val="none"/>
          <w:lang w:val="en-US" w:eastAsia="zh-CN" w:bidi="ar-SA"/>
        </w:rPr>
        <w:t>十一、交货及付款</w:t>
      </w:r>
    </w:p>
    <w:p>
      <w:pPr>
        <w:pStyle w:val="15"/>
        <w:spacing w:line="360" w:lineRule="auto"/>
        <w:ind w:firstLine="420" w:firstLineChars="200"/>
        <w:rPr>
          <w:color w:val="000000"/>
        </w:rPr>
      </w:pPr>
      <w:r>
        <w:rPr>
          <w:rFonts w:hint="eastAsia"/>
          <w:color w:val="000000"/>
        </w:rPr>
        <w:t>1、交货方式：</w:t>
      </w:r>
      <w:r>
        <w:rPr>
          <w:rFonts w:hint="eastAsia"/>
          <w:szCs w:val="21"/>
        </w:rPr>
        <w:t>乙方在规定期限内完成互联网专线的开通，确保甲方正常使用。</w:t>
      </w:r>
    </w:p>
    <w:p>
      <w:pPr>
        <w:pStyle w:val="15"/>
        <w:spacing w:line="360" w:lineRule="auto"/>
        <w:ind w:firstLine="420" w:firstLineChars="200"/>
        <w:rPr>
          <w:color w:val="000000"/>
        </w:rPr>
      </w:pPr>
      <w:r>
        <w:rPr>
          <w:rFonts w:hint="eastAsia"/>
          <w:color w:val="000000"/>
        </w:rPr>
        <w:t>2、付款方式：</w:t>
      </w:r>
      <w:r>
        <w:rPr>
          <w:rFonts w:hint="eastAsia"/>
          <w:color w:val="000000"/>
          <w:lang w:val="en-US" w:eastAsia="zh-CN"/>
        </w:rPr>
        <w:t>银行转账</w:t>
      </w:r>
      <w:r>
        <w:rPr>
          <w:rFonts w:hint="eastAsia"/>
          <w:color w:val="000000"/>
        </w:rPr>
        <w:t>。</w:t>
      </w:r>
    </w:p>
    <w:p>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9"/>
        <w:rPr>
          <w:rFonts w:hint="eastAsia" w:ascii="黑体" w:hAnsi="Courier New" w:eastAsia="黑体" w:cs="Times New Roman"/>
          <w:b/>
          <w:bCs/>
          <w:kern w:val="2"/>
          <w:sz w:val="28"/>
          <w:highlight w:val="none"/>
          <w:lang w:val="en-US" w:eastAsia="zh-CN" w:bidi="ar-SA"/>
        </w:rPr>
      </w:pPr>
      <w:r>
        <w:rPr>
          <w:rFonts w:hint="eastAsia" w:ascii="黑体" w:hAnsi="Courier New" w:eastAsia="黑体" w:cs="Times New Roman"/>
          <w:b/>
          <w:bCs/>
          <w:kern w:val="2"/>
          <w:sz w:val="28"/>
          <w:highlight w:val="none"/>
          <w:lang w:val="en-US" w:eastAsia="zh-CN" w:bidi="ar-SA"/>
        </w:rPr>
        <w:t>十二、其他</w:t>
      </w:r>
    </w:p>
    <w:p>
      <w:pPr>
        <w:pStyle w:val="15"/>
        <w:spacing w:line="360" w:lineRule="auto"/>
        <w:ind w:firstLine="420" w:firstLineChars="200"/>
        <w:rPr>
          <w:color w:val="000000"/>
        </w:rPr>
      </w:pPr>
      <w:r>
        <w:rPr>
          <w:rFonts w:hint="eastAsia"/>
          <w:color w:val="000000"/>
        </w:rPr>
        <w:t>1</w:t>
      </w:r>
      <w:r>
        <w:rPr>
          <w:rFonts w:hint="eastAsia"/>
          <w:color w:val="000000"/>
          <w:lang w:eastAsia="zh-CN"/>
        </w:rPr>
        <w:t>、</w:t>
      </w:r>
      <w:r>
        <w:rPr>
          <w:rFonts w:hint="eastAsia"/>
          <w:color w:val="000000"/>
        </w:rPr>
        <w:t>其余未尽事宜均以协议（或合同）约定为准。</w:t>
      </w:r>
    </w:p>
    <w:p>
      <w:pPr>
        <w:pStyle w:val="15"/>
        <w:spacing w:line="360" w:lineRule="auto"/>
        <w:ind w:firstLine="420" w:firstLineChars="200"/>
        <w:rPr>
          <w:color w:val="000000"/>
        </w:rPr>
      </w:pPr>
      <w:r>
        <w:rPr>
          <w:rFonts w:hint="eastAsia"/>
          <w:color w:val="000000"/>
        </w:rPr>
        <w:t>2</w:t>
      </w:r>
      <w:r>
        <w:rPr>
          <w:rFonts w:hint="eastAsia"/>
          <w:color w:val="000000"/>
          <w:lang w:eastAsia="zh-CN"/>
        </w:rPr>
        <w:t>、</w:t>
      </w:r>
      <w:r>
        <w:rPr>
          <w:rFonts w:hint="eastAsia"/>
          <w:color w:val="000000"/>
        </w:rPr>
        <w:t>要求招标人或相关合同签订单位提供的配合，在标书文件中说明。</w:t>
      </w:r>
    </w:p>
    <w:p>
      <w:pPr>
        <w:pStyle w:val="15"/>
        <w:spacing w:line="360" w:lineRule="auto"/>
        <w:ind w:firstLine="420" w:firstLineChars="200"/>
        <w:rPr>
          <w:color w:val="000000"/>
        </w:rPr>
      </w:pPr>
      <w:r>
        <w:rPr>
          <w:rFonts w:hint="eastAsia"/>
          <w:color w:val="000000"/>
        </w:rPr>
        <w:t>3</w:t>
      </w:r>
      <w:r>
        <w:rPr>
          <w:rFonts w:hint="eastAsia"/>
          <w:color w:val="000000"/>
          <w:lang w:eastAsia="zh-CN"/>
        </w:rPr>
        <w:t>、</w:t>
      </w:r>
      <w:r>
        <w:rPr>
          <w:rFonts w:hint="eastAsia"/>
          <w:color w:val="000000"/>
        </w:rPr>
        <w:t>凡对本次招标提出的问询，均以招标人的书面答复为准。招标人的任何工作人员对投标人所作的任何口头解释、介绍、答复，对招标人和投标人均无任何约束力。</w:t>
      </w:r>
    </w:p>
    <w:p>
      <w:pPr>
        <w:pStyle w:val="15"/>
        <w:spacing w:line="360" w:lineRule="auto"/>
        <w:ind w:firstLine="420" w:firstLineChars="200"/>
        <w:rPr>
          <w:rFonts w:hint="default" w:cs="Times New Roman"/>
          <w:b/>
          <w:bCs w:val="0"/>
          <w:color w:val="FF0000"/>
          <w:highlight w:val="none"/>
          <w:u w:val="single"/>
          <w:lang w:val="en-US" w:eastAsia="zh-CN"/>
        </w:rPr>
      </w:pPr>
      <w:r>
        <w:rPr>
          <w:rFonts w:hint="eastAsia"/>
          <w:color w:val="000000"/>
        </w:rPr>
        <w:t>4</w:t>
      </w:r>
      <w:r>
        <w:rPr>
          <w:rFonts w:hint="eastAsia"/>
          <w:color w:val="000000"/>
          <w:lang w:eastAsia="zh-CN"/>
        </w:rPr>
        <w:t>、</w:t>
      </w:r>
      <w:r>
        <w:rPr>
          <w:rFonts w:hint="eastAsia"/>
          <w:color w:val="000000"/>
        </w:rPr>
        <w:t>投标人应承担所有与准备和参加投标有关的全部费用，招标人在任何情况下均无义务和责任承担此费用。</w:t>
      </w:r>
    </w:p>
    <w:p>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Chars="0"/>
        <w:textAlignment w:val="auto"/>
        <w:rPr>
          <w:rFonts w:hint="eastAsia"/>
          <w:lang w:val="en-US" w:eastAsia="zh-CN"/>
        </w:rPr>
      </w:pPr>
      <w:r>
        <w:rPr>
          <w:rFonts w:hint="eastAsia"/>
          <w:lang w:val="en-US" w:eastAsia="zh-CN"/>
        </w:rPr>
        <w:t>十三、本次招标最终解释权归中国重汽集团济南卡车股份有限公司绵阳分公司。</w:t>
      </w:r>
    </w:p>
    <w:p>
      <w:pPr>
        <w:pStyle w:val="76"/>
        <w:bidi w:val="0"/>
      </w:pPr>
    </w:p>
    <w:p>
      <w:pPr>
        <w:pStyle w:val="76"/>
        <w:bidi w:val="0"/>
        <w:rPr>
          <w:rFonts w:hint="eastAsia"/>
        </w:rPr>
      </w:pPr>
      <w:bookmarkStart w:id="10" w:name="_Toc47976607"/>
    </w:p>
    <w:p>
      <w:pPr>
        <w:pStyle w:val="76"/>
        <w:bidi w:val="0"/>
        <w:rPr>
          <w:rFonts w:hint="eastAsia"/>
        </w:rPr>
      </w:pPr>
    </w:p>
    <w:p>
      <w:pPr>
        <w:pStyle w:val="76"/>
        <w:bidi w:val="0"/>
        <w:rPr>
          <w:rFonts w:hint="eastAsia"/>
        </w:rPr>
      </w:pPr>
    </w:p>
    <w:p>
      <w:pPr>
        <w:pStyle w:val="76"/>
        <w:bidi w:val="0"/>
        <w:rPr>
          <w:rFonts w:hint="eastAsia"/>
        </w:rPr>
      </w:pPr>
    </w:p>
    <w:p>
      <w:pPr>
        <w:pStyle w:val="76"/>
        <w:bidi w:val="0"/>
        <w:rPr>
          <w:rFonts w:hint="eastAsia"/>
        </w:rPr>
      </w:pPr>
    </w:p>
    <w:p>
      <w:pPr>
        <w:pStyle w:val="76"/>
        <w:bidi w:val="0"/>
        <w:rPr>
          <w:rFonts w:hint="eastAsia"/>
        </w:rPr>
      </w:pPr>
    </w:p>
    <w:p>
      <w:pPr>
        <w:pStyle w:val="76"/>
        <w:bidi w:val="0"/>
        <w:rPr>
          <w:rFonts w:hint="eastAsia"/>
        </w:rPr>
      </w:pPr>
    </w:p>
    <w:p>
      <w:pPr>
        <w:pStyle w:val="76"/>
        <w:bidi w:val="0"/>
        <w:rPr>
          <w:rFonts w:hint="eastAsia"/>
        </w:rPr>
      </w:pPr>
    </w:p>
    <w:p>
      <w:pPr>
        <w:pStyle w:val="76"/>
        <w:bidi w:val="0"/>
        <w:rPr>
          <w:rFonts w:hint="eastAsia"/>
        </w:rPr>
      </w:pPr>
    </w:p>
    <w:p>
      <w:pPr>
        <w:rPr>
          <w:rFonts w:hint="eastAsia"/>
        </w:rPr>
      </w:pPr>
    </w:p>
    <w:bookmarkEnd w:id="10"/>
    <w:p>
      <w:pPr>
        <w:rPr>
          <w:b w:val="0"/>
          <w:bCs w:val="0"/>
        </w:rPr>
      </w:pPr>
    </w:p>
    <w:p>
      <w:pPr>
        <w:rPr>
          <w:rFonts w:ascii="宋体" w:hAnsi="宋体"/>
          <w:b/>
          <w:sz w:val="28"/>
          <w:szCs w:val="28"/>
        </w:rPr>
      </w:pPr>
    </w:p>
    <w:p>
      <w:pPr>
        <w:rPr>
          <w:rFonts w:hint="eastAsia"/>
        </w:rPr>
      </w:pPr>
      <w:bookmarkStart w:id="11" w:name="_Toc47976615"/>
    </w:p>
    <w:p>
      <w:pPr>
        <w:rPr>
          <w:rFonts w:hint="eastAsia"/>
        </w:rPr>
      </w:pPr>
    </w:p>
    <w:p>
      <w:pPr>
        <w:pStyle w:val="71"/>
        <w:rPr>
          <w:rFonts w:ascii="黑体" w:hAnsi="Calibri" w:eastAsia="黑体" w:cs="Times New Roman"/>
          <w:color w:val="000000"/>
          <w:sz w:val="24"/>
          <w:szCs w:val="24"/>
        </w:rPr>
      </w:pPr>
      <w:bookmarkStart w:id="12" w:name="_Toc16500"/>
      <w:r>
        <w:rPr>
          <w:rFonts w:hint="eastAsia"/>
        </w:rPr>
        <w:t>第</w:t>
      </w:r>
      <w:r>
        <w:rPr>
          <w:rFonts w:hint="eastAsia"/>
          <w:lang w:val="en-US" w:eastAsia="zh-CN"/>
        </w:rPr>
        <w:t>二</w:t>
      </w:r>
      <w:r>
        <w:rPr>
          <w:rFonts w:hint="eastAsia"/>
        </w:rPr>
        <w:t>部分　</w:t>
      </w:r>
      <w:bookmarkEnd w:id="11"/>
      <w:r>
        <w:rPr>
          <w:rFonts w:hint="eastAsia"/>
          <w:lang w:val="en-US" w:eastAsia="zh-CN"/>
        </w:rPr>
        <w:t>投标文件附件</w:t>
      </w:r>
      <w:bookmarkEnd w:id="12"/>
    </w:p>
    <w:p>
      <w:pPr>
        <w:jc w:val="both"/>
        <w:rPr>
          <w:rFonts w:ascii="宋体"/>
          <w:b/>
          <w:color w:val="000000"/>
          <w:szCs w:val="24"/>
        </w:rPr>
      </w:pPr>
    </w:p>
    <w:p>
      <w:pPr>
        <w:pStyle w:val="15"/>
      </w:pPr>
    </w:p>
    <w:p>
      <w:pPr>
        <w:pStyle w:val="72"/>
        <w:numPr>
          <w:ilvl w:val="0"/>
          <w:numId w:val="0"/>
        </w:numPr>
        <w:ind w:leftChars="0"/>
        <w:outlineLvl w:val="1"/>
        <w:rPr>
          <w:rFonts w:hint="default" w:ascii="宋体" w:hAnsi="宋体" w:eastAsia="宋体" w:cs="宋体"/>
          <w:sz w:val="32"/>
          <w:szCs w:val="32"/>
          <w:highlight w:val="yellow"/>
          <w:lang w:val="en-US" w:eastAsia="zh-CN"/>
        </w:rPr>
      </w:pPr>
      <w:bookmarkStart w:id="13" w:name="_Toc47976618"/>
      <w:bookmarkStart w:id="14" w:name="_Toc29366865"/>
      <w:bookmarkStart w:id="15" w:name="_Toc29366869"/>
      <w:r>
        <w:rPr>
          <w:rFonts w:hint="eastAsia" w:ascii="宋体" w:hAnsi="宋体" w:eastAsia="宋体" w:cs="宋体"/>
          <w:sz w:val="32"/>
          <w:szCs w:val="32"/>
          <w:highlight w:val="none"/>
          <w:lang w:val="en-US" w:eastAsia="zh-CN"/>
        </w:rPr>
        <w:t>附件1 法定代表人授权委托书</w:t>
      </w:r>
    </w:p>
    <w:bookmarkEnd w:id="13"/>
    <w:p>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中国重汽集团济南卡车股份有限公司绵阳分公司卡车(绵阳)至卡车(党家庄)专线续费项目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15"/>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bookmarkEnd w:id="14"/>
    <w:bookmarkEnd w:id="15"/>
    <w:p>
      <w:pPr>
        <w:pStyle w:val="5"/>
        <w:rPr>
          <w:color w:val="000000"/>
          <w:sz w:val="28"/>
          <w:szCs w:val="28"/>
        </w:rPr>
      </w:pPr>
      <w:r>
        <w:rPr>
          <w:rFonts w:hint="eastAsia"/>
          <w:color w:val="000000"/>
          <w:sz w:val="28"/>
          <w:szCs w:val="28"/>
        </w:rPr>
        <w:t>附件</w:t>
      </w:r>
      <w:r>
        <w:rPr>
          <w:rFonts w:hint="eastAsia"/>
          <w:color w:val="000000"/>
          <w:sz w:val="28"/>
          <w:szCs w:val="28"/>
          <w:lang w:val="en-US" w:eastAsia="zh-CN"/>
        </w:rPr>
        <w:t>2</w:t>
      </w:r>
      <w:r>
        <w:rPr>
          <w:rFonts w:hint="eastAsia"/>
          <w:color w:val="000000"/>
          <w:sz w:val="28"/>
          <w:szCs w:val="28"/>
        </w:rPr>
        <w:t>报价单</w:t>
      </w:r>
    </w:p>
    <w:p>
      <w:pPr>
        <w:pStyle w:val="5"/>
        <w:jc w:val="center"/>
        <w:rPr>
          <w:color w:val="000000"/>
          <w:sz w:val="28"/>
          <w:szCs w:val="28"/>
        </w:rPr>
      </w:pPr>
      <w:r>
        <w:rPr>
          <w:rFonts w:hint="eastAsia"/>
          <w:color w:val="000000"/>
          <w:sz w:val="28"/>
          <w:szCs w:val="28"/>
        </w:rPr>
        <w:t>报价单</w:t>
      </w:r>
    </w:p>
    <w:p>
      <w:pPr>
        <w:adjustRightInd w:val="0"/>
        <w:snapToGrid w:val="0"/>
        <w:spacing w:line="360" w:lineRule="auto"/>
        <w:ind w:left="360"/>
        <w:rPr>
          <w:rFonts w:hAnsi="宋体" w:cs="宋体"/>
          <w:color w:val="000000"/>
          <w:sz w:val="24"/>
          <w:szCs w:val="24"/>
        </w:rPr>
      </w:pPr>
      <w:r>
        <w:rPr>
          <w:rFonts w:hint="eastAsia" w:hAnsi="宋体" w:cs="宋体"/>
          <w:color w:val="000000"/>
          <w:sz w:val="24"/>
          <w:szCs w:val="24"/>
        </w:rPr>
        <w:t>用人民币报价，按元计价（含增值税并标明相应税率）。</w:t>
      </w:r>
    </w:p>
    <w:p>
      <w:pPr>
        <w:spacing w:line="360" w:lineRule="atLeast"/>
        <w:ind w:firstLine="600" w:firstLineChars="250"/>
        <w:rPr>
          <w:rFonts w:hint="eastAsia" w:hAnsi="宋体" w:eastAsia="宋体" w:cs="宋体"/>
          <w:color w:val="000000"/>
          <w:sz w:val="24"/>
          <w:szCs w:val="24"/>
          <w:lang w:eastAsia="zh-CN"/>
        </w:rPr>
      </w:pPr>
      <w:r>
        <w:rPr>
          <w:rFonts w:hint="eastAsia" w:hAnsi="宋体" w:cs="宋体"/>
          <w:color w:val="000000"/>
          <w:sz w:val="24"/>
          <w:szCs w:val="24"/>
        </w:rPr>
        <w:t>项目名称：</w:t>
      </w:r>
      <w:r>
        <w:rPr>
          <w:rFonts w:hint="eastAsia" w:hAnsi="宋体" w:cs="宋体"/>
          <w:color w:val="000000"/>
          <w:sz w:val="24"/>
          <w:szCs w:val="24"/>
          <w:lang w:eastAsia="zh-CN"/>
        </w:rPr>
        <w:t>中国重汽集团济南卡车股份有限公司绵阳分公司卡车(绵阳)至卡车(党家庄)专线续费项目</w:t>
      </w:r>
    </w:p>
    <w:p/>
    <w:tbl>
      <w:tblPr>
        <w:tblStyle w:val="30"/>
        <w:tblW w:w="817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39"/>
        <w:gridCol w:w="2551"/>
        <w:gridCol w:w="23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3239" w:type="dxa"/>
            <w:tcBorders>
              <w:top w:val="single" w:color="auto" w:sz="4" w:space="0"/>
              <w:left w:val="single" w:color="auto" w:sz="4" w:space="0"/>
              <w:bottom w:val="single" w:color="auto" w:sz="4" w:space="0"/>
              <w:right w:val="single" w:color="auto" w:sz="4" w:space="0"/>
            </w:tcBorders>
            <w:vAlign w:val="center"/>
          </w:tcPr>
          <w:p>
            <w:pPr>
              <w:spacing w:line="440" w:lineRule="exact"/>
              <w:ind w:right="34" w:rightChars="16"/>
              <w:jc w:val="center"/>
              <w:rPr>
                <w:b/>
                <w:color w:val="000000"/>
                <w:szCs w:val="21"/>
              </w:rPr>
            </w:pPr>
            <w:r>
              <w:rPr>
                <w:rFonts w:hint="eastAsia"/>
                <w:b/>
              </w:rPr>
              <w:t>互联网链路</w:t>
            </w:r>
          </w:p>
        </w:tc>
        <w:tc>
          <w:tcPr>
            <w:tcW w:w="2551" w:type="dxa"/>
            <w:tcBorders>
              <w:top w:val="single" w:color="auto" w:sz="4" w:space="0"/>
              <w:left w:val="single" w:color="auto" w:sz="4" w:space="0"/>
              <w:bottom w:val="single" w:color="auto" w:sz="4" w:space="0"/>
              <w:right w:val="single" w:color="auto" w:sz="4" w:space="0"/>
            </w:tcBorders>
            <w:vAlign w:val="center"/>
          </w:tcPr>
          <w:p>
            <w:pPr>
              <w:spacing w:line="440" w:lineRule="exact"/>
              <w:ind w:right="34" w:rightChars="16"/>
              <w:jc w:val="center"/>
              <w:rPr>
                <w:b/>
                <w:color w:val="000000"/>
                <w:szCs w:val="21"/>
              </w:rPr>
            </w:pPr>
            <w:r>
              <w:rPr>
                <w:rFonts w:hint="eastAsia"/>
                <w:b/>
              </w:rPr>
              <w:t>商务报价</w:t>
            </w:r>
          </w:p>
        </w:tc>
        <w:tc>
          <w:tcPr>
            <w:tcW w:w="2386" w:type="dxa"/>
            <w:tcBorders>
              <w:top w:val="single" w:color="auto" w:sz="4" w:space="0"/>
              <w:left w:val="single" w:color="auto" w:sz="4" w:space="0"/>
              <w:bottom w:val="single" w:color="auto" w:sz="4" w:space="0"/>
              <w:right w:val="single" w:color="auto" w:sz="4" w:space="0"/>
            </w:tcBorders>
            <w:vAlign w:val="center"/>
          </w:tcPr>
          <w:p>
            <w:pPr>
              <w:spacing w:line="440" w:lineRule="exact"/>
              <w:ind w:right="34" w:rightChars="16"/>
              <w:jc w:val="center"/>
              <w:rPr>
                <w:b/>
                <w:color w:val="000000"/>
                <w:szCs w:val="21"/>
              </w:rPr>
            </w:pPr>
            <w:r>
              <w:rPr>
                <w:rFonts w:hint="eastAsia"/>
                <w:b/>
              </w:rPr>
              <w:t>增值税率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3239" w:type="dxa"/>
            <w:tcBorders>
              <w:top w:val="single" w:color="auto" w:sz="4" w:space="0"/>
              <w:left w:val="single" w:color="auto" w:sz="4" w:space="0"/>
              <w:bottom w:val="single" w:color="auto" w:sz="4" w:space="0"/>
              <w:right w:val="single" w:color="auto" w:sz="4" w:space="0"/>
            </w:tcBorders>
            <w:vAlign w:val="center"/>
          </w:tcPr>
          <w:p>
            <w:pPr>
              <w:jc w:val="center"/>
              <w:rPr>
                <w:rFonts w:hint="default" w:ascii="等线" w:hAnsi="等线" w:eastAsia="等线" w:cs="等线"/>
                <w:szCs w:val="21"/>
                <w:lang w:val="en-US" w:eastAsia="zh-CN"/>
              </w:rPr>
            </w:pP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等线"/>
                <w:szCs w:val="21"/>
              </w:rPr>
            </w:pPr>
          </w:p>
        </w:tc>
        <w:tc>
          <w:tcPr>
            <w:tcW w:w="2386" w:type="dxa"/>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等线"/>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323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cs="宋体"/>
                <w:szCs w:val="24"/>
              </w:rPr>
              <w:t>付款方式有无偏离</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等线"/>
                <w:szCs w:val="21"/>
              </w:rPr>
            </w:pPr>
          </w:p>
        </w:tc>
        <w:tc>
          <w:tcPr>
            <w:tcW w:w="2386" w:type="dxa"/>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等线"/>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323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cs="宋体"/>
                <w:szCs w:val="24"/>
              </w:rPr>
              <w:t>对招标文件的认同程度（是否完全认同）</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等线"/>
                <w:szCs w:val="21"/>
              </w:rPr>
            </w:pPr>
          </w:p>
        </w:tc>
        <w:tc>
          <w:tcPr>
            <w:tcW w:w="2386" w:type="dxa"/>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等线"/>
                <w:szCs w:val="21"/>
              </w:rPr>
            </w:pPr>
          </w:p>
        </w:tc>
      </w:tr>
    </w:tbl>
    <w:p>
      <w:pPr>
        <w:spacing w:line="340" w:lineRule="exact"/>
        <w:ind w:firstLine="4620" w:firstLineChars="2200"/>
        <w:rPr>
          <w:rFonts w:ascii="宋体" w:hAnsi="宋体"/>
        </w:rPr>
      </w:pPr>
    </w:p>
    <w:p>
      <w:pPr>
        <w:spacing w:line="340" w:lineRule="exact"/>
        <w:ind w:firstLine="4620" w:firstLineChars="2200"/>
        <w:rPr>
          <w:rFonts w:ascii="宋体" w:hAnsi="宋体"/>
        </w:rPr>
      </w:pPr>
    </w:p>
    <w:p>
      <w:pPr>
        <w:spacing w:line="340" w:lineRule="exact"/>
        <w:ind w:firstLine="4620" w:firstLineChars="2200"/>
        <w:rPr>
          <w:rFonts w:ascii="宋体" w:hAnsi="宋体"/>
        </w:rPr>
      </w:pPr>
    </w:p>
    <w:p>
      <w:pPr>
        <w:spacing w:line="340" w:lineRule="exact"/>
        <w:ind w:firstLine="4620" w:firstLineChars="2200"/>
        <w:rPr>
          <w:rFonts w:ascii="宋体" w:hAnsi="宋体"/>
        </w:rPr>
      </w:pPr>
    </w:p>
    <w:p>
      <w:pPr>
        <w:spacing w:line="340" w:lineRule="exact"/>
        <w:ind w:firstLine="4620" w:firstLineChars="2200"/>
        <w:rPr>
          <w:rFonts w:ascii="宋体" w:hAnsi="宋体"/>
        </w:rPr>
      </w:pPr>
    </w:p>
    <w:p>
      <w:pPr>
        <w:spacing w:line="340" w:lineRule="exact"/>
        <w:ind w:firstLine="4620" w:firstLineChars="2200"/>
        <w:rPr>
          <w:rFonts w:ascii="宋体" w:hAnsi="宋体"/>
        </w:rPr>
      </w:pPr>
      <w:r>
        <w:rPr>
          <w:rFonts w:hint="eastAsia" w:ascii="宋体" w:hAnsi="宋体"/>
        </w:rPr>
        <w:t>投标人:(盖章)</w:t>
      </w:r>
    </w:p>
    <w:p>
      <w:pPr>
        <w:spacing w:line="340" w:lineRule="exact"/>
        <w:rPr>
          <w:rFonts w:ascii="宋体" w:hAnsi="宋体"/>
        </w:rPr>
      </w:pPr>
    </w:p>
    <w:p>
      <w:pPr>
        <w:spacing w:line="340" w:lineRule="exact"/>
        <w:ind w:firstLine="4620" w:firstLineChars="2200"/>
        <w:rPr>
          <w:rFonts w:ascii="宋体" w:hAnsi="宋体"/>
        </w:rPr>
      </w:pPr>
      <w:r>
        <w:rPr>
          <w:rFonts w:hint="eastAsia" w:ascii="宋体" w:hAnsi="宋体"/>
        </w:rPr>
        <w:t>法定代表人（委托代理人）：（签字）</w:t>
      </w:r>
    </w:p>
    <w:p>
      <w:pPr>
        <w:spacing w:line="340" w:lineRule="exact"/>
        <w:rPr>
          <w:rFonts w:ascii="宋体" w:hAnsi="宋体"/>
        </w:rPr>
      </w:pPr>
    </w:p>
    <w:p>
      <w:pPr>
        <w:spacing w:line="340" w:lineRule="exact"/>
        <w:ind w:firstLine="4620" w:firstLineChars="2200"/>
        <w:rPr>
          <w:rFonts w:ascii="宋体" w:hAnsi="宋体"/>
        </w:rPr>
      </w:pPr>
      <w:r>
        <w:rPr>
          <w:rFonts w:hint="eastAsia" w:ascii="宋体" w:hAnsi="宋体"/>
        </w:rPr>
        <w:t>日  期：    年    月    日</w:t>
      </w: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pStyle w:val="15"/>
        <w:rPr>
          <w:rFonts w:hint="eastAsia" w:eastAsia="宋体"/>
          <w:lang w:eastAsia="zh-CN"/>
        </w:rPr>
      </w:pPr>
      <w:r>
        <w:rPr>
          <w:rStyle w:val="33"/>
          <w:rFonts w:hint="eastAsia"/>
          <w:sz w:val="28"/>
          <w:szCs w:val="28"/>
        </w:rPr>
        <w:t>附件</w:t>
      </w:r>
      <w:r>
        <w:rPr>
          <w:rStyle w:val="33"/>
          <w:rFonts w:hint="eastAsia"/>
          <w:sz w:val="28"/>
          <w:szCs w:val="28"/>
          <w:lang w:val="en-US" w:eastAsia="zh-CN"/>
        </w:rPr>
        <w:t>3</w:t>
      </w:r>
      <w:r>
        <w:rPr>
          <w:rStyle w:val="33"/>
          <w:rFonts w:hint="eastAsia"/>
          <w:sz w:val="28"/>
          <w:szCs w:val="28"/>
        </w:rPr>
        <w:t>投标保证金退付表</w:t>
      </w:r>
      <w:r>
        <w:rPr>
          <w:rStyle w:val="33"/>
          <w:rFonts w:hint="eastAsia"/>
          <w:sz w:val="28"/>
          <w:szCs w:val="28"/>
          <w:lang w:eastAsia="zh-CN"/>
        </w:rPr>
        <w:t>（</w:t>
      </w:r>
      <w:r>
        <w:rPr>
          <w:rStyle w:val="33"/>
          <w:rFonts w:hint="eastAsia"/>
          <w:sz w:val="28"/>
          <w:szCs w:val="28"/>
          <w:lang w:val="en-US" w:eastAsia="zh-CN"/>
        </w:rPr>
        <w:t>项目如果未要求缴纳保证金，则该项无</w:t>
      </w:r>
      <w:r>
        <w:rPr>
          <w:rStyle w:val="33"/>
          <w:rFonts w:hint="eastAsia"/>
          <w:sz w:val="28"/>
          <w:szCs w:val="28"/>
          <w:lang w:eastAsia="zh-CN"/>
        </w:rPr>
        <w:t>）</w:t>
      </w:r>
    </w:p>
    <w:p>
      <w:pPr>
        <w:pStyle w:val="26"/>
        <w:jc w:val="center"/>
      </w:pPr>
      <w:r>
        <w:rPr>
          <w:rStyle w:val="33"/>
          <w:rFonts w:hint="eastAsia"/>
          <w:sz w:val="28"/>
          <w:szCs w:val="28"/>
        </w:rPr>
        <w:t>（</w:t>
      </w:r>
      <w:r>
        <w:rPr>
          <w:rStyle w:val="33"/>
          <w:rFonts w:hint="eastAsia"/>
          <w:sz w:val="28"/>
          <w:szCs w:val="28"/>
          <w:lang w:val="en-US" w:eastAsia="zh-CN"/>
        </w:rPr>
        <w:t>三</w:t>
      </w:r>
      <w:r>
        <w:rPr>
          <w:rStyle w:val="33"/>
          <w:rFonts w:hint="eastAsia"/>
          <w:sz w:val="28"/>
          <w:szCs w:val="28"/>
        </w:rPr>
        <w:t>）投标保证金退付表</w:t>
      </w:r>
    </w:p>
    <w:tbl>
      <w:tblPr>
        <w:tblStyle w:val="30"/>
        <w:tblW w:w="8566" w:type="dxa"/>
        <w:tblInd w:w="3"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15" w:type="dxa"/>
          <w:left w:w="15" w:type="dxa"/>
          <w:bottom w:w="15" w:type="dxa"/>
          <w:right w:w="15" w:type="dxa"/>
        </w:tblCellMar>
      </w:tblPr>
      <w:tblGrid>
        <w:gridCol w:w="8566"/>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856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5"/>
              <w:rPr>
                <w:rFonts w:ascii="Times New Roman" w:hAnsi="Times New Roman"/>
                <w:sz w:val="20"/>
              </w:rPr>
            </w:pPr>
            <w:r>
              <w:rPr>
                <w:rFonts w:hint="eastAsia"/>
                <w:szCs w:val="21"/>
              </w:rPr>
              <w:t>投标人单位名称：</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85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5"/>
              <w:rPr>
                <w:rFonts w:ascii="Times New Roman" w:hAnsi="Times New Roman"/>
                <w:sz w:val="20"/>
              </w:rPr>
            </w:pPr>
            <w:r>
              <w:rPr>
                <w:rFonts w:hint="eastAsia"/>
                <w:szCs w:val="21"/>
              </w:rPr>
              <w:t>开户银行：</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85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5"/>
              <w:rPr>
                <w:rFonts w:ascii="Times New Roman" w:hAnsi="Times New Roman"/>
                <w:sz w:val="20"/>
              </w:rPr>
            </w:pPr>
            <w:r>
              <w:rPr>
                <w:rFonts w:hint="eastAsia"/>
                <w:szCs w:val="21"/>
              </w:rPr>
              <w:t>开户银行行号：</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85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5"/>
              <w:rPr>
                <w:rFonts w:ascii="Times New Roman" w:hAnsi="Times New Roman"/>
                <w:sz w:val="20"/>
              </w:rPr>
            </w:pPr>
            <w:r>
              <w:rPr>
                <w:rFonts w:hint="eastAsia"/>
                <w:szCs w:val="21"/>
              </w:rPr>
              <w:t>户名：</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85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5"/>
              <w:rPr>
                <w:rFonts w:ascii="Times New Roman" w:hAnsi="Times New Roman"/>
                <w:sz w:val="20"/>
              </w:rPr>
            </w:pPr>
            <w:r>
              <w:rPr>
                <w:rFonts w:hint="eastAsia"/>
                <w:szCs w:val="21"/>
              </w:rPr>
              <w:t>账号：</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856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5"/>
              <w:rPr>
                <w:rFonts w:ascii="Times New Roman" w:hAnsi="Times New Roman"/>
                <w:sz w:val="20"/>
              </w:rPr>
            </w:pPr>
            <w:r>
              <w:rPr>
                <w:rFonts w:hint="eastAsia"/>
                <w:szCs w:val="21"/>
              </w:rPr>
              <w:t>纳税人识别号：</w:t>
            </w:r>
          </w:p>
        </w:tc>
      </w:tr>
    </w:tbl>
    <w:p>
      <w:pPr>
        <w:pStyle w:val="15"/>
      </w:pPr>
    </w:p>
    <w:p>
      <w:pPr>
        <w:pStyle w:val="15"/>
      </w:pPr>
      <w:r>
        <w:rPr>
          <w:rFonts w:hint="eastAsia"/>
        </w:rPr>
        <w:t>投标人名称（盖章）：                法定代表人或授权代表签字：</w:t>
      </w:r>
    </w:p>
    <w:p>
      <w:pPr>
        <w:pStyle w:val="15"/>
      </w:pPr>
    </w:p>
    <w:p>
      <w:pPr>
        <w:rPr>
          <w:rFonts w:hint="eastAsia" w:ascii="宋体" w:hAnsi="宋体" w:eastAsia="宋体" w:cs="宋体"/>
          <w:sz w:val="32"/>
          <w:szCs w:val="32"/>
          <w:highlight w:val="none"/>
          <w:lang w:val="en-US" w:eastAsia="zh-CN"/>
        </w:rPr>
      </w:pPr>
    </w:p>
    <w:p>
      <w:pPr>
        <w:rPr>
          <w:rFonts w:hint="eastAsia" w:ascii="宋体" w:hAnsi="宋体" w:eastAsia="宋体" w:cs="宋体"/>
          <w:sz w:val="32"/>
          <w:szCs w:val="32"/>
          <w:highlight w:val="none"/>
          <w:lang w:val="en-US" w:eastAsia="zh-CN"/>
        </w:rPr>
      </w:pPr>
      <w:bookmarkStart w:id="16" w:name="_Toc4225"/>
      <w:bookmarkStart w:id="17" w:name="_Toc47976616"/>
    </w:p>
    <w:p>
      <w:pPr>
        <w:rPr>
          <w:rFonts w:hint="eastAsia" w:ascii="宋体" w:hAnsi="宋体" w:eastAsia="宋体" w:cs="宋体"/>
          <w:sz w:val="32"/>
          <w:szCs w:val="32"/>
          <w:highlight w:val="none"/>
          <w:lang w:val="en-US" w:eastAsia="zh-CN"/>
        </w:rPr>
      </w:pPr>
    </w:p>
    <w:p>
      <w:pPr>
        <w:rPr>
          <w:rFonts w:hint="eastAsia" w:ascii="宋体" w:hAnsi="宋体" w:eastAsia="宋体" w:cs="宋体"/>
          <w:sz w:val="32"/>
          <w:szCs w:val="32"/>
          <w:highlight w:val="none"/>
          <w:lang w:val="en-US" w:eastAsia="zh-CN"/>
        </w:rPr>
      </w:pPr>
    </w:p>
    <w:p>
      <w:pPr>
        <w:rPr>
          <w:rFonts w:hint="eastAsia" w:ascii="宋体" w:hAnsi="宋体" w:eastAsia="宋体" w:cs="宋体"/>
          <w:sz w:val="32"/>
          <w:szCs w:val="32"/>
          <w:highlight w:val="none"/>
          <w:lang w:val="en-US" w:eastAsia="zh-CN"/>
        </w:rPr>
      </w:pPr>
    </w:p>
    <w:p>
      <w:pPr>
        <w:rPr>
          <w:rFonts w:hint="eastAsia" w:ascii="宋体" w:hAnsi="宋体" w:eastAsia="宋体" w:cs="宋体"/>
          <w:sz w:val="32"/>
          <w:szCs w:val="32"/>
          <w:highlight w:val="none"/>
          <w:lang w:val="en-US" w:eastAsia="zh-CN"/>
        </w:rPr>
      </w:pPr>
    </w:p>
    <w:p>
      <w:pPr>
        <w:rPr>
          <w:rFonts w:hint="eastAsia" w:ascii="宋体" w:hAnsi="宋体" w:eastAsia="宋体" w:cs="宋体"/>
          <w:sz w:val="32"/>
          <w:szCs w:val="32"/>
          <w:highlight w:val="none"/>
          <w:lang w:val="en-US" w:eastAsia="zh-CN"/>
        </w:rPr>
      </w:pPr>
    </w:p>
    <w:p>
      <w:pPr>
        <w:rPr>
          <w:rFonts w:hint="eastAsia" w:ascii="宋体" w:hAnsi="宋体" w:eastAsia="宋体" w:cs="宋体"/>
          <w:sz w:val="32"/>
          <w:szCs w:val="32"/>
          <w:highlight w:val="none"/>
          <w:lang w:val="en-US" w:eastAsia="zh-CN"/>
        </w:rPr>
      </w:pPr>
    </w:p>
    <w:p>
      <w:pPr>
        <w:rPr>
          <w:rFonts w:hint="eastAsia" w:ascii="宋体" w:hAnsi="宋体" w:eastAsia="宋体" w:cs="宋体"/>
          <w:sz w:val="32"/>
          <w:szCs w:val="32"/>
          <w:highlight w:val="none"/>
          <w:lang w:val="en-US" w:eastAsia="zh-CN"/>
        </w:rPr>
      </w:pPr>
    </w:p>
    <w:p>
      <w:pPr>
        <w:rPr>
          <w:rFonts w:hint="eastAsia" w:ascii="宋体" w:hAnsi="宋体" w:eastAsia="宋体" w:cs="宋体"/>
          <w:sz w:val="32"/>
          <w:szCs w:val="32"/>
          <w:highlight w:val="none"/>
          <w:lang w:val="en-US" w:eastAsia="zh-CN"/>
        </w:rPr>
      </w:pPr>
    </w:p>
    <w:p>
      <w:pPr>
        <w:rPr>
          <w:rFonts w:hint="eastAsia" w:ascii="宋体" w:hAnsi="宋体" w:eastAsia="宋体" w:cs="宋体"/>
          <w:sz w:val="32"/>
          <w:szCs w:val="32"/>
          <w:highlight w:val="none"/>
          <w:lang w:val="en-US" w:eastAsia="zh-CN"/>
        </w:rPr>
      </w:pPr>
    </w:p>
    <w:p>
      <w:pPr>
        <w:rPr>
          <w:rFonts w:hint="eastAsia" w:ascii="宋体" w:hAnsi="宋体" w:eastAsia="宋体" w:cs="宋体"/>
          <w:sz w:val="32"/>
          <w:szCs w:val="32"/>
          <w:highlight w:val="none"/>
          <w:lang w:val="en-US" w:eastAsia="zh-CN"/>
        </w:rPr>
      </w:pPr>
    </w:p>
    <w:p>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16"/>
      <w:bookmarkEnd w:id="17"/>
      <w:r>
        <w:rPr>
          <w:rFonts w:hint="eastAsia" w:ascii="宋体" w:hAnsi="宋体" w:eastAsia="宋体" w:cs="宋体"/>
          <w:sz w:val="32"/>
          <w:szCs w:val="32"/>
          <w:highlight w:val="none"/>
          <w:lang w:val="en-US" w:eastAsia="zh-CN"/>
        </w:rPr>
        <w:t>4 投标函</w:t>
      </w:r>
    </w:p>
    <w:p>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济南卡车股份</w:t>
      </w:r>
      <w:r>
        <w:rPr>
          <w:rFonts w:hint="eastAsia" w:ascii="宋体" w:hAnsi="宋体" w:eastAsia="宋体" w:cs="Times New Roman"/>
          <w:color w:val="000000"/>
          <w:sz w:val="24"/>
          <w:szCs w:val="24"/>
        </w:rPr>
        <w:t>有限公司</w:t>
      </w:r>
      <w:r>
        <w:rPr>
          <w:rFonts w:hint="eastAsia" w:ascii="宋体" w:hAnsi="宋体" w:cs="Times New Roman"/>
          <w:color w:val="000000"/>
          <w:sz w:val="24"/>
          <w:szCs w:val="24"/>
          <w:lang w:val="en-US" w:eastAsia="zh-CN"/>
        </w:rPr>
        <w:t>绵阳分公司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lang w:eastAsia="zh-CN"/>
        </w:rPr>
        <w:t>中国重汽集团济南卡车股份有限公司绵阳分公司卡车(绵阳)至卡车(党家庄)专线续费项目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w:t>
      </w:r>
      <w:r>
        <w:rPr>
          <w:rFonts w:hint="eastAsia" w:ascii="宋体" w:hAnsi="宋体" w:eastAsia="宋体" w:cs="Times New Roman"/>
          <w:color w:val="000000"/>
          <w:sz w:val="24"/>
          <w:szCs w:val="24"/>
          <w:highlight w:val="none"/>
        </w:rPr>
        <w:t>起</w:t>
      </w:r>
      <w:r>
        <w:rPr>
          <w:rFonts w:hint="eastAsia" w:ascii="宋体" w:hAnsi="宋体" w:cs="Times New Roman"/>
          <w:bCs/>
          <w:color w:val="000000"/>
          <w:sz w:val="24"/>
          <w:szCs w:val="24"/>
          <w:highlight w:val="none"/>
          <w:u w:val="single"/>
          <w:lang w:val="en-US" w:eastAsia="zh-CN"/>
        </w:rPr>
        <w:t>90</w:t>
      </w:r>
      <w:r>
        <w:rPr>
          <w:rFonts w:hint="eastAsia" w:ascii="宋体" w:hAnsi="宋体" w:eastAsia="宋体" w:cs="Times New Roman"/>
          <w:color w:val="000000"/>
          <w:sz w:val="24"/>
          <w:szCs w:val="24"/>
          <w:highlight w:val="none"/>
        </w:rPr>
        <w:t>个</w:t>
      </w:r>
      <w:r>
        <w:rPr>
          <w:rFonts w:hint="eastAsia" w:ascii="宋体" w:hAnsi="宋体" w:eastAsia="宋体" w:cs="Times New Roman"/>
          <w:color w:val="000000"/>
          <w:sz w:val="24"/>
          <w:szCs w:val="24"/>
        </w:rPr>
        <w:t>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76"/>
        <w:bidi w:val="0"/>
      </w:pPr>
    </w:p>
    <w:p>
      <w:pPr>
        <w:pStyle w:val="76"/>
        <w:bidi w:val="0"/>
      </w:pPr>
    </w:p>
    <w:p>
      <w:pPr>
        <w:pStyle w:val="76"/>
        <w:bidi w:val="0"/>
      </w:pPr>
    </w:p>
    <w:p>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附件5 报价单</w:t>
      </w:r>
    </w:p>
    <w:p>
      <w:pPr>
        <w:pStyle w:val="72"/>
        <w:numPr>
          <w:ilvl w:val="0"/>
          <w:numId w:val="0"/>
        </w:numPr>
        <w:ind w:leftChars="0" w:firstLine="4216" w:firstLineChars="1500"/>
        <w:rPr>
          <w:color w:val="000000"/>
          <w:sz w:val="28"/>
          <w:szCs w:val="28"/>
        </w:rPr>
      </w:pPr>
      <w:r>
        <w:rPr>
          <w:rFonts w:hint="eastAsia"/>
          <w:color w:val="000000"/>
          <w:sz w:val="28"/>
          <w:szCs w:val="28"/>
        </w:rPr>
        <w:t>报价单</w:t>
      </w:r>
    </w:p>
    <w:p>
      <w:pPr>
        <w:adjustRightInd w:val="0"/>
        <w:snapToGrid w:val="0"/>
        <w:spacing w:line="360" w:lineRule="auto"/>
        <w:ind w:left="360"/>
        <w:rPr>
          <w:rFonts w:hAnsi="宋体" w:cs="宋体"/>
          <w:color w:val="000000"/>
          <w:sz w:val="24"/>
          <w:szCs w:val="24"/>
        </w:rPr>
      </w:pPr>
      <w:r>
        <w:rPr>
          <w:rFonts w:hint="eastAsia" w:hAnsi="宋体" w:cs="宋体"/>
          <w:color w:val="000000"/>
          <w:sz w:val="24"/>
          <w:szCs w:val="24"/>
        </w:rPr>
        <w:t>用人民币报价，按元计价（含增值税并标明相应税率）。</w:t>
      </w:r>
    </w:p>
    <w:p>
      <w:pPr>
        <w:spacing w:line="360" w:lineRule="atLeast"/>
        <w:ind w:firstLine="600" w:firstLineChars="250"/>
        <w:rPr>
          <w:rFonts w:hint="eastAsia" w:hAnsi="宋体" w:eastAsia="宋体" w:cs="宋体"/>
          <w:color w:val="000000"/>
          <w:sz w:val="24"/>
          <w:szCs w:val="24"/>
          <w:lang w:eastAsia="zh-CN"/>
        </w:rPr>
      </w:pPr>
      <w:r>
        <w:rPr>
          <w:rFonts w:hint="eastAsia" w:hAnsi="宋体" w:cs="宋体"/>
          <w:color w:val="000000"/>
          <w:sz w:val="24"/>
          <w:szCs w:val="24"/>
        </w:rPr>
        <w:t>项目名称：</w:t>
      </w:r>
      <w:r>
        <w:rPr>
          <w:rFonts w:hint="eastAsia" w:hAnsi="宋体" w:cs="宋体"/>
          <w:color w:val="000000"/>
          <w:sz w:val="24"/>
          <w:szCs w:val="24"/>
          <w:lang w:eastAsia="zh-CN"/>
        </w:rPr>
        <w:t>中国重汽集团济南卡车股份有限公司绵阳分公司卡车(绵阳)至卡车(党家庄)专线续费项目</w:t>
      </w:r>
    </w:p>
    <w:p/>
    <w:tbl>
      <w:tblPr>
        <w:tblStyle w:val="30"/>
        <w:tblW w:w="817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39"/>
        <w:gridCol w:w="2551"/>
        <w:gridCol w:w="23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3239" w:type="dxa"/>
            <w:tcBorders>
              <w:top w:val="single" w:color="auto" w:sz="4" w:space="0"/>
              <w:left w:val="single" w:color="auto" w:sz="4" w:space="0"/>
              <w:bottom w:val="single" w:color="auto" w:sz="4" w:space="0"/>
              <w:right w:val="single" w:color="auto" w:sz="4" w:space="0"/>
            </w:tcBorders>
            <w:vAlign w:val="center"/>
          </w:tcPr>
          <w:p>
            <w:pPr>
              <w:spacing w:line="440" w:lineRule="exact"/>
              <w:ind w:right="34" w:rightChars="16"/>
              <w:jc w:val="center"/>
              <w:rPr>
                <w:b/>
                <w:color w:val="000000"/>
                <w:szCs w:val="21"/>
              </w:rPr>
            </w:pPr>
            <w:r>
              <w:rPr>
                <w:rFonts w:hint="eastAsia"/>
                <w:b/>
              </w:rPr>
              <w:t>互联网链路</w:t>
            </w:r>
          </w:p>
        </w:tc>
        <w:tc>
          <w:tcPr>
            <w:tcW w:w="2551" w:type="dxa"/>
            <w:tcBorders>
              <w:top w:val="single" w:color="auto" w:sz="4" w:space="0"/>
              <w:left w:val="single" w:color="auto" w:sz="4" w:space="0"/>
              <w:bottom w:val="single" w:color="auto" w:sz="4" w:space="0"/>
              <w:right w:val="single" w:color="auto" w:sz="4" w:space="0"/>
            </w:tcBorders>
            <w:vAlign w:val="center"/>
          </w:tcPr>
          <w:p>
            <w:pPr>
              <w:spacing w:line="440" w:lineRule="exact"/>
              <w:ind w:right="34" w:rightChars="16"/>
              <w:jc w:val="center"/>
              <w:rPr>
                <w:b/>
                <w:color w:val="000000"/>
                <w:szCs w:val="21"/>
              </w:rPr>
            </w:pPr>
            <w:r>
              <w:rPr>
                <w:rFonts w:hint="eastAsia"/>
                <w:b/>
              </w:rPr>
              <w:t>商务报价</w:t>
            </w:r>
          </w:p>
        </w:tc>
        <w:tc>
          <w:tcPr>
            <w:tcW w:w="2386" w:type="dxa"/>
            <w:tcBorders>
              <w:top w:val="single" w:color="auto" w:sz="4" w:space="0"/>
              <w:left w:val="single" w:color="auto" w:sz="4" w:space="0"/>
              <w:bottom w:val="single" w:color="auto" w:sz="4" w:space="0"/>
              <w:right w:val="single" w:color="auto" w:sz="4" w:space="0"/>
            </w:tcBorders>
            <w:vAlign w:val="center"/>
          </w:tcPr>
          <w:p>
            <w:pPr>
              <w:spacing w:line="440" w:lineRule="exact"/>
              <w:ind w:right="34" w:rightChars="16"/>
              <w:jc w:val="center"/>
              <w:rPr>
                <w:b/>
                <w:color w:val="000000"/>
                <w:szCs w:val="21"/>
              </w:rPr>
            </w:pPr>
            <w:r>
              <w:rPr>
                <w:rFonts w:hint="eastAsia"/>
                <w:b/>
              </w:rPr>
              <w:t>增值税率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3239" w:type="dxa"/>
            <w:tcBorders>
              <w:top w:val="single" w:color="auto" w:sz="4" w:space="0"/>
              <w:left w:val="single" w:color="auto" w:sz="4" w:space="0"/>
              <w:bottom w:val="single" w:color="auto" w:sz="4" w:space="0"/>
              <w:right w:val="single" w:color="auto" w:sz="4" w:space="0"/>
            </w:tcBorders>
            <w:vAlign w:val="center"/>
          </w:tcPr>
          <w:p>
            <w:pPr>
              <w:jc w:val="center"/>
              <w:rPr>
                <w:rFonts w:hint="default" w:ascii="等线" w:hAnsi="等线" w:eastAsia="等线" w:cs="等线"/>
                <w:szCs w:val="21"/>
                <w:lang w:val="en-US" w:eastAsia="zh-CN"/>
              </w:rPr>
            </w:pP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等线"/>
                <w:szCs w:val="21"/>
              </w:rPr>
            </w:pPr>
          </w:p>
        </w:tc>
        <w:tc>
          <w:tcPr>
            <w:tcW w:w="2386" w:type="dxa"/>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等线"/>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323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cs="宋体"/>
                <w:szCs w:val="24"/>
              </w:rPr>
              <w:t>付款方式有无偏离</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等线"/>
                <w:szCs w:val="21"/>
              </w:rPr>
            </w:pPr>
          </w:p>
        </w:tc>
        <w:tc>
          <w:tcPr>
            <w:tcW w:w="2386" w:type="dxa"/>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等线"/>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323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cs="宋体"/>
                <w:szCs w:val="24"/>
              </w:rPr>
              <w:t>对招标文件的认同程度（是否完全认同）</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等线" w:hAnsi="等线" w:eastAsia="等线" w:cs="等线"/>
                <w:szCs w:val="21"/>
              </w:rPr>
            </w:pPr>
          </w:p>
        </w:tc>
        <w:tc>
          <w:tcPr>
            <w:tcW w:w="2386" w:type="dxa"/>
            <w:tcBorders>
              <w:top w:val="single" w:color="auto" w:sz="4" w:space="0"/>
              <w:left w:val="single" w:color="auto" w:sz="4" w:space="0"/>
              <w:bottom w:val="single" w:color="auto" w:sz="4" w:space="0"/>
              <w:right w:val="single" w:color="auto" w:sz="4" w:space="0"/>
            </w:tcBorders>
            <w:vAlign w:val="center"/>
          </w:tcPr>
          <w:p>
            <w:pPr>
              <w:jc w:val="center"/>
              <w:rPr>
                <w:rFonts w:ascii="等线" w:hAnsi="等线" w:eastAsia="等线" w:cs="等线"/>
                <w:szCs w:val="21"/>
              </w:rPr>
            </w:pPr>
          </w:p>
        </w:tc>
      </w:tr>
    </w:tbl>
    <w:p>
      <w:pPr>
        <w:spacing w:line="340" w:lineRule="exact"/>
        <w:ind w:firstLine="4620" w:firstLineChars="2200"/>
        <w:rPr>
          <w:rFonts w:ascii="宋体" w:hAnsi="宋体"/>
        </w:rPr>
      </w:pPr>
    </w:p>
    <w:p>
      <w:pPr>
        <w:spacing w:line="340" w:lineRule="exact"/>
        <w:ind w:firstLine="4620" w:firstLineChars="2200"/>
        <w:rPr>
          <w:rFonts w:ascii="宋体" w:hAnsi="宋体"/>
        </w:rPr>
      </w:pPr>
    </w:p>
    <w:p>
      <w:pPr>
        <w:spacing w:line="340" w:lineRule="exact"/>
        <w:ind w:firstLine="4620" w:firstLineChars="2200"/>
        <w:rPr>
          <w:rFonts w:ascii="宋体" w:hAnsi="宋体"/>
        </w:rPr>
      </w:pPr>
    </w:p>
    <w:p>
      <w:pPr>
        <w:spacing w:line="340" w:lineRule="exact"/>
        <w:ind w:firstLine="4620" w:firstLineChars="2200"/>
        <w:rPr>
          <w:rFonts w:ascii="宋体" w:hAnsi="宋体"/>
        </w:rPr>
      </w:pPr>
    </w:p>
    <w:p>
      <w:pPr>
        <w:spacing w:line="340" w:lineRule="exact"/>
        <w:ind w:firstLine="4620" w:firstLineChars="2200"/>
        <w:rPr>
          <w:rFonts w:ascii="宋体" w:hAnsi="宋体"/>
        </w:rPr>
      </w:pPr>
    </w:p>
    <w:p>
      <w:pPr>
        <w:spacing w:line="340" w:lineRule="exact"/>
        <w:ind w:firstLine="4620" w:firstLineChars="2200"/>
        <w:rPr>
          <w:rFonts w:ascii="宋体" w:hAnsi="宋体"/>
        </w:rPr>
      </w:pPr>
      <w:r>
        <w:rPr>
          <w:rFonts w:hint="eastAsia" w:ascii="宋体" w:hAnsi="宋体"/>
        </w:rPr>
        <w:t>投标人:(盖章)</w:t>
      </w:r>
    </w:p>
    <w:p>
      <w:pPr>
        <w:spacing w:line="340" w:lineRule="exact"/>
        <w:rPr>
          <w:rFonts w:ascii="宋体" w:hAnsi="宋体"/>
        </w:rPr>
      </w:pPr>
    </w:p>
    <w:p>
      <w:pPr>
        <w:spacing w:line="340" w:lineRule="exact"/>
        <w:ind w:firstLine="4620" w:firstLineChars="2200"/>
        <w:rPr>
          <w:rFonts w:ascii="宋体" w:hAnsi="宋体"/>
        </w:rPr>
      </w:pPr>
      <w:r>
        <w:rPr>
          <w:rFonts w:hint="eastAsia" w:ascii="宋体" w:hAnsi="宋体"/>
        </w:rPr>
        <w:t>法定代表人（委托代理人）：（签字）</w:t>
      </w:r>
    </w:p>
    <w:p>
      <w:pPr>
        <w:spacing w:line="340" w:lineRule="exact"/>
        <w:rPr>
          <w:rFonts w:ascii="宋体" w:hAnsi="宋体"/>
        </w:rPr>
      </w:pPr>
    </w:p>
    <w:p>
      <w:pPr>
        <w:spacing w:line="340" w:lineRule="exact"/>
        <w:ind w:firstLine="4620" w:firstLineChars="2200"/>
        <w:rPr>
          <w:rFonts w:ascii="宋体" w:hAnsi="宋体"/>
        </w:rPr>
      </w:pPr>
      <w:r>
        <w:rPr>
          <w:rFonts w:hint="eastAsia" w:ascii="宋体" w:hAnsi="宋体"/>
        </w:rPr>
        <w:t>日  期：    年    月    日</w:t>
      </w: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hint="default" w:hAnsi="宋体"/>
          <w:sz w:val="24"/>
          <w:lang w:val="en-US"/>
        </w:rPr>
      </w:pPr>
    </w:p>
    <w:p>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pPr>
        <w:numPr>
          <w:ilvl w:val="0"/>
          <w:numId w:val="2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pPr>
        <w:pStyle w:val="15"/>
        <w:numPr>
          <w:ilvl w:val="0"/>
          <w:numId w:val="0"/>
        </w:numPr>
      </w:pPr>
    </w:p>
    <w:p>
      <w:pPr>
        <w:rPr>
          <w:rFonts w:ascii="宋体" w:hAnsi="宋体" w:eastAsia="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pPr>
        <w:pStyle w:val="1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pPr>
        <w:pStyle w:val="15"/>
      </w:pPr>
    </w:p>
    <w:p>
      <w:pPr>
        <w:pStyle w:val="15"/>
      </w:pP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pPr>
        <w:pStyle w:val="15"/>
        <w:bidi w:val="0"/>
        <w:rPr>
          <w:rFonts w:hint="eastAsia"/>
          <w:b/>
          <w:bCs/>
          <w:lang w:val="en-US" w:eastAsia="zh-CN"/>
        </w:rPr>
      </w:pPr>
      <w:r>
        <w:rPr>
          <w:rFonts w:hint="eastAsia"/>
          <w:b/>
          <w:bCs/>
        </w:rPr>
        <w:t>2.配套能力“供货类别”填“直管单位非生产</w:t>
      </w:r>
      <w:r>
        <w:rPr>
          <w:rFonts w:hint="eastAsia"/>
          <w:b/>
          <w:bCs/>
          <w:highlight w:val="none"/>
        </w:rPr>
        <w:t xml:space="preserve">招标 / </w:t>
      </w:r>
      <w:r>
        <w:rPr>
          <w:rFonts w:hint="eastAsia"/>
          <w:b/>
          <w:bCs/>
          <w:highlight w:val="none"/>
          <w:lang w:val="en-US" w:eastAsia="zh-CN"/>
        </w:rPr>
        <w:t>信息化</w:t>
      </w:r>
      <w:r>
        <w:rPr>
          <w:rFonts w:hint="eastAsia"/>
          <w:b/>
          <w:bCs/>
          <w:highlight w:val="none"/>
        </w:rPr>
        <w:t xml:space="preserve"> /</w:t>
      </w:r>
      <w:r>
        <w:rPr>
          <w:rFonts w:hint="eastAsia"/>
          <w:b/>
          <w:bCs/>
          <w:highlight w:val="none"/>
          <w:lang w:val="en-US" w:eastAsia="zh-CN"/>
        </w:rPr>
        <w:t>信息化技术服务</w:t>
      </w:r>
      <w:r>
        <w:rPr>
          <w:rFonts w:hint="eastAsia"/>
          <w:b/>
          <w:bCs/>
          <w:highlight w:val="none"/>
        </w:rPr>
        <w:t>”。</w:t>
      </w: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1"/>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5"/>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p>
      <w:pPr>
        <w:pStyle w:val="76"/>
        <w:rPr>
          <w:rFonts w:hint="default" w:hAnsi="宋体"/>
          <w:sz w:val="24"/>
          <w:lang w:val="en-US"/>
        </w:rPr>
      </w:pPr>
    </w:p>
    <w:sectPr>
      <w:headerReference r:id="rId10" w:type="first"/>
      <w:footerReference r:id="rId12" w:type="first"/>
      <w:footerReference r:id="rId11"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2"/>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34"/>
      </w:rPr>
    </w:pPr>
    <w:r>
      <w:fldChar w:fldCharType="begin"/>
    </w:r>
    <w:r>
      <w:rPr>
        <w:rStyle w:val="34"/>
      </w:rPr>
      <w:instrText xml:space="preserve">PAGE  </w:instrText>
    </w:r>
    <w:r>
      <w:fldChar w:fldCharType="end"/>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2"/>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2"/>
      <w:jc w:val="center"/>
    </w:pPr>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7">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8">
    <w:nsid w:val="00000003"/>
    <w:multiLevelType w:val="singleLevel"/>
    <w:tmpl w:val="00000003"/>
    <w:lvl w:ilvl="0" w:tentative="0">
      <w:start w:val="5"/>
      <w:numFmt w:val="decimal"/>
      <w:lvlText w:val="%1."/>
      <w:lvlJc w:val="left"/>
      <w:pPr>
        <w:tabs>
          <w:tab w:val="left" w:pos="312"/>
        </w:tabs>
      </w:pPr>
    </w:lvl>
  </w:abstractNum>
  <w:abstractNum w:abstractNumId="9">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0">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1">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2">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3">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4">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5A6836EF"/>
    <w:multiLevelType w:val="singleLevel"/>
    <w:tmpl w:val="5A6836EF"/>
    <w:lvl w:ilvl="0" w:tentative="0">
      <w:start w:val="1"/>
      <w:numFmt w:val="decimal"/>
      <w:suff w:val="nothing"/>
      <w:lvlText w:val="%1."/>
      <w:lvlJc w:val="left"/>
      <w:pPr>
        <w:ind w:left="0" w:firstLine="0"/>
      </w:pPr>
    </w:lvl>
  </w:abstractNum>
  <w:abstractNum w:abstractNumId="19">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1">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3">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14"/>
  </w:num>
  <w:num w:numId="2">
    <w:abstractNumId w:val="21"/>
  </w:num>
  <w:num w:numId="3">
    <w:abstractNumId w:val="17"/>
  </w:num>
  <w:num w:numId="4">
    <w:abstractNumId w:val="15"/>
  </w:num>
  <w:num w:numId="5">
    <w:abstractNumId w:val="9"/>
  </w:num>
  <w:num w:numId="6">
    <w:abstractNumId w:val="11"/>
  </w:num>
  <w:num w:numId="7">
    <w:abstractNumId w:val="12"/>
  </w:num>
  <w:num w:numId="8">
    <w:abstractNumId w:val="16"/>
  </w:num>
  <w:num w:numId="9">
    <w:abstractNumId w:val="2"/>
  </w:num>
  <w:num w:numId="10">
    <w:abstractNumId w:val="10"/>
  </w:num>
  <w:num w:numId="11">
    <w:abstractNumId w:val="6"/>
  </w:num>
  <w:num w:numId="12">
    <w:abstractNumId w:val="22"/>
  </w:num>
  <w:num w:numId="13">
    <w:abstractNumId w:val="0"/>
  </w:num>
  <w:num w:numId="14">
    <w:abstractNumId w:val="3"/>
  </w:num>
  <w:num w:numId="15">
    <w:abstractNumId w:val="4"/>
  </w:num>
  <w:num w:numId="16">
    <w:abstractNumId w:val="5"/>
  </w:num>
  <w:num w:numId="17">
    <w:abstractNumId w:val="19"/>
  </w:num>
  <w:num w:numId="18">
    <w:abstractNumId w:val="23"/>
  </w:num>
  <w:num w:numId="19">
    <w:abstractNumId w:val="7"/>
  </w:num>
  <w:num w:numId="20">
    <w:abstractNumId w:val="20"/>
  </w:num>
  <w:num w:numId="21">
    <w:abstractNumId w:val="1"/>
  </w:num>
  <w:num w:numId="22">
    <w:abstractNumId w:val="13"/>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F033B0"/>
    <w:rsid w:val="057C1D39"/>
    <w:rsid w:val="05891259"/>
    <w:rsid w:val="0654327E"/>
    <w:rsid w:val="0654565B"/>
    <w:rsid w:val="08633479"/>
    <w:rsid w:val="0A63147A"/>
    <w:rsid w:val="0ADB2EF0"/>
    <w:rsid w:val="0ADD4CBE"/>
    <w:rsid w:val="0C7F3D10"/>
    <w:rsid w:val="0C83309C"/>
    <w:rsid w:val="0CB51572"/>
    <w:rsid w:val="0DE73E36"/>
    <w:rsid w:val="0E4D31E3"/>
    <w:rsid w:val="0E530E38"/>
    <w:rsid w:val="10DC2AA3"/>
    <w:rsid w:val="10FA7C8C"/>
    <w:rsid w:val="11304DCF"/>
    <w:rsid w:val="12F64B6E"/>
    <w:rsid w:val="130B198F"/>
    <w:rsid w:val="13B54178"/>
    <w:rsid w:val="13FA68E0"/>
    <w:rsid w:val="15BB1367"/>
    <w:rsid w:val="16A918E4"/>
    <w:rsid w:val="17D966D6"/>
    <w:rsid w:val="17EF1407"/>
    <w:rsid w:val="19517BDA"/>
    <w:rsid w:val="19AC7228"/>
    <w:rsid w:val="19E33213"/>
    <w:rsid w:val="1A463A67"/>
    <w:rsid w:val="1B481CDF"/>
    <w:rsid w:val="1BA3160C"/>
    <w:rsid w:val="1BC71D3B"/>
    <w:rsid w:val="1BFC000F"/>
    <w:rsid w:val="1C59115B"/>
    <w:rsid w:val="1D596BD7"/>
    <w:rsid w:val="1E296445"/>
    <w:rsid w:val="1EFD1680"/>
    <w:rsid w:val="1FB23E60"/>
    <w:rsid w:val="1FBA79B4"/>
    <w:rsid w:val="212F23EA"/>
    <w:rsid w:val="21F50ADF"/>
    <w:rsid w:val="226A2E83"/>
    <w:rsid w:val="227640E7"/>
    <w:rsid w:val="227F2CA6"/>
    <w:rsid w:val="22C5630B"/>
    <w:rsid w:val="23567554"/>
    <w:rsid w:val="23EC0BA6"/>
    <w:rsid w:val="24701A48"/>
    <w:rsid w:val="249804B1"/>
    <w:rsid w:val="25EC6AF8"/>
    <w:rsid w:val="268B0052"/>
    <w:rsid w:val="26CF6817"/>
    <w:rsid w:val="27743C90"/>
    <w:rsid w:val="27B358EA"/>
    <w:rsid w:val="28B55739"/>
    <w:rsid w:val="29CA2459"/>
    <w:rsid w:val="29E87437"/>
    <w:rsid w:val="2A3B0C61"/>
    <w:rsid w:val="2B271A58"/>
    <w:rsid w:val="2B6304A7"/>
    <w:rsid w:val="2BCB24AC"/>
    <w:rsid w:val="2C642D3E"/>
    <w:rsid w:val="2CF6734C"/>
    <w:rsid w:val="2D4D284A"/>
    <w:rsid w:val="2D663463"/>
    <w:rsid w:val="2E112A52"/>
    <w:rsid w:val="2EF96EE4"/>
    <w:rsid w:val="31E37A09"/>
    <w:rsid w:val="32C207BF"/>
    <w:rsid w:val="334E260B"/>
    <w:rsid w:val="3380787D"/>
    <w:rsid w:val="33822A0F"/>
    <w:rsid w:val="34F565DC"/>
    <w:rsid w:val="35D271A0"/>
    <w:rsid w:val="36254FE4"/>
    <w:rsid w:val="36AA39B8"/>
    <w:rsid w:val="372F61E0"/>
    <w:rsid w:val="39322FCA"/>
    <w:rsid w:val="3A503E1E"/>
    <w:rsid w:val="3AB90991"/>
    <w:rsid w:val="3B706131"/>
    <w:rsid w:val="3BF833EC"/>
    <w:rsid w:val="3C8E02FC"/>
    <w:rsid w:val="3E6F041E"/>
    <w:rsid w:val="3E846635"/>
    <w:rsid w:val="3F9D2397"/>
    <w:rsid w:val="41024A35"/>
    <w:rsid w:val="418D0CE6"/>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9F04CE0"/>
    <w:rsid w:val="4A8835F7"/>
    <w:rsid w:val="4B592E71"/>
    <w:rsid w:val="4DF75369"/>
    <w:rsid w:val="4EA23B01"/>
    <w:rsid w:val="4EB0217D"/>
    <w:rsid w:val="4F8B220C"/>
    <w:rsid w:val="504F4EAF"/>
    <w:rsid w:val="50B64521"/>
    <w:rsid w:val="516C4BAA"/>
    <w:rsid w:val="51D51447"/>
    <w:rsid w:val="52B9239A"/>
    <w:rsid w:val="52D52A7F"/>
    <w:rsid w:val="54BD78FD"/>
    <w:rsid w:val="552A3C28"/>
    <w:rsid w:val="555A2DA3"/>
    <w:rsid w:val="560A61CC"/>
    <w:rsid w:val="56901A99"/>
    <w:rsid w:val="58A86DDE"/>
    <w:rsid w:val="58EA204C"/>
    <w:rsid w:val="59154AD7"/>
    <w:rsid w:val="5991307E"/>
    <w:rsid w:val="5A542AB4"/>
    <w:rsid w:val="5ADF548D"/>
    <w:rsid w:val="5BF95104"/>
    <w:rsid w:val="5C4627AE"/>
    <w:rsid w:val="5C9249CA"/>
    <w:rsid w:val="5D5C60B4"/>
    <w:rsid w:val="5D8073BF"/>
    <w:rsid w:val="60651FB9"/>
    <w:rsid w:val="614E12EC"/>
    <w:rsid w:val="616D6769"/>
    <w:rsid w:val="63F04A69"/>
    <w:rsid w:val="646A3D0C"/>
    <w:rsid w:val="64A82747"/>
    <w:rsid w:val="65336B29"/>
    <w:rsid w:val="65AA5B01"/>
    <w:rsid w:val="66A50B1E"/>
    <w:rsid w:val="67095CF1"/>
    <w:rsid w:val="674E3DF4"/>
    <w:rsid w:val="67B2063C"/>
    <w:rsid w:val="67C97AC3"/>
    <w:rsid w:val="67E30EC1"/>
    <w:rsid w:val="6A4E3B2B"/>
    <w:rsid w:val="6A8A46FA"/>
    <w:rsid w:val="6AC838A9"/>
    <w:rsid w:val="6B481C3B"/>
    <w:rsid w:val="6B59096C"/>
    <w:rsid w:val="6B875383"/>
    <w:rsid w:val="6BA954BC"/>
    <w:rsid w:val="6C1331A3"/>
    <w:rsid w:val="6C765676"/>
    <w:rsid w:val="6CA84BC1"/>
    <w:rsid w:val="6D170ADE"/>
    <w:rsid w:val="6D3E4756"/>
    <w:rsid w:val="6FC523EB"/>
    <w:rsid w:val="6FE22646"/>
    <w:rsid w:val="70825D63"/>
    <w:rsid w:val="71FE41EB"/>
    <w:rsid w:val="72226717"/>
    <w:rsid w:val="72895F2E"/>
    <w:rsid w:val="72C02EBE"/>
    <w:rsid w:val="72C507AD"/>
    <w:rsid w:val="72D028D8"/>
    <w:rsid w:val="732E235F"/>
    <w:rsid w:val="73C34305"/>
    <w:rsid w:val="745D47C3"/>
    <w:rsid w:val="751B1584"/>
    <w:rsid w:val="75341FA7"/>
    <w:rsid w:val="75E504CE"/>
    <w:rsid w:val="764F7753"/>
    <w:rsid w:val="76AC3757"/>
    <w:rsid w:val="77D4005C"/>
    <w:rsid w:val="78292927"/>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1"/>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42"/>
    <w:semiHidden/>
    <w:qFormat/>
    <w:uiPriority w:val="0"/>
    <w:pPr>
      <w:tabs>
        <w:tab w:val="center" w:pos="4153"/>
        <w:tab w:val="right" w:pos="8306"/>
      </w:tabs>
      <w:snapToGrid w:val="0"/>
      <w:jc w:val="left"/>
    </w:pPr>
    <w:rPr>
      <w:sz w:val="18"/>
      <w:szCs w:val="18"/>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next w:val="1"/>
    <w:link w:val="50"/>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7"/>
    <w:semiHidden/>
    <w:qFormat/>
    <w:uiPriority w:val="0"/>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2"/>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8"/>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5"/>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7"/>
    <w:semiHidden/>
    <w:qFormat/>
    <w:uiPriority w:val="0"/>
    <w:rPr>
      <w:sz w:val="24"/>
    </w:rPr>
  </w:style>
  <w:style w:type="character" w:customStyle="1" w:styleId="87">
    <w:name w:val="日期 字符"/>
    <w:basedOn w:val="32"/>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5"/>
    <w:qFormat/>
    <w:uiPriority w:val="0"/>
    <w:rPr>
      <w:b/>
      <w:sz w:val="32"/>
    </w:rPr>
  </w:style>
  <w:style w:type="paragraph" w:customStyle="1" w:styleId="112">
    <w:name w:val="Table Paragraph"/>
    <w:basedOn w:val="1"/>
    <w:qFormat/>
    <w:uiPriority w:val="1"/>
    <w:rPr>
      <w:rFonts w:ascii="宋体" w:hAnsi="宋体" w:eastAsia="宋体" w:cs="宋体"/>
    </w:rPr>
  </w:style>
  <w:style w:type="table" w:customStyle="1" w:styleId="113">
    <w:name w:val="Table Normal"/>
    <w:qFormat/>
    <w:uiPriority w:val="0"/>
    <w:tblPr>
      <w:tblCellMar>
        <w:top w:w="0" w:type="dxa"/>
        <w:left w:w="0" w:type="dxa"/>
        <w:bottom w:w="0" w:type="dxa"/>
        <w:right w:w="0" w:type="dxa"/>
      </w:tblCellMar>
    </w:tblPr>
  </w:style>
  <w:style w:type="paragraph" w:customStyle="1" w:styleId="114">
    <w:name w:val="标书二级标题"/>
    <w:basedOn w:val="4"/>
    <w:qFormat/>
    <w:uiPriority w:val="0"/>
    <w:pPr>
      <w:spacing w:before="0" w:after="0" w:line="240" w:lineRule="auto"/>
      <w:jc w:val="left"/>
    </w:pPr>
    <w:rPr>
      <w:rFonts w:ascii="宋体" w:hAnsi="宋体" w:cstheme="minorBidi"/>
      <w:b w:val="0"/>
      <w:sz w:val="28"/>
      <w:szCs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20</Pages>
  <Words>7002</Words>
  <Characters>7351</Characters>
  <Lines>127</Lines>
  <Paragraphs>35</Paragraphs>
  <TotalTime>70</TotalTime>
  <ScaleCrop>false</ScaleCrop>
  <LinksUpToDate>false</LinksUpToDate>
  <CharactersWithSpaces>7735</CharactersWithSpaces>
  <Application>WPS Office_11.8.2.12265_F1E327BC-269C-435d-A152-05C5408002CA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Administrator</cp:lastModifiedBy>
  <cp:lastPrinted>2020-06-28T02:28:00Z</cp:lastPrinted>
  <dcterms:modified xsi:type="dcterms:W3CDTF">2026-07-21T08:36:00Z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2052-11.8.2.12265</vt:lpwstr>
  </property>
  <property fmtid="{D5CDD505-2E9C-101B-9397-08002B2CF9AE}" pid="3" name="ICV">
    <vt:lpwstr>666008D22E8C4E9A94D5619DBF64CC81</vt:lpwstr>
  </property>
  <property fmtid="{D5CDD505-2E9C-101B-9397-08002B2CF9AE}" pid="4" name="KSOTemplateDocerSaveRecord">
    <vt:lpwstr>eyJoZGlkIjoiZWQxZjNmOWI4MjYxMjE3YWYxMWY4NzIzOWZkNTY1ZGEiLCJ1c2VySWQiOiI4MjkwNzMwMzkifQ==</vt:lpwstr>
  </property>
</Properties>
</file>