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2592BAEF">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w:t>
      </w: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涂装过程保证能力提升技改项目（</w:t>
      </w:r>
      <w:r>
        <w:rPr>
          <w:rFonts w:hint="eastAsia" w:ascii="楷体" w:hAnsi="楷体" w:eastAsia="楷体" w:cs="宋体"/>
          <w:bCs/>
          <w:kern w:val="0"/>
          <w:sz w:val="52"/>
          <w:szCs w:val="52"/>
          <w:lang w:val="en-US" w:eastAsia="zh-CN"/>
        </w:rPr>
        <w:t>色差仪</w:t>
      </w:r>
      <w:r>
        <w:rPr>
          <w:rFonts w:hint="eastAsia" w:ascii="楷体" w:hAnsi="楷体" w:eastAsia="楷体" w:cs="宋体"/>
          <w:bCs/>
          <w:kern w:val="0"/>
          <w:sz w:val="52"/>
          <w:szCs w:val="52"/>
        </w:rPr>
        <w:t>）</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eastAsia" w:ascii="宋体" w:hAnsi="宋体" w:eastAsia="宋体" w:cs="宋体"/>
          <w:b/>
          <w:bCs/>
          <w:spacing w:val="11"/>
          <w:kern w:val="0"/>
          <w:sz w:val="30"/>
          <w:szCs w:val="30"/>
          <w:lang w:eastAsia="zh-CN"/>
        </w:rPr>
      </w:pPr>
      <w:r>
        <w:rPr>
          <w:rFonts w:hint="eastAsia" w:ascii="宋体" w:hAnsi="宋体" w:cs="宋体"/>
          <w:b/>
          <w:bCs/>
          <w:spacing w:val="11"/>
          <w:kern w:val="0"/>
          <w:sz w:val="30"/>
          <w:szCs w:val="30"/>
        </w:rPr>
        <w:t>招标编号：ZBGL2026010375</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2</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numPr>
          <w:ilvl w:val="0"/>
          <w:numId w:val="1"/>
        </w:numPr>
      </w:pPr>
      <w:bookmarkStart w:id="1" w:name="_Toc1750"/>
      <w:bookmarkStart w:id="2" w:name="_Toc9937"/>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30"/>
          <w:szCs w:val="30"/>
          <w:lang w:eastAsia="zh-CN"/>
        </w:rPr>
      </w:pPr>
      <w:bookmarkStart w:id="3" w:name="_Toc20919"/>
      <w:r>
        <w:rPr>
          <w:b/>
          <w:sz w:val="24"/>
        </w:rPr>
        <w:t>项目编号：</w:t>
      </w:r>
      <w:bookmarkEnd w:id="3"/>
      <w:r>
        <w:rPr>
          <w:rFonts w:hint="eastAsia"/>
          <w:b/>
          <w:sz w:val="24"/>
        </w:rPr>
        <w:t>ZBGL2026010375</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14341835"/>
      <w:bookmarkStart w:id="5" w:name="_Toc32544"/>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济宁商用车公司涂装过程保证能力提升技改项目（色差仪）</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2"/>
        </w:numPr>
        <w:adjustRightInd w:val="0"/>
        <w:snapToGrid w:val="0"/>
        <w:spacing w:line="360" w:lineRule="auto"/>
        <w:ind w:left="0" w:firstLine="480"/>
        <w:jc w:val="left"/>
        <w:rPr>
          <w:rFonts w:ascii="宋体" w:cs="宋体"/>
          <w:kern w:val="0"/>
          <w:sz w:val="24"/>
          <w:lang w:bidi="en-US"/>
        </w:rPr>
      </w:pPr>
      <w:bookmarkStart w:id="7" w:name="_Toc152042290"/>
      <w:bookmarkEnd w:id="7"/>
      <w:bookmarkStart w:id="8" w:name="_Toc144974482"/>
      <w:bookmarkEnd w:id="8"/>
      <w:bookmarkStart w:id="9" w:name="_Toc152045514"/>
      <w:bookmarkEnd w:id="9"/>
      <w:bookmarkStart w:id="10" w:name="_Toc285809451"/>
      <w:bookmarkEnd w:id="10"/>
      <w:bookmarkStart w:id="11" w:name="_Toc179632530"/>
      <w:bookmarkEnd w:id="11"/>
      <w:r>
        <w:rPr>
          <w:rFonts w:hint="eastAsia" w:ascii="宋体" w:cs="宋体"/>
          <w:kern w:val="0"/>
          <w:sz w:val="24"/>
          <w:lang w:bidi="en-US"/>
        </w:rPr>
        <w:t>项目名称：</w:t>
      </w:r>
      <w:r>
        <w:rPr>
          <w:rFonts w:hint="eastAsia" w:ascii="宋体" w:cs="宋体"/>
          <w:kern w:val="0"/>
          <w:sz w:val="24"/>
          <w:u w:val="single"/>
          <w:lang w:bidi="en-US"/>
        </w:rPr>
        <w:t>济宁商用车公司涂装过程保证能力提升技改项目（色差仪）</w:t>
      </w:r>
    </w:p>
    <w:p w14:paraId="35785926">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w:t>
      </w:r>
      <w:r>
        <w:rPr>
          <w:rFonts w:hint="eastAsia" w:ascii="宋体" w:cs="宋体"/>
          <w:kern w:val="0"/>
          <w:sz w:val="24"/>
          <w:lang w:val="en-US" w:eastAsia="zh-CN" w:bidi="en-US"/>
        </w:rPr>
        <w:t>新增</w:t>
      </w:r>
      <w:r>
        <w:rPr>
          <w:rFonts w:hint="eastAsia" w:ascii="宋体" w:cs="宋体"/>
          <w:kern w:val="0"/>
          <w:sz w:val="24"/>
          <w:u w:val="none"/>
          <w:lang w:bidi="en-US"/>
        </w:rPr>
        <w:t>色差仪</w:t>
      </w:r>
      <w:r>
        <w:rPr>
          <w:rFonts w:hint="eastAsia" w:ascii="宋体" w:cs="宋体"/>
          <w:kern w:val="0"/>
          <w:sz w:val="24"/>
          <w:lang w:bidi="en-US"/>
        </w:rPr>
        <w:t>一台，用于检测驾驶室漆面的色差，提高检测效率和质量管控水平。</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设备采购、工装制作、</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lang w:val="en-US" w:eastAsia="zh-CN"/>
              </w:rPr>
              <w:t>备注</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15"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宋体" w:cs="宋体"/>
                <w:kern w:val="0"/>
                <w:sz w:val="24"/>
                <w:u w:val="none"/>
                <w:lang w:bidi="en-US"/>
              </w:rPr>
              <w:t>色差仪</w:t>
            </w:r>
          </w:p>
        </w:tc>
        <w:tc>
          <w:tcPr>
            <w:tcW w:w="1665" w:type="dxa"/>
            <w:vAlign w:val="center"/>
          </w:tcPr>
          <w:p w14:paraId="5CD02C0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6C576220">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17EE0704">
            <w:pPr>
              <w:jc w:val="center"/>
              <w:rPr>
                <w:sz w:val="22"/>
                <w:szCs w:val="22"/>
              </w:rPr>
            </w:pPr>
            <w:r>
              <w:rPr>
                <w:rFonts w:hint="eastAsia"/>
                <w:sz w:val="22"/>
                <w:szCs w:val="22"/>
              </w:rPr>
              <w:t>交钥匙方式</w:t>
            </w:r>
          </w:p>
        </w:tc>
        <w:tc>
          <w:tcPr>
            <w:tcW w:w="2280" w:type="dxa"/>
            <w:vAlign w:val="center"/>
          </w:tcPr>
          <w:p w14:paraId="71AC75E1">
            <w:pPr>
              <w:jc w:val="center"/>
              <w:rPr>
                <w:sz w:val="22"/>
                <w:szCs w:val="22"/>
              </w:rPr>
            </w:pPr>
            <w:r>
              <w:rPr>
                <w:rFonts w:hint="eastAsia"/>
                <w:sz w:val="22"/>
                <w:szCs w:val="22"/>
              </w:rPr>
              <w:t>山东省济宁市诗仙路369号济宁商用车厂区内</w:t>
            </w:r>
          </w:p>
        </w:tc>
        <w:tc>
          <w:tcPr>
            <w:tcW w:w="1393" w:type="dxa"/>
            <w:vAlign w:val="center"/>
          </w:tcPr>
          <w:p w14:paraId="3F50AD84">
            <w:pPr>
              <w:jc w:val="center"/>
              <w:rPr>
                <w:rFonts w:hint="default" w:eastAsia="宋体"/>
                <w:sz w:val="22"/>
                <w:szCs w:val="22"/>
                <w:lang w:val="en-US" w:eastAsia="zh-CN"/>
              </w:rPr>
            </w:pPr>
            <w:r>
              <w:rPr>
                <w:rFonts w:hint="eastAsia"/>
                <w:sz w:val="22"/>
                <w:szCs w:val="22"/>
                <w:lang w:val="en-US" w:eastAsia="zh-CN"/>
              </w:rPr>
              <w:t>详见标书技术要求</w:t>
            </w:r>
          </w:p>
        </w:tc>
      </w:tr>
      <w:bookmarkEnd w:id="12"/>
    </w:tbl>
    <w:p w14:paraId="02D026E4">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财务要求：近三年财务状况良好（近三年指202</w:t>
      </w:r>
      <w:r>
        <w:rPr>
          <w:rFonts w:hint="eastAsia" w:ascii="宋体" w:hAnsi="宋体"/>
          <w:kern w:val="0"/>
          <w:sz w:val="24"/>
          <w:szCs w:val="21"/>
          <w:highlight w:val="none"/>
          <w:lang w:val="en-US" w:eastAsia="zh-CN" w:bidi="en-US"/>
        </w:rPr>
        <w:t>2</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3</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4</w:t>
      </w:r>
      <w:r>
        <w:rPr>
          <w:rFonts w:hint="eastAsia" w:ascii="宋体" w:hAnsi="宋体"/>
          <w:kern w:val="0"/>
          <w:sz w:val="24"/>
          <w:szCs w:val="21"/>
          <w:highlight w:val="none"/>
          <w:lang w:bidi="en-US"/>
        </w:rPr>
        <w:t>年），要求包含近一个月银行企业信用报告。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w:t>
      </w:r>
      <w:r>
        <w:rPr>
          <w:rFonts w:hint="eastAsia" w:ascii="宋体" w:cs="宋体"/>
          <w:kern w:val="0"/>
          <w:sz w:val="24"/>
          <w:highlight w:val="none"/>
          <w:shd w:val="clear" w:color="auto" w:fill="FFFFFF" w:themeFill="background1"/>
          <w:lang w:bidi="en-US"/>
        </w:rPr>
        <w:t>和联合体投标的要求：</w:t>
      </w:r>
      <w:r>
        <w:rPr>
          <w:rFonts w:hint="eastAsia" w:ascii="宋体" w:cs="宋体"/>
          <w:sz w:val="24"/>
          <w:highlight w:val="none"/>
          <w:shd w:val="clear" w:color="auto" w:fill="FFFFFF" w:themeFill="background1"/>
          <w:lang w:bidi="ar"/>
        </w:rPr>
        <w:t>本项目不接受联合体投</w:t>
      </w:r>
      <w:r>
        <w:rPr>
          <w:rFonts w:hint="eastAsia" w:ascii="宋体" w:cs="宋体"/>
          <w:sz w:val="24"/>
          <w:highlight w:val="none"/>
          <w:lang w:bidi="ar"/>
        </w:rPr>
        <w:t>标</w:t>
      </w:r>
      <w:r>
        <w:rPr>
          <w:rFonts w:hint="eastAsia" w:ascii="宋体" w:cs="宋体"/>
          <w:sz w:val="24"/>
          <w:highlight w:val="none"/>
          <w:lang w:eastAsia="zh-CN" w:bidi="ar"/>
        </w:rPr>
        <w:t>；</w:t>
      </w:r>
      <w:r>
        <w:rPr>
          <w:rFonts w:hint="eastAsia" w:ascii="宋体" w:cs="宋体"/>
          <w:sz w:val="24"/>
          <w:highlight w:val="none"/>
          <w:shd w:val="clear" w:color="auto" w:fill="FFFFFF" w:themeFill="background1"/>
          <w:lang w:bidi="ar"/>
        </w:rPr>
        <w:t>接受代理商</w:t>
      </w:r>
      <w:r>
        <w:rPr>
          <w:rFonts w:hint="eastAsia" w:ascii="宋体" w:cs="宋体"/>
          <w:sz w:val="24"/>
          <w:highlight w:val="none"/>
          <w:shd w:val="clear" w:color="auto" w:fill="FFFFFF" w:themeFill="background1"/>
          <w:lang w:val="en-US" w:eastAsia="zh-CN" w:bidi="ar"/>
        </w:rPr>
        <w:t>投标</w:t>
      </w:r>
      <w:r>
        <w:rPr>
          <w:rFonts w:hint="eastAsia" w:ascii="宋体" w:cs="宋体"/>
          <w:sz w:val="24"/>
          <w:highlight w:val="none"/>
          <w:shd w:val="clear" w:color="auto" w:fill="FFFFFF" w:themeFill="background1"/>
          <w:lang w:bidi="ar"/>
        </w:rPr>
        <w:t>，如为代理商投标，需获得生产厂家正式授权，保证提供原厂售后服务</w:t>
      </w:r>
      <w:r>
        <w:rPr>
          <w:rFonts w:hint="eastAsia" w:ascii="宋体" w:cs="宋体"/>
          <w:sz w:val="24"/>
          <w:highlight w:val="none"/>
          <w:shd w:val="clear" w:color="auto" w:fill="FFFFFF" w:themeFill="background1"/>
          <w:lang w:val="en-US" w:eastAsia="zh-CN" w:bidi="ar"/>
        </w:rPr>
        <w:t>,</w:t>
      </w:r>
      <w:r>
        <w:rPr>
          <w:rFonts w:hint="eastAsia" w:ascii="宋体" w:cs="宋体"/>
          <w:b/>
          <w:bCs/>
          <w:sz w:val="24"/>
          <w:highlight w:val="none"/>
          <w:shd w:val="clear" w:color="auto" w:fill="FFFFFF" w:themeFill="background1"/>
          <w:lang w:val="en-US" w:eastAsia="zh-CN" w:bidi="ar"/>
        </w:rPr>
        <w:t>出具代理商与生产厂家同责保证书（投标时提供至招标方）</w:t>
      </w:r>
      <w:r>
        <w:rPr>
          <w:rFonts w:hint="eastAsia" w:ascii="宋体" w:cs="宋体"/>
          <w:b/>
          <w:bCs/>
          <w:sz w:val="24"/>
          <w:highlight w:val="none"/>
          <w:lang w:bidi="ar"/>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2</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2</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13</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请将以上文件原件扫描汇总形成1个PDF格式文件，发送至上述指定邮箱，并设置邮件名称为“公司名称+项目名称”，</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2C24B71F">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auto"/>
          <w:sz w:val="24"/>
        </w:rPr>
        <w:t>。</w:t>
      </w:r>
    </w:p>
    <w:p w14:paraId="02860ABF">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17B6F02D">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2</w:t>
      </w:r>
      <w:r>
        <w:rPr>
          <w:rFonts w:hint="eastAsia" w:ascii="宋体" w:cs="宋体"/>
          <w:kern w:val="0"/>
          <w:sz w:val="24"/>
          <w:lang w:bidi="en-US"/>
        </w:rPr>
        <w:t>月</w:t>
      </w:r>
      <w:r>
        <w:rPr>
          <w:rFonts w:hint="eastAsia" w:ascii="宋体" w:cs="宋体"/>
          <w:kern w:val="0"/>
          <w:sz w:val="24"/>
          <w:u w:val="single"/>
          <w:lang w:val="en-US" w:eastAsia="zh-CN" w:bidi="en-US"/>
        </w:rPr>
        <w:t>28</w:t>
      </w:r>
      <w:r>
        <w:rPr>
          <w:rFonts w:hint="eastAsia" w:ascii="宋体" w:cs="宋体"/>
          <w:kern w:val="0"/>
          <w:sz w:val="24"/>
          <w:lang w:bidi="en-US"/>
        </w:rPr>
        <w:t>日</w:t>
      </w:r>
      <w:r>
        <w:rPr>
          <w:rFonts w:hint="eastAsia" w:ascii="宋体" w:cs="宋体"/>
          <w:kern w:val="0"/>
          <w:sz w:val="24"/>
          <w:lang w:val="en-US" w:eastAsia="zh-CN" w:bidi="en-US"/>
        </w:rPr>
        <w:t>上</w:t>
      </w:r>
      <w:r>
        <w:rPr>
          <w:rFonts w:hint="eastAsia" w:ascii="宋体" w:cs="宋体"/>
          <w:kern w:val="0"/>
          <w:sz w:val="24"/>
          <w:lang w:bidi="en-US"/>
        </w:rPr>
        <w:t>午</w:t>
      </w:r>
      <w:r>
        <w:rPr>
          <w:rFonts w:hint="eastAsia" w:ascii="宋体" w:cs="宋体"/>
          <w:kern w:val="0"/>
          <w:sz w:val="24"/>
          <w:u w:val="single"/>
          <w:lang w:val="en-US" w:eastAsia="zh-CN" w:bidi="en-US"/>
        </w:rPr>
        <w:t>9</w:t>
      </w:r>
      <w:r>
        <w:rPr>
          <w:rFonts w:hint="eastAsia" w:ascii="宋体" w:cs="宋体"/>
          <w:kern w:val="0"/>
          <w:sz w:val="24"/>
          <w:lang w:bidi="en-US"/>
        </w:rPr>
        <w:t>点</w:t>
      </w:r>
      <w:r>
        <w:rPr>
          <w:rFonts w:hint="eastAsia" w:ascii="宋体" w:cs="宋体"/>
          <w:kern w:val="0"/>
          <w:sz w:val="24"/>
          <w:u w:val="single"/>
          <w:lang w:bidi="en-US"/>
        </w:rPr>
        <w:t>30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 系 人：</w:t>
      </w:r>
      <w:r>
        <w:rPr>
          <w:rFonts w:hint="eastAsia" w:ascii="宋体" w:cs="宋体"/>
          <w:kern w:val="0"/>
          <w:sz w:val="24"/>
          <w:lang w:val="en-US" w:eastAsia="zh-CN" w:bidi="en-US"/>
        </w:rPr>
        <w:t xml:space="preserve">陈鹤      </w:t>
      </w:r>
    </w:p>
    <w:p w14:paraId="07A6398D">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（微信同号）</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电子邮件：chenhe@sinotruk.com</w:t>
      </w:r>
    </w:p>
    <w:p w14:paraId="5F111429">
      <w:pPr>
        <w:widowControl/>
        <w:adjustRightInd w:val="0"/>
        <w:snapToGrid w:val="0"/>
        <w:spacing w:line="312" w:lineRule="auto"/>
        <w:ind w:firstLine="480" w:firstLineChars="200"/>
        <w:jc w:val="right"/>
        <w:rPr>
          <w:rFonts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2</w:t>
      </w:r>
      <w:r>
        <w:rPr>
          <w:rFonts w:hint="eastAsia" w:ascii="宋体"/>
          <w:kern w:val="0"/>
          <w:sz w:val="24"/>
          <w:szCs w:val="21"/>
          <w:lang w:bidi="en-US"/>
        </w:rPr>
        <w:t>月</w:t>
      </w:r>
      <w:r>
        <w:rPr>
          <w:rFonts w:hint="eastAsia" w:ascii="宋体"/>
          <w:kern w:val="0"/>
          <w:sz w:val="24"/>
          <w:szCs w:val="21"/>
          <w:u w:val="single"/>
          <w:lang w:val="en-US" w:eastAsia="zh-CN" w:bidi="en-US"/>
        </w:rPr>
        <w:t>5</w:t>
      </w:r>
      <w:r>
        <w:rPr>
          <w:rFonts w:hint="eastAsia" w:ascii="宋体"/>
          <w:kern w:val="0"/>
          <w:sz w:val="24"/>
          <w:szCs w:val="21"/>
          <w:lang w:bidi="en-US"/>
        </w:rPr>
        <w:t>日</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2</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2</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1"/>
        <w:rPr>
          <w:sz w:val="24"/>
        </w:rPr>
      </w:pPr>
    </w:p>
    <w:p w14:paraId="57936170">
      <w:pPr>
        <w:pStyle w:val="11"/>
        <w:tabs>
          <w:tab w:val="left" w:pos="4820"/>
        </w:tabs>
        <w:rPr>
          <w:sz w:val="24"/>
        </w:rPr>
      </w:pPr>
      <w:r>
        <w:rPr>
          <w:sz w:val="24"/>
        </w:rPr>
        <w:tab/>
      </w:r>
      <w:r>
        <w:rPr>
          <w:rFonts w:hint="eastAsia"/>
          <w:sz w:val="24"/>
        </w:rPr>
        <w:t>法定代表人（签字或盖章）</w:t>
      </w:r>
    </w:p>
    <w:p w14:paraId="3DBB299F">
      <w:pPr>
        <w:pStyle w:val="11"/>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02D3DE18">
      <w:pPr>
        <w:autoSpaceDE w:val="0"/>
        <w:autoSpaceDN w:val="0"/>
        <w:rPr>
          <w:sz w:val="30"/>
          <w:szCs w:val="30"/>
        </w:rPr>
      </w:pPr>
      <w:r>
        <w:rPr>
          <w:rFonts w:hint="eastAsia"/>
          <w:sz w:val="30"/>
          <w:szCs w:val="30"/>
        </w:rPr>
        <w:t>附件</w:t>
      </w:r>
      <w:r>
        <w:rPr>
          <w:sz w:val="30"/>
          <w:szCs w:val="30"/>
        </w:rPr>
        <w:t>6</w:t>
      </w:r>
    </w:p>
    <w:p w14:paraId="6EA4E0F7">
      <w:pPr>
        <w:jc w:val="center"/>
        <w:rPr>
          <w:sz w:val="28"/>
          <w:szCs w:val="36"/>
        </w:rPr>
      </w:pPr>
      <w:r>
        <w:rPr>
          <w:sz w:val="28"/>
          <w:szCs w:val="36"/>
        </w:rPr>
        <w:t>非生产供应商注册操作手册</w:t>
      </w:r>
    </w:p>
    <w:p w14:paraId="76E488CA">
      <w:pPr>
        <w:rPr>
          <w:rFonts w:ascii="宋体" w:cs="宋体"/>
          <w:b/>
          <w:bCs/>
          <w:color w:val="000000"/>
        </w:rPr>
      </w:pPr>
      <w:r>
        <w:rPr>
          <w:rFonts w:hint="eastAsia" w:ascii="宋体" w:cs="宋体"/>
          <w:b/>
          <w:bCs/>
          <w:color w:val="000000"/>
        </w:rPr>
        <w:t>归口部门选“技术改造部”</w:t>
      </w:r>
    </w:p>
    <w:p w14:paraId="3775C155">
      <w:r>
        <w:rPr>
          <w:rFonts w:hint="eastAsia" w:ascii="宋体" w:cs="宋体"/>
          <w:color w:val="000000"/>
        </w:rPr>
        <w:t>浏览器中输入地址</w:t>
      </w:r>
      <w:r>
        <w:rPr>
          <w:rFonts w:ascii="Calibri" w:hAnsi="Calibri" w:eastAsia="Calibri" w:cs="Calibri"/>
          <w:color w:val="000000"/>
        </w:rPr>
        <w:t>;</w:t>
      </w:r>
    </w:p>
    <w:p w14:paraId="7E21E221">
      <w:r>
        <w:fldChar w:fldCharType="begin"/>
      </w:r>
      <w:r>
        <w:instrText xml:space="preserve"> HYPERLINK "http://ecaitong.sinotruk.com:8012/" \l "/login normalLink /tdkey d38o9f /tdfe -10 /tdfu http:/ecaitong.sinotruk.com:8012/" </w:instrText>
      </w:r>
      <w:r>
        <w:fldChar w:fldCharType="separate"/>
      </w:r>
      <w:r>
        <w:rPr>
          <w:rStyle w:val="37"/>
          <w:rFonts w:hint="eastAsia"/>
        </w:rPr>
        <w:t>https</w:t>
      </w:r>
      <w:r>
        <w:rPr>
          <w:rStyle w:val="37"/>
        </w:rPr>
        <w:t>://ecaitong.sinotruk.com:8012/#/login</w:t>
      </w:r>
      <w:r>
        <w:rPr>
          <w:rStyle w:val="37"/>
        </w:rPr>
        <w:fldChar w:fldCharType="end"/>
      </w:r>
    </w:p>
    <w:p w14:paraId="7842F157">
      <w:r>
        <w:rPr>
          <w:rFonts w:ascii="Calibri" w:hAnsi="Calibri" w:eastAsia="Calibri" w:cs="Calibri"/>
          <w:color w:val="000000"/>
        </w:rPr>
        <w:t>1.</w:t>
      </w:r>
      <w:r>
        <w:rPr>
          <w:rFonts w:hint="eastAsia" w:ascii="宋体" w:cs="宋体"/>
          <w:color w:val="000000"/>
        </w:rPr>
        <w:t>点击立即注册</w:t>
      </w:r>
    </w:p>
    <w:p w14:paraId="684263DB">
      <w:pPr>
        <w:snapToGrid w:val="0"/>
        <w:spacing w:line="312" w:lineRule="auto"/>
      </w:pPr>
      <w:r>
        <w:drawing>
          <wp:inline distT="0" distB="0" distL="0" distR="0">
            <wp:extent cx="5756910" cy="2934335"/>
            <wp:effectExtent l="0" t="0" r="0" b="0"/>
            <wp:docPr id="2" name="图片 2" descr="descript"/>
            <wp:cNvGraphicFramePr/>
            <a:graphic xmlns:a="http://schemas.openxmlformats.org/drawingml/2006/main">
              <a:graphicData uri="http://schemas.openxmlformats.org/drawingml/2006/picture">
                <pic:pic xmlns:pic="http://schemas.openxmlformats.org/drawingml/2006/picture">
                  <pic:nvPicPr>
                    <pic:cNvPr id="2" name="图片 2" descr="descript"/>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756910" cy="2934335"/>
                    </a:xfrm>
                    <a:prstGeom prst="rect">
                      <a:avLst/>
                    </a:prstGeom>
                    <a:noFill/>
                    <a:ln>
                      <a:noFill/>
                    </a:ln>
                    <a:effectLst/>
                  </pic:spPr>
                </pic:pic>
              </a:graphicData>
            </a:graphic>
          </wp:inline>
        </w:drawing>
      </w:r>
    </w:p>
    <w:p w14:paraId="39013C1C">
      <w:r>
        <w:rPr>
          <w:rFonts w:ascii="Calibri" w:hAnsi="Calibri" w:eastAsia="Calibri" w:cs="Calibri"/>
          <w:color w:val="000000"/>
        </w:rPr>
        <w:t xml:space="preserve">2.     </w:t>
      </w:r>
      <w:r>
        <w:rPr>
          <w:rFonts w:hint="eastAsia" w:ascii="宋体" w:cs="宋体"/>
          <w:color w:val="000000"/>
        </w:rPr>
        <w:t>填写手机号码（没有注册过的）</w:t>
      </w:r>
    </w:p>
    <w:p w14:paraId="0CCC2159">
      <w:pPr>
        <w:snapToGrid w:val="0"/>
        <w:spacing w:line="312" w:lineRule="auto"/>
      </w:pPr>
      <w:r>
        <w:drawing>
          <wp:inline distT="0" distB="0" distL="0" distR="0">
            <wp:extent cx="5756910" cy="2767330"/>
            <wp:effectExtent l="0" t="0" r="0" b="0"/>
            <wp:docPr id="3" name="图片 3" descr="descript"/>
            <wp:cNvGraphicFramePr/>
            <a:graphic xmlns:a="http://schemas.openxmlformats.org/drawingml/2006/main">
              <a:graphicData uri="http://schemas.openxmlformats.org/drawingml/2006/picture">
                <pic:pic xmlns:pic="http://schemas.openxmlformats.org/drawingml/2006/picture">
                  <pic:nvPicPr>
                    <pic:cNvPr id="3" name="图片 3" descr="descript"/>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756910" cy="2767330"/>
                    </a:xfrm>
                    <a:prstGeom prst="rect">
                      <a:avLst/>
                    </a:prstGeom>
                    <a:noFill/>
                    <a:ln>
                      <a:noFill/>
                    </a:ln>
                    <a:effectLst/>
                  </pic:spPr>
                </pic:pic>
              </a:graphicData>
            </a:graphic>
          </wp:inline>
        </w:drawing>
      </w:r>
    </w:p>
    <w:p w14:paraId="6EC27A57">
      <w:r>
        <w:rPr>
          <w:rFonts w:ascii="Calibri" w:hAnsi="Calibri" w:eastAsia="Calibri" w:cs="Calibri"/>
          <w:color w:val="000000"/>
        </w:rPr>
        <w:t xml:space="preserve">3.     </w:t>
      </w:r>
      <w:r>
        <w:rPr>
          <w:rFonts w:hint="eastAsia" w:ascii="宋体" w:cs="宋体"/>
          <w:color w:val="000000"/>
        </w:rPr>
        <w:t>注册成功登录这个手机号码的账号进入系统，点击供应商注册</w:t>
      </w:r>
    </w:p>
    <w:p w14:paraId="5DDF81A8">
      <w:pPr>
        <w:snapToGrid w:val="0"/>
        <w:spacing w:line="312" w:lineRule="auto"/>
      </w:pPr>
      <w:r>
        <w:drawing>
          <wp:inline distT="0" distB="0" distL="0" distR="0">
            <wp:extent cx="5756910" cy="2870200"/>
            <wp:effectExtent l="0" t="0" r="0" b="6350"/>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a:picLocks noChangeArrowheads="1"/>
                    </pic:cNvPicPr>
                  </pic:nvPicPr>
                  <pic:blipFill>
                    <a:blip r:embed="rId19">
                      <a:lum bright="-6000"/>
                      <a:extLst>
                        <a:ext uri="{28A0092B-C50C-407E-A947-70E740481C1C}">
                          <a14:useLocalDpi xmlns:a14="http://schemas.microsoft.com/office/drawing/2010/main" val="0"/>
                        </a:ext>
                      </a:extLst>
                    </a:blip>
                    <a:srcRect/>
                    <a:stretch>
                      <a:fillRect/>
                    </a:stretch>
                  </pic:blipFill>
                  <pic:spPr>
                    <a:xfrm>
                      <a:off x="0" y="0"/>
                      <a:ext cx="5756910" cy="2870200"/>
                    </a:xfrm>
                    <a:prstGeom prst="rect">
                      <a:avLst/>
                    </a:prstGeom>
                    <a:noFill/>
                    <a:ln>
                      <a:noFill/>
                    </a:ln>
                    <a:effectLst/>
                  </pic:spPr>
                </pic:pic>
              </a:graphicData>
            </a:graphic>
          </wp:inline>
        </w:drawing>
      </w:r>
    </w:p>
    <w:p w14:paraId="3CE6AA53">
      <w:r>
        <w:rPr>
          <w:rFonts w:ascii="Calibri" w:hAnsi="Calibri" w:eastAsia="Calibri" w:cs="Calibri"/>
          <w:color w:val="000000"/>
        </w:rPr>
        <w:t xml:space="preserve">4.     </w:t>
      </w:r>
      <w:r>
        <w:rPr>
          <w:rFonts w:hint="eastAsia" w:ascii="宋体" w:cs="宋体"/>
          <w:color w:val="000000"/>
        </w:rPr>
        <w:t>点击新增</w:t>
      </w:r>
    </w:p>
    <w:p w14:paraId="323C7EFD">
      <w:pPr>
        <w:snapToGrid w:val="0"/>
        <w:spacing w:line="312" w:lineRule="auto"/>
      </w:pPr>
      <w:r>
        <w:drawing>
          <wp:inline distT="0" distB="0" distL="0" distR="0">
            <wp:extent cx="5756910" cy="2854325"/>
            <wp:effectExtent l="0" t="0" r="0" b="3175"/>
            <wp:docPr id="11" name="图片 11" descr="descript"/>
            <wp:cNvGraphicFramePr/>
            <a:graphic xmlns:a="http://schemas.openxmlformats.org/drawingml/2006/main">
              <a:graphicData uri="http://schemas.openxmlformats.org/drawingml/2006/picture">
                <pic:pic xmlns:pic="http://schemas.openxmlformats.org/drawingml/2006/picture">
                  <pic:nvPicPr>
                    <pic:cNvPr id="11" name="图片 11" descr="descript"/>
                    <pic:cNvPicPr>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756910" cy="2854325"/>
                    </a:xfrm>
                    <a:prstGeom prst="rect">
                      <a:avLst/>
                    </a:prstGeom>
                    <a:noFill/>
                    <a:ln>
                      <a:noFill/>
                    </a:ln>
                    <a:effectLst/>
                  </pic:spPr>
                </pic:pic>
              </a:graphicData>
            </a:graphic>
          </wp:inline>
        </w:drawing>
      </w:r>
    </w:p>
    <w:p w14:paraId="7B0E9592">
      <w:r>
        <w:t>5</w:t>
      </w:r>
      <w:r>
        <w:rPr>
          <w:rFonts w:ascii="Calibri" w:hAnsi="Calibri" w:eastAsia="Calibri" w:cs="Calibri"/>
          <w:color w:val="000000"/>
        </w:rPr>
        <w:t xml:space="preserve"> </w:t>
      </w:r>
      <w:r>
        <w:rPr>
          <w:rFonts w:hint="eastAsia" w:ascii="宋体" w:cs="宋体"/>
          <w:color w:val="000000"/>
        </w:rPr>
        <w:t>按要求填写所有信息，注意非生产类要填写合作单位</w:t>
      </w:r>
      <w:r>
        <w:rPr>
          <w:rFonts w:hint="eastAsia" w:ascii="宋体" w:cs="宋体"/>
          <w:color w:val="000000"/>
          <w:lang w:val="en-US" w:eastAsia="zh-CN"/>
        </w:rPr>
        <w:t>为直管单位，品系分组为工艺设备 / 产线建设</w:t>
      </w:r>
      <w:r>
        <w:rPr>
          <w:rFonts w:hint="eastAsia" w:ascii="宋体" w:cs="宋体"/>
          <w:color w:val="000000"/>
        </w:rPr>
        <w:t>，最后提交审批</w:t>
      </w:r>
    </w:p>
    <w:p w14:paraId="11DB0314">
      <w:pPr>
        <w:rPr>
          <w:rFonts w:ascii="宋体" w:cs="宋体"/>
          <w:color w:val="000000"/>
        </w:rPr>
      </w:pPr>
    </w:p>
    <w:p w14:paraId="088F69A4">
      <w:r>
        <w:drawing>
          <wp:inline distT="0" distB="0" distL="0" distR="0">
            <wp:extent cx="5756910" cy="2806700"/>
            <wp:effectExtent l="0" t="0" r="0" b="0"/>
            <wp:docPr id="12" name="图片 12" descr="descript"/>
            <wp:cNvGraphicFramePr/>
            <a:graphic xmlns:a="http://schemas.openxmlformats.org/drawingml/2006/main">
              <a:graphicData uri="http://schemas.openxmlformats.org/drawingml/2006/picture">
                <pic:pic xmlns:pic="http://schemas.openxmlformats.org/drawingml/2006/picture">
                  <pic:nvPicPr>
                    <pic:cNvPr id="12" name="图片 12" descr="descript"/>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756910" cy="2806700"/>
                    </a:xfrm>
                    <a:prstGeom prst="rect">
                      <a:avLst/>
                    </a:prstGeom>
                    <a:noFill/>
                    <a:ln>
                      <a:noFill/>
                    </a:ln>
                    <a:effectLst/>
                  </pic:spPr>
                </pic:pic>
              </a:graphicData>
            </a:graphic>
          </wp:inline>
        </w:drawing>
      </w:r>
    </w:p>
    <w:p w14:paraId="0147B4BC">
      <w:pPr>
        <w:snapToGrid w:val="0"/>
        <w:spacing w:line="312" w:lineRule="auto"/>
      </w:pPr>
      <w:r>
        <w:drawing>
          <wp:inline distT="0" distB="0" distL="0" distR="0">
            <wp:extent cx="5756910" cy="2822575"/>
            <wp:effectExtent l="0" t="0" r="0" b="0"/>
            <wp:docPr id="13" name="图片 13" descr="descript"/>
            <wp:cNvGraphicFramePr/>
            <a:graphic xmlns:a="http://schemas.openxmlformats.org/drawingml/2006/main">
              <a:graphicData uri="http://schemas.openxmlformats.org/drawingml/2006/picture">
                <pic:pic xmlns:pic="http://schemas.openxmlformats.org/drawingml/2006/picture">
                  <pic:nvPicPr>
                    <pic:cNvPr id="13" name="图片 13" descr="descript"/>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56910" cy="2822575"/>
                    </a:xfrm>
                    <a:prstGeom prst="rect">
                      <a:avLst/>
                    </a:prstGeom>
                    <a:noFill/>
                    <a:ln>
                      <a:noFill/>
                    </a:ln>
                    <a:effectLst/>
                  </pic:spPr>
                </pic:pic>
              </a:graphicData>
            </a:graphic>
          </wp:inline>
        </w:drawing>
      </w:r>
    </w:p>
    <w:p w14:paraId="686C9E49">
      <w:pPr>
        <w:pStyle w:val="2"/>
        <w:rPr>
          <w:rFonts w:hint="eastAsia"/>
        </w:rPr>
      </w:pPr>
    </w:p>
    <w:p w14:paraId="61352AD7">
      <w:pPr>
        <w:pStyle w:val="2"/>
        <w:rPr>
          <w:rFonts w:hint="eastAsia"/>
        </w:rPr>
      </w:pPr>
    </w:p>
    <w:p w14:paraId="5D1FC2D4">
      <w:pPr>
        <w:pStyle w:val="2"/>
        <w:rPr>
          <w:rFonts w:hint="eastAsia"/>
        </w:rPr>
      </w:pPr>
    </w:p>
    <w:p w14:paraId="7FFFAE92">
      <w:pPr>
        <w:pStyle w:val="2"/>
        <w:rPr>
          <w:rFonts w:hint="eastAsia"/>
        </w:rPr>
      </w:pPr>
    </w:p>
    <w:p w14:paraId="6F7E8806">
      <w:pPr>
        <w:pStyle w:val="2"/>
        <w:rPr>
          <w:rFonts w:hint="eastAsia"/>
        </w:rPr>
      </w:pPr>
    </w:p>
    <w:p w14:paraId="10EAFFF3">
      <w:pPr>
        <w:pStyle w:val="2"/>
        <w:rPr>
          <w:rFonts w:hint="eastAsia"/>
        </w:rPr>
      </w:pPr>
    </w:p>
    <w:p w14:paraId="7585782C">
      <w:pPr>
        <w:pStyle w:val="2"/>
        <w:rPr>
          <w:rFonts w:hint="eastAsia"/>
        </w:rPr>
      </w:pPr>
    </w:p>
    <w:p w14:paraId="1C9A10D6">
      <w:pPr>
        <w:pStyle w:val="2"/>
      </w:pPr>
      <w:r>
        <w:rPr>
          <w:rFonts w:hint="eastAsia"/>
        </w:rPr>
        <w:t>第二章</w:t>
      </w:r>
      <w:r>
        <w:t xml:space="preserve"> </w:t>
      </w:r>
      <w:r>
        <w:rPr>
          <w:rFonts w:hint="eastAsia"/>
        </w:rPr>
        <w:t>投标人须知</w:t>
      </w:r>
      <w:bookmarkEnd w:id="4"/>
      <w:bookmarkEnd w:id="5"/>
    </w:p>
    <w:p w14:paraId="5230B8C2">
      <w:pPr>
        <w:pStyle w:val="3"/>
        <w:spacing w:before="156"/>
      </w:pPr>
      <w:bookmarkStart w:id="15" w:name="_Toc14341836"/>
      <w:bookmarkStart w:id="16" w:name="_Toc146698122"/>
      <w:bookmarkStart w:id="17" w:name="_Toc32482"/>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ascii="宋体" w:cs="宋体"/>
                <w:b w:val="0"/>
                <w:bCs/>
                <w:kern w:val="0"/>
                <w:lang w:bidi="en-US"/>
              </w:rPr>
              <w:t>济宁商用车公司涂装过程保证能力提升技改项目</w:t>
            </w:r>
            <w:r>
              <w:rPr>
                <w:rFonts w:hint="eastAsia" w:ascii="宋体" w:cs="宋体"/>
                <w:b w:val="0"/>
                <w:bCs/>
                <w:kern w:val="0"/>
                <w:u w:val="none"/>
                <w:lang w:bidi="en-US"/>
              </w:rPr>
              <w:t>（</w:t>
            </w:r>
            <w:r>
              <w:rPr>
                <w:rFonts w:hint="eastAsia" w:ascii="宋体" w:cs="宋体"/>
                <w:b w:val="0"/>
                <w:bCs/>
                <w:kern w:val="0"/>
                <w:sz w:val="24"/>
                <w:u w:val="none"/>
                <w:lang w:bidi="en-US"/>
              </w:rPr>
              <w:t>色差仪</w:t>
            </w:r>
            <w:r>
              <w:rPr>
                <w:rFonts w:hint="eastAsia" w:ascii="宋体" w:cs="宋体"/>
                <w:b w:val="0"/>
                <w:bCs/>
                <w:kern w:val="0"/>
                <w:u w:val="none"/>
                <w:lang w:bidi="en-US"/>
              </w:rPr>
              <w:t>）</w:t>
            </w:r>
          </w:p>
          <w:p w14:paraId="6891734C">
            <w:pPr>
              <w:spacing w:line="312" w:lineRule="auto"/>
              <w:rPr>
                <w:rFonts w:hint="default"/>
                <w:bCs/>
                <w:sz w:val="24"/>
                <w:lang w:val="en-US"/>
              </w:rPr>
            </w:pPr>
            <w:r>
              <w:rPr>
                <w:b/>
                <w:sz w:val="24"/>
              </w:rPr>
              <w:t>1.2项目编号：</w:t>
            </w:r>
            <w:r>
              <w:rPr>
                <w:rFonts w:hint="eastAsia" w:ascii="宋体" w:cs="宋体"/>
                <w:b w:val="0"/>
                <w:bCs/>
                <w:kern w:val="0"/>
                <w:sz w:val="24"/>
                <w:szCs w:val="24"/>
                <w:lang w:val="en-US" w:eastAsia="zh-CN" w:bidi="en-US"/>
              </w:rPr>
              <w:t xml:space="preserve">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u w:val="single"/>
                <w:lang w:val="en-US" w:eastAsia="zh-CN"/>
              </w:rPr>
              <w:t>60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068E83A5">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 xml:space="preserve"> </w:t>
            </w:r>
            <w:r>
              <w:rPr>
                <w:rFonts w:hint="eastAsia" w:ascii="宋体" w:hAnsi="宋体" w:cs="宋体"/>
                <w:sz w:val="24"/>
                <w:u w:val="single"/>
                <w:lang w:val="en-US" w:eastAsia="zh-CN"/>
              </w:rPr>
              <w:t>8</w:t>
            </w:r>
            <w:r>
              <w:rPr>
                <w:rFonts w:hint="eastAsia" w:ascii="宋体" w:hAnsi="宋体" w:cs="宋体"/>
                <w:sz w:val="24"/>
                <w:u w:val="single"/>
              </w:rPr>
              <w:t xml:space="preserve">0 </w:t>
            </w:r>
            <w:r>
              <w:rPr>
                <w:rFonts w:hint="eastAsia" w:ascii="宋体" w:hAnsi="宋体" w:cs="宋体"/>
                <w:sz w:val="24"/>
              </w:rPr>
              <w:t>%的收据及合同全额</w:t>
            </w:r>
            <w:r>
              <w:rPr>
                <w:rFonts w:hint="eastAsia" w:ascii="宋体" w:hAnsi="宋体" w:cs="宋体"/>
                <w:sz w:val="24"/>
                <w:u w:val="single"/>
                <w:lang w:val="en-US" w:eastAsia="zh-CN"/>
              </w:rPr>
              <w:t>10</w:t>
            </w:r>
            <w:r>
              <w:rPr>
                <w:rFonts w:hint="eastAsia" w:ascii="宋体" w:hAnsi="宋体" w:cs="宋体"/>
                <w:sz w:val="24"/>
                <w:u w:val="single"/>
              </w:rPr>
              <w:t>0 %</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6448DE41">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lang w:val="en-US" w:eastAsia="zh-CN"/>
              </w:rPr>
              <w:t>2</w:t>
            </w:r>
            <w:r>
              <w:rPr>
                <w:rFonts w:hint="eastAsia" w:ascii="宋体" w:hAnsi="宋体" w:cs="宋体"/>
                <w:sz w:val="24"/>
                <w:u w:val="single"/>
              </w:rPr>
              <w:t>0%</w:t>
            </w:r>
            <w:r>
              <w:rPr>
                <w:rFonts w:hint="eastAsia" w:ascii="宋体" w:hAnsi="宋体" w:cs="宋体"/>
                <w:sz w:val="24"/>
              </w:rPr>
              <w:t>作为本合同约定设备的质量保证金，质量保证金在质量保证期内不计利息。待每套合同设备质量保证期满后，卖方向买方提交金额为合同价款</w:t>
            </w:r>
            <w:r>
              <w:rPr>
                <w:rFonts w:hint="eastAsia" w:ascii="宋体" w:hAnsi="宋体" w:cs="宋体"/>
                <w:sz w:val="24"/>
                <w:lang w:val="en-US" w:eastAsia="zh-CN"/>
              </w:rPr>
              <w:t>2</w:t>
            </w:r>
            <w:r>
              <w:rPr>
                <w:rFonts w:hint="eastAsia" w:ascii="宋体" w:hAnsi="宋体" w:cs="宋体"/>
                <w:sz w:val="24"/>
              </w:rPr>
              <w:t>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2</w:t>
            </w:r>
            <w:r>
              <w:rPr>
                <w:rFonts w:hint="eastAsia" w:ascii="宋体" w:cs="宋体"/>
                <w:sz w:val="24"/>
                <w:highlight w:val="none"/>
              </w:rPr>
              <w:t>月</w:t>
            </w:r>
            <w:r>
              <w:rPr>
                <w:rFonts w:hint="eastAsia" w:ascii="宋体" w:cs="宋体"/>
                <w:sz w:val="24"/>
                <w:highlight w:val="none"/>
                <w:u w:val="single"/>
                <w:lang w:val="en-US" w:eastAsia="zh-CN"/>
              </w:rPr>
              <w:t>25</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2</w:t>
            </w:r>
            <w:r>
              <w:rPr>
                <w:rFonts w:hint="eastAsia" w:ascii="宋体" w:cs="宋体"/>
                <w:sz w:val="24"/>
                <w:highlight w:val="none"/>
              </w:rPr>
              <w:t>月</w:t>
            </w:r>
            <w:r>
              <w:rPr>
                <w:rFonts w:hint="eastAsia" w:ascii="宋体" w:cs="宋体"/>
                <w:sz w:val="24"/>
                <w:highlight w:val="none"/>
                <w:u w:val="single"/>
                <w:lang w:val="en-US" w:eastAsia="zh-CN"/>
              </w:rPr>
              <w:t>25</w:t>
            </w:r>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1"/>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2"/>
              <w:rPr>
                <w:rFonts w:cs="宋体"/>
                <w:sz w:val="24"/>
                <w:highlight w:val="none"/>
              </w:rPr>
            </w:pPr>
            <w:r>
              <w:rPr>
                <w:rFonts w:hint="eastAsia" w:cs="宋体"/>
                <w:sz w:val="24"/>
                <w:highlight w:val="none"/>
              </w:rPr>
              <w:t>纸质版投标文件份数：</w:t>
            </w:r>
            <w:r>
              <w:rPr>
                <w:rFonts w:hint="eastAsia" w:ascii="宋体"/>
                <w:sz w:val="24"/>
                <w:highlight w:val="none"/>
              </w:rPr>
              <w:t>共三个包封</w:t>
            </w:r>
          </w:p>
          <w:p w14:paraId="05560C4F">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1"/>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1"/>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1"/>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1"/>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1"/>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1"/>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2</w:t>
            </w:r>
            <w:r>
              <w:rPr>
                <w:rFonts w:hint="eastAsia" w:ascii="宋体" w:cs="宋体"/>
                <w:b/>
                <w:bCs/>
                <w:sz w:val="24"/>
                <w:u w:val="single"/>
              </w:rPr>
              <w:t>月</w:t>
            </w:r>
            <w:r>
              <w:rPr>
                <w:rFonts w:hint="eastAsia" w:ascii="宋体" w:cs="宋体"/>
                <w:b/>
                <w:bCs/>
                <w:sz w:val="24"/>
                <w:u w:val="single"/>
                <w:lang w:val="en-US" w:eastAsia="zh-CN"/>
              </w:rPr>
              <w:t>26</w:t>
            </w:r>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2</w:t>
            </w:r>
            <w:r>
              <w:rPr>
                <w:rFonts w:hint="eastAsia" w:ascii="宋体" w:cs="宋体"/>
                <w:b/>
                <w:bCs/>
                <w:sz w:val="24"/>
                <w:u w:val="single"/>
              </w:rPr>
              <w:t>月</w:t>
            </w:r>
            <w:r>
              <w:rPr>
                <w:rFonts w:hint="eastAsia" w:ascii="宋体" w:cs="宋体"/>
                <w:b/>
                <w:bCs/>
                <w:sz w:val="24"/>
                <w:u w:val="single"/>
                <w:lang w:val="en-US" w:eastAsia="zh-CN"/>
              </w:rPr>
              <w:t>28</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2</w:t>
            </w:r>
            <w:r>
              <w:rPr>
                <w:rFonts w:hint="eastAsia" w:ascii="宋体" w:cs="宋体"/>
                <w:b/>
                <w:bCs/>
                <w:sz w:val="24"/>
                <w:u w:val="single"/>
              </w:rPr>
              <w:t>月</w:t>
            </w:r>
            <w:r>
              <w:rPr>
                <w:rFonts w:hint="eastAsia" w:ascii="宋体" w:cs="宋体"/>
                <w:b/>
                <w:bCs/>
                <w:sz w:val="24"/>
                <w:u w:val="single"/>
                <w:lang w:val="en-US" w:eastAsia="zh-CN"/>
              </w:rPr>
              <w:t>28</w:t>
            </w:r>
            <w:r>
              <w:rPr>
                <w:rFonts w:hint="eastAsia" w:ascii="宋体" w:cs="宋体"/>
                <w:b/>
                <w:bCs/>
                <w:sz w:val="24"/>
                <w:u w:val="single"/>
              </w:rPr>
              <w:t>日</w:t>
            </w:r>
            <w:r>
              <w:rPr>
                <w:rFonts w:hint="eastAsia" w:ascii="宋体" w:cs="宋体"/>
                <w:b/>
                <w:bCs/>
                <w:sz w:val="24"/>
                <w:u w:val="single"/>
                <w:lang w:val="en-US" w:eastAsia="zh-CN"/>
              </w:rPr>
              <w:t>9：30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若投标方无法到达现场，需提前告知招标方，经招标方允许后通过视频会议等形式线上招标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2</w:t>
            </w:r>
            <w:r>
              <w:rPr>
                <w:rFonts w:hint="eastAsia" w:ascii="宋体" w:cs="宋体"/>
                <w:b/>
                <w:bCs/>
                <w:sz w:val="24"/>
                <w:u w:val="single"/>
              </w:rPr>
              <w:t>月</w:t>
            </w:r>
            <w:r>
              <w:rPr>
                <w:rFonts w:hint="eastAsia" w:ascii="宋体" w:cs="宋体"/>
                <w:b/>
                <w:bCs/>
                <w:sz w:val="24"/>
                <w:u w:val="single"/>
                <w:lang w:val="en-US" w:eastAsia="zh-CN"/>
              </w:rPr>
              <w:t>27</w:t>
            </w:r>
            <w:r>
              <w:rPr>
                <w:rFonts w:hint="eastAsia" w:ascii="宋体" w:cs="宋体"/>
                <w:b/>
                <w:bCs/>
                <w:sz w:val="24"/>
                <w:u w:val="single"/>
              </w:rPr>
              <w:t>日</w:t>
            </w:r>
            <w:r>
              <w:rPr>
                <w:rFonts w:hint="eastAsia" w:ascii="宋体" w:cs="宋体"/>
                <w:b/>
                <w:bCs/>
                <w:sz w:val="24"/>
                <w:u w:val="single"/>
                <w:lang w:val="en-US" w:eastAsia="zh-CN"/>
              </w:rPr>
              <w:t>18：00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198D2671">
            <w:pPr>
              <w:widowControl/>
              <w:spacing w:line="312" w:lineRule="auto"/>
              <w:jc w:val="left"/>
              <w:rPr>
                <w:rFonts w:hint="default" w:ascii="宋体" w:eastAsia="宋体" w:cs="宋体"/>
                <w:kern w:val="0"/>
                <w:sz w:val="24"/>
                <w:highlight w:val="none"/>
                <w:lang w:val="en-US" w:eastAsia="zh-CN"/>
              </w:rPr>
            </w:pPr>
            <w:r>
              <w:rPr>
                <w:rFonts w:hint="eastAsia" w:ascii="宋体" w:cs="宋体"/>
                <w:kern w:val="0"/>
                <w:sz w:val="24"/>
                <w:highlight w:val="none"/>
              </w:rPr>
              <w:t>技术联系人：</w:t>
            </w:r>
            <w:r>
              <w:rPr>
                <w:rFonts w:hint="eastAsia" w:ascii="宋体" w:cs="宋体"/>
                <w:kern w:val="0"/>
                <w:sz w:val="24"/>
                <w:highlight w:val="none"/>
                <w:lang w:val="en-US" w:eastAsia="zh-CN"/>
              </w:rPr>
              <w:t>郏书党</w:t>
            </w:r>
          </w:p>
          <w:p w14:paraId="0509CC82">
            <w:pPr>
              <w:widowControl/>
              <w:spacing w:line="312" w:lineRule="auto"/>
              <w:jc w:val="left"/>
              <w:rPr>
                <w:rFonts w:ascii="宋体" w:cs="宋体"/>
                <w:kern w:val="0"/>
                <w:sz w:val="24"/>
                <w:highlight w:val="none"/>
              </w:rPr>
            </w:pPr>
            <w:r>
              <w:rPr>
                <w:rFonts w:hint="eastAsia" w:ascii="宋体" w:cs="宋体"/>
                <w:kern w:val="0"/>
                <w:sz w:val="24"/>
                <w:highlight w:val="none"/>
              </w:rPr>
              <w:t>电话：15895952960</w:t>
            </w:r>
          </w:p>
          <w:p w14:paraId="6781EE3B">
            <w:pPr>
              <w:spacing w:line="312" w:lineRule="auto"/>
              <w:rPr>
                <w:rFonts w:ascii="宋体" w:cs="宋体"/>
                <w:sz w:val="24"/>
              </w:rPr>
            </w:pPr>
            <w:r>
              <w:rPr>
                <w:rFonts w:hint="eastAsia" w:ascii="宋体" w:cs="宋体"/>
                <w:kern w:val="0"/>
                <w:sz w:val="24"/>
                <w:highlight w:val="none"/>
              </w:rPr>
              <w:t>电子邮件：jiashudang@sinotruk.com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3"/>
        <w:spacing w:before="156"/>
        <w:rPr>
          <w:rFonts w:cs="宋体"/>
        </w:rPr>
      </w:pPr>
      <w:bookmarkStart w:id="19" w:name="_Toc345336300"/>
      <w:bookmarkStart w:id="20" w:name="_Toc22025"/>
      <w:bookmarkStart w:id="21" w:name="_Toc11624"/>
      <w:bookmarkStart w:id="22" w:name="_Toc31044"/>
      <w:bookmarkStart w:id="23" w:name="_Toc12285"/>
      <w:bookmarkStart w:id="24" w:name="_Toc146698123"/>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46306733"/>
      <w:bookmarkStart w:id="28" w:name="_Toc346372880"/>
      <w:bookmarkStart w:id="29" w:name="_Toc352332854"/>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3"/>
        <w:spacing w:before="156"/>
      </w:pPr>
      <w:bookmarkStart w:id="30" w:name="_Toc16465"/>
      <w:bookmarkStart w:id="31" w:name="_Toc146698124"/>
      <w:bookmarkStart w:id="32" w:name="_Toc27707"/>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06A5BB24">
      <w:pPr>
        <w:spacing w:line="360" w:lineRule="auto"/>
        <w:ind w:firstLine="480" w:firstLineChars="200"/>
        <w:rPr>
          <w:rFonts w:hint="eastAsia" w:ascii="宋体"/>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3"/>
        <w:spacing w:before="156"/>
      </w:pPr>
      <w:bookmarkStart w:id="33" w:name="_Toc21963"/>
      <w:bookmarkStart w:id="34" w:name="_Toc146698125"/>
      <w:bookmarkStart w:id="35" w:name="_Toc26307"/>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5"/>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5"/>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2</w:t>
      </w: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60B2AD51">
      <w:pPr>
        <w:pStyle w:val="43"/>
        <w:numPr>
          <w:ilvl w:val="2"/>
          <w:numId w:val="5"/>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6"/>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6"/>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7"/>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7"/>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7"/>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8"/>
        </w:numPr>
        <w:spacing w:line="360" w:lineRule="auto"/>
        <w:ind w:left="0" w:firstLine="480"/>
        <w:rPr>
          <w:rStyle w:val="42"/>
        </w:rPr>
      </w:pPr>
      <w:r>
        <w:rPr>
          <w:rStyle w:val="42"/>
          <w:rFonts w:hint="eastAsia" w:ascii="宋体"/>
          <w:sz w:val="24"/>
        </w:rPr>
        <w:t>投标人在递交投标文件的同时，应按投标人须知前附表第1</w:t>
      </w:r>
      <w:r>
        <w:rPr>
          <w:rStyle w:val="42"/>
          <w:rFonts w:ascii="宋体"/>
          <w:sz w:val="24"/>
        </w:rPr>
        <w:t>0</w:t>
      </w:r>
      <w:r>
        <w:rPr>
          <w:rStyle w:val="42"/>
          <w:rFonts w:hint="eastAsia" w:ascii="宋体"/>
          <w:sz w:val="24"/>
        </w:rPr>
        <w:t>项规定的金额和形式递交投标保证金，并作为其投标文件的组成部分。未按本招标文件规定提交投标保证金的，按无效投标处理。</w:t>
      </w:r>
    </w:p>
    <w:p w14:paraId="5473A2BB">
      <w:pPr>
        <w:pStyle w:val="43"/>
        <w:numPr>
          <w:ilvl w:val="0"/>
          <w:numId w:val="8"/>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8"/>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9"/>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9"/>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9"/>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9"/>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9"/>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9"/>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9"/>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9"/>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9"/>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9"/>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9"/>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3"/>
        <w:spacing w:before="156"/>
      </w:pPr>
      <w:bookmarkStart w:id="37" w:name="_Toc20367"/>
      <w:bookmarkStart w:id="38" w:name="_Toc4014"/>
      <w:bookmarkStart w:id="39" w:name="_Toc146698126"/>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52332871"/>
      <w:bookmarkStart w:id="41" w:name="_Toc346306750"/>
      <w:bookmarkStart w:id="42" w:name="_Toc346372897"/>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54260677">
      <w:pPr>
        <w:pStyle w:val="3"/>
        <w:spacing w:before="156"/>
      </w:pPr>
      <w:bookmarkStart w:id="43" w:name="_Toc1085"/>
      <w:bookmarkStart w:id="44" w:name="_Toc146698127"/>
      <w:bookmarkStart w:id="45" w:name="_Toc6510"/>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bookmarkStart w:id="46" w:name="_Toc22902"/>
      <w:bookmarkStart w:id="47" w:name="_Toc21105"/>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1"/>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1"/>
        <w:numPr>
          <w:ilvl w:val="0"/>
          <w:numId w:val="10"/>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0"/>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1"/>
        <w:numPr>
          <w:ilvl w:val="0"/>
          <w:numId w:val="10"/>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1"/>
        <w:numPr>
          <w:ilvl w:val="0"/>
          <w:numId w:val="10"/>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1"/>
        <w:numPr>
          <w:ilvl w:val="0"/>
          <w:numId w:val="10"/>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1"/>
        <w:numPr>
          <w:ilvl w:val="0"/>
          <w:numId w:val="10"/>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1"/>
        <w:numPr>
          <w:ilvl w:val="0"/>
          <w:numId w:val="10"/>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1"/>
        <w:numPr>
          <w:ilvl w:val="0"/>
          <w:numId w:val="10"/>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1"/>
        <w:numPr>
          <w:ilvl w:val="0"/>
          <w:numId w:val="10"/>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1"/>
        <w:numPr>
          <w:ilvl w:val="0"/>
          <w:numId w:val="10"/>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1"/>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1"/>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1"/>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1"/>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212369528"/>
      <w:bookmarkStart w:id="50" w:name="_Toc926781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1"/>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1"/>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1"/>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1"/>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1"/>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2" w:name="_Toc19543"/>
      <w:bookmarkStart w:id="53" w:name="_Toc18108"/>
      <w:bookmarkStart w:id="54" w:name="_Toc14669812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1"/>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1"/>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5" w:name="_Toc7525"/>
      <w:bookmarkStart w:id="56" w:name="_Toc5892"/>
      <w:bookmarkStart w:id="57" w:name="_Toc146698129"/>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3"/>
        <w:spacing w:before="156"/>
      </w:pPr>
      <w:bookmarkStart w:id="59" w:name="_Toc29377"/>
      <w:bookmarkStart w:id="60" w:name="_Toc14341844"/>
      <w:bookmarkStart w:id="61" w:name="_Toc146698130"/>
      <w:r>
        <w:rPr>
          <w:rFonts w:hint="eastAsia"/>
        </w:rPr>
        <w:t>八、解释权</w:t>
      </w:r>
      <w:bookmarkEnd w:id="59"/>
      <w:bookmarkEnd w:id="60"/>
      <w:bookmarkEnd w:id="61"/>
    </w:p>
    <w:p w14:paraId="11A15F1F">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2" w:name="_Toc14341845"/>
      <w:bookmarkStart w:id="63" w:name="_Toc146698131"/>
      <w:bookmarkStart w:id="64" w:name="_Toc14906"/>
      <w:r>
        <w:rPr>
          <w:rFonts w:hint="eastAsia"/>
        </w:rPr>
        <w:t>九、</w:t>
      </w:r>
      <w:bookmarkEnd w:id="62"/>
      <w:r>
        <w:rPr>
          <w:rFonts w:hint="eastAsia"/>
        </w:rPr>
        <w:t>中标人瑕疵滞后发现的处理原则</w:t>
      </w:r>
      <w:bookmarkEnd w:id="63"/>
      <w:bookmarkEnd w:id="64"/>
    </w:p>
    <w:p w14:paraId="62F05534">
      <w:pPr>
        <w:pStyle w:val="11"/>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numPr>
          <w:ilvl w:val="0"/>
          <w:numId w:val="11"/>
        </w:numPr>
      </w:pPr>
      <w:r>
        <w:rPr>
          <w:rFonts w:hint="eastAsia"/>
        </w:rPr>
        <w:t>评分方法及标准</w:t>
      </w:r>
      <w:bookmarkEnd w:id="46"/>
      <w:bookmarkEnd w:id="47"/>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7560C918">
      <w:pPr>
        <w:widowControl/>
        <w:jc w:val="left"/>
        <w:rPr>
          <w:rFonts w:hint="eastAsia" w:ascii="宋体" w:hAnsi="宋体"/>
          <w:b/>
          <w:bCs/>
          <w:sz w:val="24"/>
        </w:rPr>
      </w:pPr>
      <w:r>
        <w:rPr>
          <w:rFonts w:hint="eastAsia" w:ascii="宋体" w:hAnsi="宋体"/>
          <w:b/>
          <w:bCs/>
          <w:sz w:val="24"/>
        </w:rPr>
        <w:br w:type="page"/>
      </w:r>
    </w:p>
    <w:p w14:paraId="05D43895">
      <w:pPr>
        <w:spacing w:line="360" w:lineRule="auto"/>
        <w:ind w:firstLine="482" w:firstLineChars="200"/>
        <w:rPr>
          <w:rFonts w:hint="eastAsia" w:ascii="宋体" w:hAnsi="宋体"/>
          <w:b/>
          <w:bCs/>
          <w:sz w:val="24"/>
        </w:rPr>
      </w:pPr>
    </w:p>
    <w:p w14:paraId="19749E54">
      <w:pPr>
        <w:pStyle w:val="2"/>
      </w:pPr>
      <w:bookmarkStart w:id="65" w:name="_Toc474"/>
      <w:r>
        <w:rPr>
          <w:rStyle w:val="46"/>
          <w:rFonts w:hint="eastAsia"/>
          <w:b/>
          <w:bCs/>
        </w:rPr>
        <w:t>第四章 设备技术标准及要求</w:t>
      </w:r>
      <w:bookmarkEnd w:id="65"/>
    </w:p>
    <w:p w14:paraId="05F2395F">
      <w:pPr>
        <w:spacing w:line="360" w:lineRule="auto"/>
        <w:rPr>
          <w:rFonts w:hint="eastAsia" w:ascii="宋体" w:hAnsi="宋体"/>
          <w:b/>
          <w:bCs/>
          <w:spacing w:val="4"/>
          <w:sz w:val="24"/>
        </w:rPr>
      </w:pPr>
      <w:r>
        <w:rPr>
          <w:rFonts w:hint="eastAsia" w:ascii="宋体" w:hAnsi="宋体"/>
          <w:b/>
          <w:bCs/>
          <w:spacing w:val="4"/>
          <w:sz w:val="24"/>
        </w:rPr>
        <w:t>1、特别提示</w:t>
      </w:r>
    </w:p>
    <w:p w14:paraId="279075F0">
      <w:pPr>
        <w:spacing w:line="360" w:lineRule="auto"/>
        <w:ind w:left="124" w:leftChars="59" w:firstLine="500" w:firstLineChars="202"/>
        <w:rPr>
          <w:rFonts w:hint="eastAsia" w:ascii="宋体" w:hAnsi="宋体"/>
          <w:spacing w:val="4"/>
          <w:sz w:val="24"/>
        </w:rPr>
      </w:pPr>
      <w:r>
        <w:rPr>
          <w:rFonts w:hint="eastAsia" w:ascii="宋体" w:hAnsi="宋体"/>
          <w:spacing w:val="4"/>
          <w:sz w:val="24"/>
        </w:rPr>
        <w:t>1.1 本技术要求，仅对功能、设计、结构、性能、安装和试验检验等方面，提出了最低和一般性的技术要求，并未对一切技术细节作出规定。</w:t>
      </w:r>
    </w:p>
    <w:p w14:paraId="4EBB53C1">
      <w:pPr>
        <w:spacing w:line="360" w:lineRule="auto"/>
        <w:ind w:left="124" w:leftChars="59" w:firstLine="500" w:firstLineChars="202"/>
        <w:rPr>
          <w:rFonts w:hint="eastAsia" w:ascii="宋体" w:hAnsi="宋体"/>
          <w:spacing w:val="4"/>
          <w:sz w:val="24"/>
        </w:rPr>
      </w:pPr>
      <w:r>
        <w:rPr>
          <w:rFonts w:hint="eastAsia" w:ascii="宋体" w:hAnsi="宋体"/>
          <w:spacing w:val="4"/>
          <w:sz w:val="24"/>
        </w:rPr>
        <w:t>1.2 本技术要求所使用的标准、规范等，如与投标方所执行的标准、规范不一致时，应按高于本技术要求所列的标准、规范执行。</w:t>
      </w:r>
    </w:p>
    <w:p w14:paraId="1313563B">
      <w:pPr>
        <w:spacing w:line="360" w:lineRule="auto"/>
        <w:ind w:left="124" w:leftChars="59" w:firstLine="500" w:firstLineChars="202"/>
        <w:rPr>
          <w:rFonts w:hint="eastAsia" w:ascii="宋体" w:hAnsi="宋体"/>
          <w:spacing w:val="4"/>
          <w:sz w:val="24"/>
        </w:rPr>
      </w:pPr>
      <w:r>
        <w:rPr>
          <w:rFonts w:hint="eastAsia" w:ascii="宋体" w:hAnsi="宋体"/>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2A9B3942">
      <w:pPr>
        <w:spacing w:line="360" w:lineRule="auto"/>
        <w:ind w:left="124" w:leftChars="59" w:firstLine="500" w:firstLineChars="202"/>
        <w:rPr>
          <w:rFonts w:hint="eastAsia" w:ascii="宋体" w:hAnsi="宋体"/>
          <w:spacing w:val="4"/>
          <w:sz w:val="24"/>
        </w:rPr>
      </w:pPr>
      <w:r>
        <w:rPr>
          <w:rFonts w:hint="eastAsia" w:ascii="宋体" w:hAnsi="宋体"/>
          <w:spacing w:val="4"/>
          <w:sz w:val="24"/>
        </w:rPr>
        <w:t>1.5 无论是否有技术偏离，投标方均应在投标文件“技术偏离”中明确作出有无说明。若有异议，不管是多么微小，投标方必须予以明确和详细的说明或澄清。</w:t>
      </w:r>
    </w:p>
    <w:p w14:paraId="2F114C6E">
      <w:pPr>
        <w:spacing w:line="360" w:lineRule="auto"/>
        <w:ind w:left="124" w:leftChars="59" w:firstLine="500" w:firstLineChars="202"/>
        <w:rPr>
          <w:rFonts w:hint="eastAsia" w:ascii="宋体" w:hAnsi="宋体"/>
          <w:spacing w:val="4"/>
          <w:sz w:val="24"/>
        </w:rPr>
      </w:pPr>
      <w:r>
        <w:rPr>
          <w:rFonts w:hint="eastAsia" w:ascii="宋体" w:hAnsi="宋体"/>
          <w:spacing w:val="4"/>
          <w:sz w:val="24"/>
        </w:rPr>
        <w:t>1.6 为避免在招标评审时漏项，质保期超出本技术标书要求的，应当在投标文件“技术偏离”中特别注明。</w:t>
      </w:r>
    </w:p>
    <w:p w14:paraId="2F7DD4C2">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1.7</w:t>
      </w:r>
      <w:r>
        <w:rPr>
          <w:rFonts w:hint="eastAsia" w:ascii="宋体" w:hAnsi="宋体" w:eastAsia="宋体" w:cs="宋体"/>
          <w:b w:val="0"/>
          <w:bCs w:val="0"/>
          <w:sz w:val="24"/>
          <w:szCs w:val="24"/>
          <w:highlight w:val="none"/>
        </w:rPr>
        <w:t>程序图纸要求</w:t>
      </w:r>
    </w:p>
    <w:p w14:paraId="454388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7.1 供方必须提供所有设备程序的源代码，包括但不限于 PLC程序、HMI 程序、机器人程序、视觉程序、伺服等。</w:t>
      </w:r>
    </w:p>
    <w:p w14:paraId="3768D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7.2 供方所提供的程序不得设置任何密码、保护等限制手段，PLC 不得设置修改下载权限，功能块不得设置密码保护。</w:t>
      </w:r>
    </w:p>
    <w:p w14:paraId="41760C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7.3 HMI 界面等需要密码保护的程序，供方必须提供所有级别的用户名、密码。</w:t>
      </w:r>
    </w:p>
    <w:p w14:paraId="69FA7B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7.4 供方需在设备入场前提供设备程序源码，HMI 界面各级用户名和密码，并保证与现场程序一致。</w:t>
      </w:r>
    </w:p>
    <w:p w14:paraId="1D5C0D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7.5 供方需在终验收前提供最新的设备程序源码和电气图纸，图纸要求为可编辑原格式（EPLAN、CAD 格式）且与实际接线一致。</w:t>
      </w:r>
    </w:p>
    <w:p w14:paraId="4EB252F9">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w:t>
      </w:r>
      <w:r>
        <w:rPr>
          <w:rFonts w:hint="eastAsia" w:ascii="宋体" w:hAnsi="宋体" w:eastAsia="宋体" w:cs="宋体"/>
          <w:b w:val="0"/>
          <w:bCs w:val="0"/>
          <w:sz w:val="24"/>
          <w:szCs w:val="24"/>
          <w:highlight w:val="none"/>
        </w:rPr>
        <w:t>8接口协议要求</w:t>
      </w:r>
    </w:p>
    <w:p w14:paraId="787FFC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8.1 供方免费开放所有通讯接口，包括但不限于以太网、</w:t>
      </w:r>
    </w:p>
    <w:p w14:paraId="4CF6D84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RS232、RS485、PROFIBUS、PROFINET、MODBUS 等常见接口，以及设备特有的专用接口。</w:t>
      </w:r>
    </w:p>
    <w:p w14:paraId="05A5D33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8.2 供方免费提供数据交互功能，交互数据包括但不限于实时数据、历史数据、报警信息等。</w:t>
      </w:r>
    </w:p>
    <w:p w14:paraId="18EA20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8.3 供方在设备入场前提供接口的技术文档和参数说明，包括但不限于接口协议、通讯速率、数据格式等。</w:t>
      </w:r>
    </w:p>
    <w:p w14:paraId="771800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8.4 设备使用周期内，供方免费派遣技术人员与甲方调试团队共同进行设备通讯接口的调试工作。</w:t>
      </w:r>
    </w:p>
    <w:p w14:paraId="7C022C5D">
      <w:pPr>
        <w:spacing w:line="360" w:lineRule="auto"/>
        <w:ind w:firstLine="496" w:firstLineChars="200"/>
        <w:rPr>
          <w:rFonts w:hint="eastAsia" w:ascii="宋体" w:hAnsi="宋体"/>
          <w:spacing w:val="4"/>
          <w:sz w:val="24"/>
        </w:rPr>
      </w:pPr>
      <w:r>
        <w:rPr>
          <w:rFonts w:hint="eastAsia" w:ascii="宋体" w:hAnsi="宋体"/>
          <w:spacing w:val="4"/>
          <w:sz w:val="24"/>
        </w:rPr>
        <w:t>1.</w:t>
      </w:r>
      <w:r>
        <w:rPr>
          <w:rFonts w:hint="eastAsia" w:ascii="宋体" w:hAnsi="宋体"/>
          <w:spacing w:val="4"/>
          <w:sz w:val="24"/>
          <w:lang w:val="en-US" w:eastAsia="zh-CN"/>
        </w:rPr>
        <w:t>9</w:t>
      </w:r>
      <w:r>
        <w:rPr>
          <w:rFonts w:hint="eastAsia" w:ascii="宋体" w:hAnsi="宋体"/>
          <w:spacing w:val="4"/>
          <w:sz w:val="24"/>
        </w:rPr>
        <w:t xml:space="preserve"> 投标文件中，针对“特别提示”条款所做的回应，将作为投标方能否中标的重要依据之一。</w:t>
      </w:r>
    </w:p>
    <w:p w14:paraId="17EA06F5">
      <w:pPr>
        <w:spacing w:line="360" w:lineRule="auto"/>
        <w:rPr>
          <w:rFonts w:hint="eastAsia" w:ascii="宋体" w:hAnsi="宋体"/>
          <w:b/>
          <w:bCs/>
          <w:spacing w:val="4"/>
          <w:sz w:val="24"/>
        </w:rPr>
      </w:pPr>
      <w:r>
        <w:rPr>
          <w:rFonts w:hint="eastAsia" w:ascii="宋体" w:hAnsi="宋体"/>
          <w:b/>
          <w:bCs/>
          <w:spacing w:val="4"/>
          <w:sz w:val="24"/>
        </w:rPr>
        <w:t>2、基本要求</w:t>
      </w:r>
    </w:p>
    <w:p w14:paraId="270BB96D">
      <w:pPr>
        <w:spacing w:line="360" w:lineRule="auto"/>
        <w:ind w:firstLine="480" w:firstLineChars="200"/>
        <w:rPr>
          <w:rFonts w:hint="eastAsia" w:ascii="宋体" w:hAnsi="宋体" w:cs="宋体"/>
          <w:sz w:val="24"/>
        </w:rPr>
      </w:pPr>
      <w:r>
        <w:rPr>
          <w:rFonts w:hint="eastAsia" w:ascii="宋体" w:hAnsi="宋体" w:cs="宋体"/>
          <w:sz w:val="24"/>
        </w:rPr>
        <w:t>2.1投标人所供设备（或材料），必须符合中国最新版的法律、法规和相关标准、规范的要求，符合项目所在地政府有关特殊要求；</w:t>
      </w:r>
    </w:p>
    <w:p w14:paraId="31EAF60B">
      <w:pPr>
        <w:spacing w:line="360" w:lineRule="auto"/>
        <w:ind w:firstLine="480" w:firstLineChars="200"/>
        <w:rPr>
          <w:rFonts w:hint="eastAsia" w:ascii="宋体" w:hAnsi="宋体" w:cs="宋体"/>
          <w:sz w:val="24"/>
        </w:rPr>
      </w:pPr>
      <w:r>
        <w:rPr>
          <w:rFonts w:hint="eastAsia" w:ascii="宋体" w:hAnsi="宋体" w:cs="宋体"/>
          <w:sz w:val="24"/>
        </w:rPr>
        <w:t>2.2投标人应对招标人提出的各项技术要求同意进行技术（担保）承诺，并保证招标人不因此受到任何侵权指控和实际损失：</w:t>
      </w:r>
    </w:p>
    <w:p w14:paraId="2CDB3726">
      <w:pPr>
        <w:spacing w:line="360" w:lineRule="auto"/>
        <w:ind w:firstLine="480" w:firstLineChars="200"/>
        <w:rPr>
          <w:rFonts w:hint="eastAsia" w:ascii="宋体" w:hAnsi="宋体" w:cs="宋体"/>
          <w:sz w:val="24"/>
        </w:rPr>
      </w:pPr>
      <w:r>
        <w:rPr>
          <w:rFonts w:hint="eastAsia" w:ascii="宋体" w:hAnsi="宋体" w:cs="宋体"/>
          <w:sz w:val="24"/>
        </w:rPr>
        <w:t>2.3投标人应保证所供设备（或材料）的先进性、可靠性、经济性和实用性，并为全新设备（或材料）;</w:t>
      </w:r>
    </w:p>
    <w:p w14:paraId="048A36BA">
      <w:pPr>
        <w:spacing w:line="360" w:lineRule="auto"/>
        <w:ind w:firstLine="496" w:firstLineChars="200"/>
        <w:rPr>
          <w:rFonts w:hint="eastAsia" w:ascii="宋体" w:hAnsi="宋体" w:cs="宋体"/>
          <w:bCs/>
          <w:sz w:val="24"/>
        </w:rPr>
      </w:pPr>
      <w:r>
        <w:rPr>
          <w:rFonts w:hint="eastAsia" w:ascii="宋体" w:hAnsi="宋体"/>
          <w:spacing w:val="4"/>
          <w:sz w:val="24"/>
        </w:rPr>
        <w:t>2.4使用环境：</w:t>
      </w:r>
      <w:r>
        <w:rPr>
          <w:rFonts w:hint="eastAsia" w:ascii="宋体" w:hAnsi="宋体" w:cs="宋体"/>
          <w:bCs/>
          <w:sz w:val="24"/>
        </w:rPr>
        <w:t>海拔高度：1000m以下；环境温度：室外极端最低温度-20℃、极端最高温度45℃，昼夜最大温差25℃；室内温度5～42℃；相对湿度：年平均59%，最大95%、最小15%；地震设防裂度：七度；</w:t>
      </w:r>
      <w:r>
        <w:rPr>
          <w:rFonts w:hint="eastAsia" w:hAnsi="宋体" w:cs="宋体"/>
          <w:bCs/>
          <w:sz w:val="24"/>
        </w:rPr>
        <w:t>给水：市政自来水。</w:t>
      </w:r>
    </w:p>
    <w:p w14:paraId="6FF97F83">
      <w:pPr>
        <w:spacing w:line="360" w:lineRule="auto"/>
        <w:ind w:firstLine="480" w:firstLineChars="200"/>
        <w:rPr>
          <w:rFonts w:hint="eastAsia" w:ascii="宋体" w:hAnsi="宋体"/>
          <w:spacing w:val="4"/>
          <w:sz w:val="24"/>
        </w:rPr>
      </w:pPr>
      <w:r>
        <w:rPr>
          <w:rFonts w:hint="eastAsia" w:ascii="宋体" w:hAnsi="宋体" w:cs="宋体"/>
          <w:bCs/>
          <w:sz w:val="24"/>
        </w:rPr>
        <w:t>2.5现场电力：中国制式，供电电压380V±15%/220V±15%，供电频率50Hz±2%；</w:t>
      </w:r>
    </w:p>
    <w:p w14:paraId="03EA53A4">
      <w:pPr>
        <w:spacing w:line="360" w:lineRule="auto"/>
        <w:ind w:firstLine="496" w:firstLineChars="200"/>
        <w:rPr>
          <w:rFonts w:hint="eastAsia" w:ascii="宋体" w:hAnsi="宋体"/>
          <w:spacing w:val="4"/>
          <w:sz w:val="24"/>
        </w:rPr>
      </w:pPr>
      <w:r>
        <w:rPr>
          <w:rFonts w:hint="eastAsia" w:ascii="宋体" w:hAnsi="宋体"/>
          <w:spacing w:val="4"/>
          <w:sz w:val="24"/>
        </w:rPr>
        <w:t>2.6 投标方所供货物涉及的专利权技术以及知识产权保护的其它技术等，应保证招标方不因此受到任何侵权指控以及实际损失。</w:t>
      </w:r>
    </w:p>
    <w:p w14:paraId="1E2384FE">
      <w:pPr>
        <w:spacing w:line="360" w:lineRule="auto"/>
        <w:ind w:left="124" w:leftChars="59" w:firstLine="500" w:firstLineChars="202"/>
        <w:rPr>
          <w:rFonts w:hint="eastAsia" w:ascii="宋体" w:hAnsi="宋体"/>
          <w:spacing w:val="4"/>
          <w:sz w:val="24"/>
        </w:rPr>
      </w:pPr>
      <w:r>
        <w:rPr>
          <w:rFonts w:hint="eastAsia" w:ascii="宋体" w:hAnsi="宋体"/>
          <w:spacing w:val="4"/>
          <w:sz w:val="24"/>
        </w:rPr>
        <w:t>2.7 投标方应保证所供货物的先进性、可靠性、经济性和实用性，并为全新货物。</w:t>
      </w:r>
    </w:p>
    <w:p w14:paraId="068E09E0">
      <w:pPr>
        <w:spacing w:line="360" w:lineRule="auto"/>
        <w:ind w:left="124" w:leftChars="59" w:firstLine="500" w:firstLineChars="202"/>
        <w:rPr>
          <w:rFonts w:hint="eastAsia" w:ascii="宋体" w:hAnsi="宋体"/>
          <w:spacing w:val="4"/>
          <w:sz w:val="24"/>
        </w:rPr>
      </w:pPr>
      <w:r>
        <w:rPr>
          <w:rFonts w:hint="eastAsia" w:ascii="宋体" w:hAnsi="宋体"/>
          <w:spacing w:val="4"/>
          <w:sz w:val="24"/>
        </w:rPr>
        <w:t>2.8投标方应满足招标方提出的各项技术要求，必要时应当免费提供技术承诺或担保。</w:t>
      </w:r>
    </w:p>
    <w:p w14:paraId="2F3572FF">
      <w:pPr>
        <w:spacing w:line="360" w:lineRule="auto"/>
        <w:ind w:left="124" w:leftChars="59" w:firstLine="500" w:firstLineChars="202"/>
        <w:rPr>
          <w:rFonts w:hint="eastAsia" w:ascii="宋体" w:hAnsi="宋体"/>
          <w:spacing w:val="4"/>
          <w:sz w:val="24"/>
        </w:rPr>
      </w:pPr>
      <w:r>
        <w:rPr>
          <w:rFonts w:hint="eastAsia" w:ascii="宋体" w:hAnsi="宋体"/>
          <w:spacing w:val="4"/>
          <w:sz w:val="24"/>
        </w:rPr>
        <w:t>2.9投标方应保证所供货物为中国公布的非淘汰货物，并为中国指定或规定的主管部门认可的环保型和节能型货物。</w:t>
      </w:r>
    </w:p>
    <w:p w14:paraId="0DF7141C">
      <w:pPr>
        <w:spacing w:line="360" w:lineRule="auto"/>
        <w:ind w:left="124" w:leftChars="59" w:firstLine="500" w:firstLineChars="202"/>
        <w:rPr>
          <w:rFonts w:hint="eastAsia" w:ascii="宋体" w:hAnsi="宋体"/>
          <w:spacing w:val="4"/>
          <w:sz w:val="24"/>
        </w:rPr>
      </w:pPr>
      <w:r>
        <w:rPr>
          <w:rFonts w:hint="eastAsia" w:ascii="宋体" w:hAnsi="宋体"/>
          <w:spacing w:val="4"/>
          <w:sz w:val="24"/>
        </w:rPr>
        <w:t>2.10 投标方应保证所供货物的完整性和成套性，能保证货物的正常运行、使用。</w:t>
      </w:r>
    </w:p>
    <w:p w14:paraId="43BF99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2.11投标方应对招标方采购的货物所涉及的技术、产能等信息负有保密义务，招标方 拥有追究投标方泄密责任的权利；招标方如有需要，投标方应无条件签署保密协议。</w:t>
      </w:r>
    </w:p>
    <w:p w14:paraId="2BD144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2.12投标方中标后预验收时需提供进口设备、部件的报关清关资料。</w:t>
      </w:r>
    </w:p>
    <w:p w14:paraId="1FE437CD">
      <w:pPr>
        <w:spacing w:line="360" w:lineRule="auto"/>
        <w:ind w:left="124" w:leftChars="59" w:firstLine="484" w:firstLineChars="202"/>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2.13.</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6011CCB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2.14</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4AD1EF6A">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2.15</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18A61329">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2.16</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27EABB60">
      <w:pPr>
        <w:spacing w:line="360" w:lineRule="auto"/>
        <w:ind w:firstLine="480" w:firstLineChars="200"/>
        <w:rPr>
          <w:rFonts w:hint="eastAsia" w:ascii="宋体" w:hAnsi="宋体"/>
          <w:spacing w:val="4"/>
          <w:sz w:val="24"/>
        </w:rPr>
      </w:pPr>
      <w:r>
        <w:rPr>
          <w:rFonts w:hint="eastAsia" w:ascii="宋体" w:hAnsi="宋体" w:eastAsia="宋体" w:cs="宋体"/>
          <w:sz w:val="24"/>
          <w:szCs w:val="24"/>
          <w:highlight w:val="none"/>
          <w:lang w:val="en-US" w:eastAsia="zh-CN"/>
        </w:rPr>
        <w:t>2.17</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65CCB56F">
      <w:pPr>
        <w:spacing w:line="360" w:lineRule="auto"/>
        <w:rPr>
          <w:rFonts w:hint="eastAsia" w:ascii="宋体" w:hAnsi="宋体"/>
          <w:b/>
          <w:bCs/>
          <w:spacing w:val="4"/>
          <w:sz w:val="24"/>
        </w:rPr>
      </w:pPr>
      <w:r>
        <w:rPr>
          <w:rFonts w:hint="eastAsia" w:ascii="宋体" w:hAnsi="宋体"/>
          <w:b/>
          <w:bCs/>
          <w:spacing w:val="4"/>
          <w:sz w:val="24"/>
        </w:rPr>
        <w:t>3、执行标准</w:t>
      </w:r>
    </w:p>
    <w:p w14:paraId="499A9932">
      <w:pPr>
        <w:spacing w:line="360" w:lineRule="auto"/>
        <w:ind w:left="124" w:leftChars="59" w:firstLine="500" w:firstLineChars="202"/>
        <w:rPr>
          <w:rFonts w:hint="eastAsia" w:ascii="宋体" w:hAnsi="宋体"/>
          <w:spacing w:val="4"/>
          <w:sz w:val="24"/>
        </w:rPr>
      </w:pPr>
      <w:r>
        <w:rPr>
          <w:rFonts w:hint="eastAsia" w:ascii="宋体" w:hAnsi="宋体"/>
          <w:spacing w:val="4"/>
          <w:sz w:val="24"/>
        </w:rPr>
        <w:t>3.1 招标方此处所列标准仅为涉及的主要标准，投标方应当在投标文件中认真予以填写、补充和修改完善。</w:t>
      </w:r>
    </w:p>
    <w:p w14:paraId="14E379C7">
      <w:pPr>
        <w:spacing w:line="360" w:lineRule="auto"/>
        <w:ind w:left="124" w:leftChars="59" w:firstLine="500" w:firstLineChars="202"/>
        <w:rPr>
          <w:rFonts w:hint="eastAsia" w:ascii="宋体" w:hAnsi="宋体"/>
          <w:spacing w:val="4"/>
          <w:sz w:val="24"/>
        </w:rPr>
      </w:pPr>
      <w:r>
        <w:rPr>
          <w:rFonts w:hint="eastAsia" w:ascii="宋体" w:hAnsi="宋体"/>
          <w:spacing w:val="4"/>
          <w:sz w:val="24"/>
        </w:rPr>
        <w:t>3.2 投标方需要执行的标准，应当采用所供货物通过招标方组织的最终验收之日已经开始执行的最新标准。</w:t>
      </w:r>
    </w:p>
    <w:p w14:paraId="28598AF5">
      <w:pPr>
        <w:spacing w:line="360" w:lineRule="auto"/>
        <w:ind w:left="124" w:leftChars="59" w:firstLine="500" w:firstLineChars="202"/>
        <w:rPr>
          <w:rFonts w:hint="eastAsia" w:ascii="宋体" w:hAnsi="宋体"/>
          <w:spacing w:val="4"/>
          <w:sz w:val="24"/>
        </w:rPr>
      </w:pPr>
      <w:r>
        <w:rPr>
          <w:rFonts w:hint="eastAsia" w:ascii="宋体" w:hAnsi="宋体"/>
          <w:spacing w:val="4"/>
          <w:sz w:val="24"/>
        </w:rPr>
        <w:t>3.3 采购货物的产品质量、技术标准如在招投标文件中无相应说明，则按中华人民共和国有关部门颁发的最新的国标或专业（部）标准执行及相应的国际标准。</w:t>
      </w:r>
    </w:p>
    <w:p w14:paraId="18F11BD5">
      <w:pPr>
        <w:spacing w:line="360" w:lineRule="auto"/>
        <w:ind w:left="124" w:leftChars="59" w:firstLine="500" w:firstLineChars="202"/>
        <w:rPr>
          <w:rFonts w:hint="eastAsia" w:ascii="宋体" w:hAnsi="宋体"/>
          <w:spacing w:val="4"/>
          <w:sz w:val="24"/>
        </w:rPr>
      </w:pPr>
      <w:r>
        <w:rPr>
          <w:rFonts w:hint="eastAsia" w:ascii="宋体" w:hAnsi="宋体"/>
          <w:spacing w:val="4"/>
          <w:sz w:val="24"/>
        </w:rPr>
        <w:t>3.4 采购货物没有中国国家或专业（部）标准的，按企业标准执行时，投标方应在合同签署之前，将所涉及的企业标准提供给招标方确认。</w:t>
      </w:r>
    </w:p>
    <w:p w14:paraId="5E75302E">
      <w:pPr>
        <w:spacing w:line="360" w:lineRule="auto"/>
        <w:ind w:left="124" w:leftChars="59" w:firstLine="500" w:firstLineChars="202"/>
        <w:rPr>
          <w:rFonts w:hint="eastAsia" w:ascii="宋体" w:hAnsi="宋体"/>
          <w:spacing w:val="4"/>
          <w:sz w:val="24"/>
        </w:rPr>
      </w:pPr>
      <w:r>
        <w:rPr>
          <w:rFonts w:hint="eastAsia" w:ascii="宋体" w:hAnsi="宋体"/>
          <w:spacing w:val="4"/>
          <w:sz w:val="24"/>
        </w:rPr>
        <w:t>3.5 采购货物如果采用国际标准，其执行标准由投标方提供、招标方确认。</w:t>
      </w:r>
    </w:p>
    <w:p w14:paraId="505F2410">
      <w:pPr>
        <w:spacing w:line="360" w:lineRule="auto"/>
        <w:ind w:left="124" w:leftChars="59" w:firstLine="500" w:firstLineChars="202"/>
        <w:rPr>
          <w:rFonts w:hint="eastAsia" w:ascii="宋体" w:hAnsi="宋体"/>
          <w:spacing w:val="4"/>
          <w:sz w:val="24"/>
        </w:rPr>
      </w:pPr>
      <w:r>
        <w:rPr>
          <w:rFonts w:hint="eastAsia" w:ascii="宋体" w:hAnsi="宋体"/>
          <w:spacing w:val="4"/>
          <w:sz w:val="24"/>
        </w:rPr>
        <w:t>3.6 采购货物所涉及的标准不统一时，原则上按照最严格标准执行。</w:t>
      </w:r>
    </w:p>
    <w:p w14:paraId="1AC350D4">
      <w:pPr>
        <w:spacing w:line="360" w:lineRule="auto"/>
        <w:ind w:left="124" w:leftChars="59" w:firstLine="500" w:firstLineChars="202"/>
        <w:rPr>
          <w:rFonts w:hint="eastAsia" w:ascii="宋体" w:hAnsi="宋体"/>
          <w:spacing w:val="4"/>
          <w:sz w:val="24"/>
        </w:rPr>
      </w:pPr>
      <w:r>
        <w:rPr>
          <w:rFonts w:hint="eastAsia" w:ascii="宋体" w:hAnsi="宋体"/>
          <w:spacing w:val="4"/>
          <w:sz w:val="24"/>
        </w:rPr>
        <w:t>3.7 必须保证所提供的设备、材料和服务遵守相关标准的最新修改版本和所有其它适用的标准（以最新在执行标准为准、标准要求重叠时以最严格条款为准）。</w:t>
      </w:r>
    </w:p>
    <w:p w14:paraId="203BBFB9">
      <w:pPr>
        <w:spacing w:line="360" w:lineRule="auto"/>
        <w:ind w:firstLine="249"/>
        <w:rPr>
          <w:rFonts w:hint="default" w:ascii="宋体" w:hAnsi="宋体" w:eastAsia="宋体"/>
          <w:b/>
          <w:bCs/>
          <w:spacing w:val="4"/>
          <w:sz w:val="24"/>
          <w:lang w:val="en-US" w:eastAsia="zh-CN"/>
        </w:rPr>
      </w:pPr>
      <w:bookmarkStart w:id="66" w:name="_Hlk189730301"/>
      <w:r>
        <w:rPr>
          <w:rFonts w:hint="eastAsia" w:ascii="宋体" w:hAnsi="宋体"/>
          <w:b/>
          <w:bCs/>
          <w:spacing w:val="4"/>
          <w:sz w:val="24"/>
        </w:rPr>
        <w:t>4、总体要求技术规范</w:t>
      </w:r>
    </w:p>
    <w:p w14:paraId="6E10FDF6">
      <w:pPr>
        <w:spacing w:line="360" w:lineRule="auto"/>
        <w:ind w:left="124" w:leftChars="59" w:firstLine="500" w:firstLineChars="202"/>
        <w:rPr>
          <w:rFonts w:hint="eastAsia" w:ascii="宋体" w:hAnsi="宋体"/>
          <w:spacing w:val="4"/>
          <w:sz w:val="24"/>
        </w:rPr>
      </w:pPr>
      <w:r>
        <w:rPr>
          <w:rFonts w:hint="eastAsia" w:ascii="宋体" w:hAnsi="宋体"/>
          <w:spacing w:val="4"/>
          <w:sz w:val="24"/>
        </w:rPr>
        <w:t>在基本要求和执行标准基础上，对所采购的货物的技术及满足使用工况等方面作出如下要求：</w:t>
      </w:r>
    </w:p>
    <w:p w14:paraId="24EAA039">
      <w:pPr>
        <w:spacing w:line="360" w:lineRule="auto"/>
        <w:ind w:left="124" w:leftChars="59" w:firstLine="500" w:firstLineChars="202"/>
        <w:rPr>
          <w:rFonts w:hint="eastAsia" w:ascii="宋体" w:hAnsi="宋体"/>
          <w:spacing w:val="4"/>
          <w:sz w:val="24"/>
        </w:rPr>
      </w:pPr>
      <w:r>
        <w:rPr>
          <w:rFonts w:hint="eastAsia" w:ascii="宋体" w:hAnsi="宋体"/>
          <w:spacing w:val="4"/>
          <w:sz w:val="24"/>
        </w:rPr>
        <w:t>4.1 生产纲领及节拍</w:t>
      </w:r>
    </w:p>
    <w:p w14:paraId="3E2B6961">
      <w:pPr>
        <w:spacing w:line="360" w:lineRule="auto"/>
        <w:ind w:left="124" w:leftChars="59" w:firstLine="500" w:firstLineChars="202"/>
        <w:rPr>
          <w:rFonts w:hint="eastAsia" w:ascii="宋体" w:hAnsi="宋体"/>
          <w:spacing w:val="4"/>
          <w:sz w:val="24"/>
        </w:rPr>
      </w:pPr>
      <w:r>
        <w:rPr>
          <w:rFonts w:hint="eastAsia" w:ascii="宋体" w:hAnsi="宋体"/>
          <w:spacing w:val="4"/>
          <w:sz w:val="24"/>
        </w:rPr>
        <w:t>本项目的工作制度、产能、节拍及效率如下，投标方提供的设施、设备必须满足此要求。</w:t>
      </w:r>
    </w:p>
    <w:p w14:paraId="6FE69628">
      <w:pPr>
        <w:spacing w:line="360" w:lineRule="auto"/>
        <w:ind w:left="124" w:leftChars="59" w:firstLine="500" w:firstLineChars="202"/>
        <w:rPr>
          <w:rFonts w:hint="eastAsia" w:ascii="宋体" w:hAnsi="宋体"/>
          <w:spacing w:val="4"/>
          <w:sz w:val="24"/>
        </w:rPr>
      </w:pPr>
      <w:r>
        <w:rPr>
          <w:rFonts w:hint="eastAsia" w:ascii="宋体" w:hAnsi="宋体"/>
          <w:spacing w:val="4"/>
          <w:sz w:val="24"/>
        </w:rPr>
        <w:t>4.1.1 处理产能：全年工作300天、两班制。</w:t>
      </w:r>
    </w:p>
    <w:p w14:paraId="71AFBFA5">
      <w:pPr>
        <w:spacing w:line="360" w:lineRule="auto"/>
        <w:ind w:left="124" w:leftChars="59" w:firstLine="500" w:firstLineChars="202"/>
        <w:rPr>
          <w:rFonts w:hint="eastAsia" w:ascii="宋体" w:hAnsi="宋体"/>
          <w:spacing w:val="4"/>
          <w:sz w:val="24"/>
        </w:rPr>
      </w:pPr>
      <w:r>
        <w:rPr>
          <w:rFonts w:hint="eastAsia" w:ascii="宋体" w:hAnsi="宋体"/>
          <w:spacing w:val="4"/>
          <w:sz w:val="24"/>
        </w:rPr>
        <w:t>4.1.2 节拍要求：</w:t>
      </w:r>
      <w:r>
        <w:rPr>
          <w:rFonts w:hint="eastAsia" w:ascii="宋体" w:hAnsi="宋体"/>
          <w:spacing w:val="4"/>
          <w:sz w:val="24"/>
          <w:lang w:val="en-US" w:eastAsia="zh-CN"/>
        </w:rPr>
        <w:t>双班240</w:t>
      </w:r>
      <w:r>
        <w:rPr>
          <w:rFonts w:hint="eastAsia" w:ascii="宋体" w:hAnsi="宋体"/>
          <w:spacing w:val="4"/>
          <w:sz w:val="24"/>
        </w:rPr>
        <w:t>辆/日。</w:t>
      </w:r>
    </w:p>
    <w:p w14:paraId="4EEDF11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4.2性能要求</w:t>
      </w:r>
    </w:p>
    <w:p w14:paraId="792568F9">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4.2.1上述设备应能在规定的环境下长期安全、可靠、平稳运行，并满足各种性能和工况要求。应有良好的可控性能，合理的运行操作方式及就地停启、调试和正常及事故情况下必须的检测、控制条件及保护等措施，以确保设备的安全经济运行。</w:t>
      </w:r>
    </w:p>
    <w:p w14:paraId="681CC72A">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4.2.2制造加工必须符合国家相关标准及行业标准、企业标准。</w:t>
      </w:r>
    </w:p>
    <w:p w14:paraId="216DE76C">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4.2.3设备性能应满足设计及使用要求，产品结构设计应紧凑、简单，检修维护方便，并有良好的密封。</w:t>
      </w:r>
    </w:p>
    <w:p w14:paraId="1543144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4.2.4整机具有良好的防锈蚀、防磨损性能和高度的运行可靠性。</w:t>
      </w:r>
    </w:p>
    <w:p w14:paraId="2061260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cs="Times New Roman"/>
          <w:spacing w:val="4"/>
          <w:sz w:val="24"/>
          <w:lang w:val="en-US" w:eastAsia="zh-CN"/>
        </w:rPr>
        <w:t>4</w:t>
      </w:r>
      <w:r>
        <w:rPr>
          <w:rFonts w:hint="eastAsia" w:ascii="宋体" w:hAnsi="宋体" w:eastAsia="宋体" w:cs="Times New Roman"/>
          <w:spacing w:val="4"/>
          <w:sz w:val="24"/>
          <w:lang w:val="en-US" w:eastAsia="zh-CN"/>
        </w:rPr>
        <w:t>.2.5、本体及支座设计应能满足当地地震烈度所必须的强度要求，并保证结构上的完整性。设备零部件应采用先进、可靠的加工制造技术，有良好的表面几何形状及合适的公差配合。加热箱发热元件拆卸方便，采用专用扳手可在不拆卸固定板的情况下很方便的进行更换。</w:t>
      </w:r>
    </w:p>
    <w:p w14:paraId="28495C8F">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4.3安全要求</w:t>
      </w:r>
    </w:p>
    <w:p w14:paraId="086DA26E">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4.3.1、外形结构保护：工装对于人员、工件和车身可能构成危险的地方都有保护。</w:t>
      </w:r>
    </w:p>
    <w:p w14:paraId="6ABE9238">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4.3.2、所有工装经过去毛刺、去棱角处理，避免损伤工件及车体的面漆或留下压痕。</w:t>
      </w:r>
    </w:p>
    <w:bookmarkEnd w:id="66"/>
    <w:p w14:paraId="1C3883D7">
      <w:pPr>
        <w:spacing w:line="360" w:lineRule="auto"/>
        <w:ind w:firstLine="249"/>
        <w:rPr>
          <w:rFonts w:hint="eastAsia" w:ascii="宋体" w:hAnsi="宋体" w:eastAsia="宋体"/>
          <w:b/>
          <w:bCs/>
          <w:spacing w:val="4"/>
          <w:sz w:val="24"/>
          <w:lang w:val="en-US" w:eastAsia="zh-CN"/>
        </w:rPr>
      </w:pPr>
      <w:r>
        <w:rPr>
          <w:rFonts w:hint="eastAsia" w:ascii="宋体" w:hAnsi="宋体"/>
          <w:b/>
          <w:bCs/>
          <w:spacing w:val="4"/>
          <w:sz w:val="24"/>
        </w:rPr>
        <w:t>5.项目</w:t>
      </w:r>
      <w:r>
        <w:rPr>
          <w:rFonts w:hint="eastAsia" w:ascii="宋体" w:hAnsi="宋体"/>
          <w:b/>
          <w:bCs/>
          <w:spacing w:val="4"/>
          <w:sz w:val="24"/>
          <w:lang w:val="en-US" w:eastAsia="zh-CN"/>
        </w:rPr>
        <w:t>主要内容</w:t>
      </w:r>
      <w:r>
        <w:rPr>
          <w:rFonts w:hint="eastAsia" w:ascii="宋体" w:hAnsi="宋体"/>
          <w:b/>
          <w:bCs/>
          <w:spacing w:val="4"/>
          <w:sz w:val="24"/>
        </w:rPr>
        <w:t>与技术要求</w:t>
      </w:r>
      <w:r>
        <w:rPr>
          <w:rFonts w:hint="eastAsia" w:ascii="宋体" w:hAnsi="宋体"/>
          <w:b/>
          <w:bCs/>
          <w:spacing w:val="4"/>
          <w:sz w:val="24"/>
          <w:lang w:eastAsia="zh-CN"/>
        </w:rPr>
        <w:t>、</w:t>
      </w:r>
      <w:r>
        <w:rPr>
          <w:rFonts w:hint="eastAsia" w:ascii="宋体" w:hAnsi="宋体"/>
          <w:b/>
          <w:bCs/>
          <w:spacing w:val="4"/>
          <w:sz w:val="24"/>
          <w:lang w:val="en-US" w:eastAsia="zh-CN"/>
        </w:rPr>
        <w:t>备品备件等</w:t>
      </w:r>
    </w:p>
    <w:p w14:paraId="3B128FDF">
      <w:pPr>
        <w:spacing w:line="360" w:lineRule="auto"/>
        <w:ind w:firstLine="496" w:firstLineChars="200"/>
        <w:rPr>
          <w:rFonts w:hint="eastAsia" w:ascii="宋体" w:hAnsi="宋体"/>
          <w:spacing w:val="4"/>
          <w:sz w:val="24"/>
        </w:rPr>
      </w:pPr>
      <w:r>
        <w:rPr>
          <w:rFonts w:hint="eastAsia" w:ascii="宋体" w:hAnsi="宋体"/>
          <w:spacing w:val="4"/>
          <w:sz w:val="24"/>
        </w:rPr>
        <w:t>5.1项目</w:t>
      </w:r>
      <w:r>
        <w:rPr>
          <w:rFonts w:hint="eastAsia" w:ascii="宋体" w:hAnsi="宋体"/>
          <w:spacing w:val="4"/>
          <w:sz w:val="24"/>
          <w:lang w:val="en-US" w:eastAsia="zh-CN"/>
        </w:rPr>
        <w:t>主要</w:t>
      </w:r>
      <w:r>
        <w:rPr>
          <w:rFonts w:hint="eastAsia" w:ascii="宋体" w:hAnsi="宋体"/>
          <w:spacing w:val="4"/>
          <w:sz w:val="24"/>
        </w:rPr>
        <w:t>内容</w:t>
      </w:r>
    </w:p>
    <w:tbl>
      <w:tblPr>
        <w:tblStyle w:val="32"/>
        <w:tblW w:w="0" w:type="auto"/>
        <w:tblInd w:w="2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7C7B8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3646AB8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55" w:type="dxa"/>
            <w:vAlign w:val="center"/>
          </w:tcPr>
          <w:p w14:paraId="5832BD0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515" w:type="dxa"/>
            <w:vAlign w:val="center"/>
          </w:tcPr>
          <w:p w14:paraId="5D6B948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905" w:type="dxa"/>
            <w:vAlign w:val="center"/>
          </w:tcPr>
          <w:p w14:paraId="61447C5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60" w:type="dxa"/>
            <w:vAlign w:val="center"/>
          </w:tcPr>
          <w:p w14:paraId="5FC00BD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118" w:type="dxa"/>
            <w:vAlign w:val="center"/>
          </w:tcPr>
          <w:p w14:paraId="0692CB1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6EE05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9" w:hRule="atLeast"/>
        </w:trPr>
        <w:tc>
          <w:tcPr>
            <w:tcW w:w="750" w:type="dxa"/>
            <w:vAlign w:val="center"/>
          </w:tcPr>
          <w:p w14:paraId="2939FFE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55" w:type="dxa"/>
            <w:vAlign w:val="center"/>
          </w:tcPr>
          <w:p w14:paraId="1A690B0A">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色差仪（含配套软件）</w:t>
            </w:r>
          </w:p>
        </w:tc>
        <w:tc>
          <w:tcPr>
            <w:tcW w:w="1515" w:type="dxa"/>
            <w:vAlign w:val="center"/>
          </w:tcPr>
          <w:p w14:paraId="5A14CDED">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1</w:t>
            </w:r>
          </w:p>
        </w:tc>
        <w:tc>
          <w:tcPr>
            <w:tcW w:w="1905" w:type="dxa"/>
            <w:vAlign w:val="center"/>
          </w:tcPr>
          <w:p w14:paraId="6AC9941A">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60" w:type="dxa"/>
            <w:vAlign w:val="center"/>
          </w:tcPr>
          <w:p w14:paraId="397C8A6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118" w:type="dxa"/>
            <w:vAlign w:val="center"/>
          </w:tcPr>
          <w:p w14:paraId="36F62B68">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bl>
    <w:p w14:paraId="0E8DA6EA">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备注：本表所列采购货物仅为货物的主要构成部分，应配套供货以及招标人所列其它货物（或设备）和服务，请投标人认真阅读“供货范围”。若有异议，不管是多么微小，都应在投标文件“商务偏离”章节中予以详细说明。</w:t>
      </w:r>
    </w:p>
    <w:p w14:paraId="7C8F1D77">
      <w:pPr>
        <w:spacing w:line="360" w:lineRule="auto"/>
        <w:ind w:firstLine="420"/>
        <w:rPr>
          <w:rFonts w:ascii="宋体" w:hAnsi="宋体" w:eastAsia="宋体" w:cs="宋体"/>
          <w:bCs/>
          <w:sz w:val="24"/>
          <w:szCs w:val="24"/>
        </w:rPr>
      </w:pPr>
      <w:r>
        <w:rPr>
          <w:rFonts w:hint="eastAsia" w:ascii="宋体" w:hAnsi="宋体" w:eastAsia="宋体" w:cs="宋体"/>
          <w:bCs/>
          <w:sz w:val="24"/>
          <w:szCs w:val="24"/>
        </w:rPr>
        <w:t>本表“供货方式”指：交钥匙方式——包括制造、运输、定点卸货、安装、调试和协助验收以及约定培训等。</w:t>
      </w:r>
    </w:p>
    <w:p w14:paraId="5636A65E">
      <w:pPr>
        <w:spacing w:line="360" w:lineRule="auto"/>
        <w:ind w:firstLine="42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77876C78">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5.2设备</w:t>
      </w:r>
      <w:r>
        <w:rPr>
          <w:rFonts w:hint="eastAsia" w:ascii="宋体" w:hAnsi="宋体" w:eastAsia="宋体" w:cs="宋体"/>
          <w:color w:val="auto"/>
          <w:kern w:val="2"/>
          <w:sz w:val="24"/>
          <w:szCs w:val="28"/>
          <w:highlight w:val="none"/>
          <w:lang w:val="en-US" w:eastAsia="zh-CN" w:bidi="ar-SA"/>
        </w:rPr>
        <w:t>技术参数要求</w:t>
      </w:r>
    </w:p>
    <w:tbl>
      <w:tblPr>
        <w:tblStyle w:val="32"/>
        <w:tblW w:w="90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1529"/>
        <w:gridCol w:w="6788"/>
      </w:tblGrid>
      <w:tr w14:paraId="1CCB6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59" w:type="dxa"/>
            <w:vAlign w:val="center"/>
          </w:tcPr>
          <w:p w14:paraId="2B9B1D2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序号</w:t>
            </w:r>
          </w:p>
        </w:tc>
        <w:tc>
          <w:tcPr>
            <w:tcW w:w="1529" w:type="dxa"/>
            <w:vAlign w:val="center"/>
          </w:tcPr>
          <w:p w14:paraId="06A1383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val="en-US" w:eastAsia="zh-CN"/>
              </w:rPr>
              <w:t>设备</w:t>
            </w:r>
          </w:p>
        </w:tc>
        <w:tc>
          <w:tcPr>
            <w:tcW w:w="6788" w:type="dxa"/>
            <w:vAlign w:val="center"/>
          </w:tcPr>
          <w:p w14:paraId="14B551B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技术参数要求</w:t>
            </w:r>
          </w:p>
        </w:tc>
      </w:tr>
      <w:tr w14:paraId="75650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06" w:hRule="atLeast"/>
        </w:trPr>
        <w:tc>
          <w:tcPr>
            <w:tcW w:w="759" w:type="dxa"/>
            <w:vAlign w:val="center"/>
          </w:tcPr>
          <w:p w14:paraId="526C3F7C">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529" w:type="dxa"/>
            <w:shd w:val="clear" w:color="auto" w:fill="auto"/>
            <w:vAlign w:val="center"/>
          </w:tcPr>
          <w:p w14:paraId="3265B4CA">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色差仪</w:t>
            </w:r>
          </w:p>
        </w:tc>
        <w:tc>
          <w:tcPr>
            <w:tcW w:w="6788" w:type="dxa"/>
            <w:shd w:val="clear" w:color="auto" w:fill="auto"/>
            <w:vAlign w:val="center"/>
          </w:tcPr>
          <w:p w14:paraId="7EEA5D6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1、品牌型号要求：柯尼卡美能达CM-M6同等品牌及以上。</w:t>
            </w:r>
          </w:p>
          <w:p w14:paraId="7FC1EA9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照明/受光系统 45°照明：融合了镜面对称光路技术的-15°/15°/25°/45°/75°/110°视角</w:t>
            </w:r>
          </w:p>
          <w:p w14:paraId="34A44ECA">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传感器：双排40颗硅光电二极管阵列</w:t>
            </w:r>
          </w:p>
          <w:p w14:paraId="449A048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光谱分离装置：平面衍射光栅</w:t>
            </w:r>
          </w:p>
          <w:p w14:paraId="0C1A733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w:t>
            </w:r>
            <w:r>
              <w:rPr>
                <w:rFonts w:hint="eastAsia" w:ascii="宋体" w:hAnsi="宋体" w:eastAsia="宋体" w:cs="宋体"/>
                <w:color w:val="000000"/>
                <w:sz w:val="24"/>
                <w:szCs w:val="24"/>
                <w:highlight w:val="none"/>
                <w:lang w:val="en-US" w:eastAsia="zh-CN"/>
              </w:rPr>
              <w:t>波长范围：400-700 nm</w:t>
            </w:r>
          </w:p>
          <w:p w14:paraId="61FC4D9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波长间隔：10 nm</w:t>
            </w:r>
          </w:p>
          <w:p w14:paraId="5EBF34EC">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w:t>
            </w:r>
            <w:r>
              <w:rPr>
                <w:rFonts w:hint="eastAsia" w:ascii="宋体" w:hAnsi="宋体" w:eastAsia="宋体" w:cs="宋体"/>
                <w:color w:val="000000"/>
                <w:sz w:val="24"/>
                <w:szCs w:val="24"/>
                <w:highlight w:val="none"/>
                <w:lang w:val="en-US" w:eastAsia="zh-CN"/>
              </w:rPr>
              <w:t>反射范围：6角度：0-600%；输出/显示分辨率：0.01%</w:t>
            </w:r>
          </w:p>
          <w:p w14:paraId="47DBE34F">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w:t>
            </w:r>
            <w:r>
              <w:rPr>
                <w:rFonts w:hint="eastAsia" w:ascii="宋体" w:hAnsi="宋体" w:eastAsia="宋体" w:cs="宋体"/>
                <w:color w:val="000000"/>
                <w:sz w:val="24"/>
                <w:szCs w:val="24"/>
                <w:highlight w:val="none"/>
                <w:lang w:val="en-US" w:eastAsia="zh-CN"/>
              </w:rPr>
              <w:t>光源：高CRI白色LED</w:t>
            </w:r>
          </w:p>
          <w:p w14:paraId="560B7D81">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10、</w:t>
            </w:r>
            <w:r>
              <w:rPr>
                <w:rFonts w:hint="eastAsia" w:ascii="宋体" w:hAnsi="宋体" w:eastAsia="宋体" w:cs="宋体"/>
                <w:color w:val="000000"/>
                <w:sz w:val="24"/>
                <w:szCs w:val="24"/>
                <w:highlight w:val="none"/>
                <w:lang w:val="en-US" w:eastAsia="zh-CN"/>
              </w:rPr>
              <w:t>测量时间：约4.5秒；</w:t>
            </w:r>
          </w:p>
          <w:p w14:paraId="5C19E5AD">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11、</w:t>
            </w:r>
            <w:r>
              <w:rPr>
                <w:rFonts w:hint="eastAsia" w:ascii="宋体" w:hAnsi="宋体" w:eastAsia="宋体" w:cs="宋体"/>
                <w:color w:val="000000"/>
                <w:sz w:val="24"/>
                <w:szCs w:val="24"/>
                <w:highlight w:val="none"/>
                <w:lang w:val="en-US" w:eastAsia="zh-CN"/>
              </w:rPr>
              <w:t>最小测量间隔：约5秒</w:t>
            </w:r>
          </w:p>
          <w:p w14:paraId="1825ECC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12、</w:t>
            </w:r>
            <w:r>
              <w:rPr>
                <w:rFonts w:hint="eastAsia" w:ascii="宋体" w:hAnsi="宋体" w:eastAsia="宋体" w:cs="宋体"/>
                <w:color w:val="000000"/>
                <w:sz w:val="24"/>
                <w:szCs w:val="24"/>
                <w:highlight w:val="none"/>
                <w:lang w:val="en-US" w:eastAsia="zh-CN"/>
              </w:rPr>
              <w:t>电池性能：约1500次测量/充电（在23℃下以10秒为间隔）</w:t>
            </w:r>
          </w:p>
          <w:p w14:paraId="35B9AE5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13、</w:t>
            </w:r>
            <w:r>
              <w:rPr>
                <w:rFonts w:hint="eastAsia" w:ascii="宋体" w:hAnsi="宋体" w:eastAsia="宋体" w:cs="宋体"/>
                <w:color w:val="000000"/>
                <w:sz w:val="24"/>
                <w:szCs w:val="24"/>
                <w:highlight w:val="none"/>
                <w:lang w:val="en-US" w:eastAsia="zh-CN"/>
              </w:rPr>
              <w:t>测量/照明区域：φ6 mm /φ12 mm</w:t>
            </w:r>
          </w:p>
          <w:p w14:paraId="66BAE8D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14、</w:t>
            </w:r>
            <w:r>
              <w:rPr>
                <w:rFonts w:hint="eastAsia" w:ascii="宋体" w:hAnsi="宋体" w:eastAsia="宋体" w:cs="宋体"/>
                <w:color w:val="000000"/>
                <w:sz w:val="24"/>
                <w:szCs w:val="24"/>
                <w:highlight w:val="none"/>
                <w:lang w:val="en-US" w:eastAsia="zh-CN"/>
              </w:rPr>
              <w:t>重复性：色度值：ΔE*ab 0.05以内的标准偏差</w:t>
            </w:r>
          </w:p>
          <w:p w14:paraId="273A312F">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（当白色校准执行后以10秒为间隔测量白色校准板30次时）</w:t>
            </w:r>
          </w:p>
          <w:p w14:paraId="2207F62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器间差：ΔE*ab 0.2以内（平均）（基于在与柯尼卡美能达标准测量条件下由标准样件测量的值相比较的12块BCRA系列Ⅱ色版)</w:t>
            </w:r>
          </w:p>
          <w:p w14:paraId="373B4DF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15、</w:t>
            </w:r>
            <w:r>
              <w:rPr>
                <w:rFonts w:hint="eastAsia" w:ascii="宋体" w:hAnsi="宋体" w:eastAsia="宋体" w:cs="宋体"/>
                <w:color w:val="000000"/>
                <w:sz w:val="24"/>
                <w:szCs w:val="24"/>
                <w:highlight w:val="none"/>
                <w:lang w:val="en-US" w:eastAsia="zh-CN"/>
              </w:rPr>
              <w:t>显示屏：3.5英寸TFT彩色LCD</w:t>
            </w:r>
          </w:p>
          <w:p w14:paraId="001FF08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16、</w:t>
            </w:r>
            <w:r>
              <w:rPr>
                <w:rFonts w:hint="eastAsia" w:ascii="宋体" w:hAnsi="宋体" w:eastAsia="宋体" w:cs="宋体"/>
                <w:color w:val="000000"/>
                <w:sz w:val="24"/>
                <w:szCs w:val="24"/>
                <w:highlight w:val="none"/>
                <w:lang w:val="en-US" w:eastAsia="zh-CN"/>
              </w:rPr>
              <w:t>显示数据：色度值、色差值/图、折线图（色度/色差值）、通过/失败判断</w:t>
            </w:r>
          </w:p>
          <w:p w14:paraId="1F0E0BB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17、</w:t>
            </w:r>
            <w:r>
              <w:rPr>
                <w:rFonts w:hint="eastAsia" w:ascii="宋体" w:hAnsi="宋体" w:eastAsia="宋体" w:cs="宋体"/>
                <w:color w:val="000000"/>
                <w:sz w:val="24"/>
                <w:szCs w:val="24"/>
                <w:highlight w:val="none"/>
                <w:lang w:val="en-US" w:eastAsia="zh-CN"/>
              </w:rPr>
              <w:t>色差数据：L*a*b*，L*C*h及各色差值</w:t>
            </w:r>
          </w:p>
          <w:p w14:paraId="17BDFFD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18、</w:t>
            </w:r>
            <w:r>
              <w:rPr>
                <w:rFonts w:hint="eastAsia" w:ascii="宋体" w:hAnsi="宋体" w:eastAsia="宋体" w:cs="宋体"/>
                <w:color w:val="000000"/>
                <w:sz w:val="24"/>
                <w:szCs w:val="24"/>
                <w:highlight w:val="none"/>
                <w:lang w:val="en-US" w:eastAsia="zh-CN"/>
              </w:rPr>
              <w:t>色度值：MI FF值（触发器值）</w:t>
            </w:r>
          </w:p>
          <w:p w14:paraId="0ECFA9A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19、</w:t>
            </w:r>
            <w:r>
              <w:rPr>
                <w:rFonts w:hint="eastAsia" w:ascii="宋体" w:hAnsi="宋体" w:eastAsia="宋体" w:cs="宋体"/>
                <w:color w:val="000000"/>
                <w:sz w:val="24"/>
                <w:szCs w:val="24"/>
                <w:highlight w:val="none"/>
                <w:lang w:val="en-US" w:eastAsia="zh-CN"/>
              </w:rPr>
              <w:t>色差公式： ∆E*ab (CIE 1976)，∆(L*a*b*)，∆(L*C*H*)，CMC (l:c)，∆E*94 (CIE 1994)，∆E00 (CIE DE2000)，∆E (DIN 6175）</w:t>
            </w:r>
          </w:p>
          <w:p w14:paraId="1E080C7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20、</w:t>
            </w:r>
            <w:r>
              <w:rPr>
                <w:rFonts w:hint="eastAsia" w:ascii="宋体" w:hAnsi="宋体" w:eastAsia="宋体" w:cs="宋体"/>
                <w:color w:val="000000"/>
                <w:sz w:val="24"/>
                <w:szCs w:val="24"/>
                <w:highlight w:val="none"/>
                <w:lang w:val="en-US" w:eastAsia="zh-CN"/>
              </w:rPr>
              <w:t>观察者：2°和10°CIE标准观察者</w:t>
            </w:r>
          </w:p>
          <w:p w14:paraId="3523950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21、</w:t>
            </w:r>
            <w:r>
              <w:rPr>
                <w:rFonts w:hint="eastAsia" w:ascii="宋体" w:hAnsi="宋体" w:eastAsia="宋体" w:cs="宋体"/>
                <w:color w:val="000000"/>
                <w:sz w:val="24"/>
                <w:szCs w:val="24"/>
                <w:highlight w:val="none"/>
                <w:lang w:val="en-US" w:eastAsia="zh-CN"/>
              </w:rPr>
              <w:t>数据储存器：目标数据：200次测量；样本数据：800次测量。</w:t>
            </w:r>
          </w:p>
          <w:p w14:paraId="2CA8877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22、</w:t>
            </w:r>
            <w:r>
              <w:rPr>
                <w:rFonts w:hint="eastAsia" w:ascii="宋体" w:hAnsi="宋体" w:eastAsia="宋体" w:cs="宋体"/>
                <w:color w:val="000000"/>
                <w:sz w:val="24"/>
                <w:szCs w:val="24"/>
                <w:highlight w:val="none"/>
                <w:lang w:val="en-US" w:eastAsia="zh-CN"/>
              </w:rPr>
              <w:t>通过/失败判断：可以为色差设置公差</w:t>
            </w:r>
          </w:p>
          <w:p w14:paraId="1D0F8E0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23、</w:t>
            </w:r>
            <w:r>
              <w:rPr>
                <w:rFonts w:hint="eastAsia" w:ascii="宋体" w:hAnsi="宋体" w:eastAsia="宋体" w:cs="宋体"/>
                <w:color w:val="000000"/>
                <w:sz w:val="24"/>
                <w:szCs w:val="24"/>
                <w:highlight w:val="none"/>
                <w:lang w:val="en-US" w:eastAsia="zh-CN"/>
              </w:rPr>
              <w:t>显示语言：日语、英语、德语、法语、意大利语、西班牙语、简体中文、葡萄牙语、俄语、土耳其语和波兰语</w:t>
            </w:r>
          </w:p>
          <w:p w14:paraId="03EC9FAD">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24、</w:t>
            </w:r>
            <w:r>
              <w:rPr>
                <w:rFonts w:hint="eastAsia" w:ascii="宋体" w:hAnsi="宋体" w:eastAsia="宋体" w:cs="宋体"/>
                <w:color w:val="000000"/>
                <w:sz w:val="24"/>
                <w:szCs w:val="24"/>
                <w:highlight w:val="none"/>
                <w:lang w:val="en-US" w:eastAsia="zh-CN"/>
              </w:rPr>
              <w:t>接口：USB2.0</w:t>
            </w:r>
          </w:p>
          <w:p w14:paraId="1AB19F1A">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25、</w:t>
            </w:r>
            <w:r>
              <w:rPr>
                <w:rFonts w:hint="eastAsia" w:ascii="宋体" w:hAnsi="宋体" w:eastAsia="宋体" w:cs="宋体"/>
                <w:color w:val="000000"/>
                <w:sz w:val="24"/>
                <w:szCs w:val="24"/>
                <w:highlight w:val="none"/>
                <w:lang w:val="en-US" w:eastAsia="zh-CN"/>
              </w:rPr>
              <w:t>工作温度/湿度范围：0-40℃；相对湿度80%以下（35℃），无冷凝</w:t>
            </w:r>
          </w:p>
          <w:p w14:paraId="64819F3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26、</w:t>
            </w:r>
            <w:r>
              <w:rPr>
                <w:rFonts w:hint="eastAsia" w:ascii="宋体" w:hAnsi="宋体" w:eastAsia="宋体" w:cs="宋体"/>
                <w:color w:val="000000"/>
                <w:sz w:val="24"/>
                <w:szCs w:val="24"/>
                <w:highlight w:val="none"/>
                <w:lang w:val="en-US" w:eastAsia="zh-CN"/>
              </w:rPr>
              <w:t>储存温度/湿度范围：-20-45℃；相对湿度80%以下（35℃），无冷凝</w:t>
            </w:r>
          </w:p>
          <w:p w14:paraId="330286B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27、</w:t>
            </w:r>
            <w:r>
              <w:rPr>
                <w:rFonts w:hint="eastAsia" w:ascii="宋体" w:hAnsi="宋体" w:eastAsia="宋体" w:cs="宋体"/>
                <w:color w:val="000000"/>
                <w:sz w:val="24"/>
                <w:szCs w:val="24"/>
                <w:highlight w:val="none"/>
                <w:lang w:val="en-US" w:eastAsia="zh-CN"/>
              </w:rPr>
              <w:t>电源：可充电锂离子电池（可拆卸），专用交流适配器</w:t>
            </w:r>
          </w:p>
          <w:p w14:paraId="4983821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28、</w:t>
            </w:r>
            <w:r>
              <w:rPr>
                <w:rFonts w:hint="eastAsia" w:ascii="宋体" w:hAnsi="宋体" w:eastAsia="宋体" w:cs="宋体"/>
                <w:color w:val="000000"/>
                <w:sz w:val="24"/>
                <w:szCs w:val="24"/>
                <w:highlight w:val="none"/>
                <w:lang w:val="en-US" w:eastAsia="zh-CN"/>
              </w:rPr>
              <w:t>尺寸：（宽x高x深） 约152 × 239 × 81 mm</w:t>
            </w:r>
          </w:p>
          <w:p w14:paraId="39B8C717">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29、</w:t>
            </w:r>
            <w:r>
              <w:rPr>
                <w:rFonts w:hint="eastAsia" w:ascii="宋体" w:hAnsi="宋体" w:eastAsia="宋体" w:cs="宋体"/>
                <w:color w:val="000000"/>
                <w:sz w:val="24"/>
                <w:szCs w:val="24"/>
                <w:highlight w:val="none"/>
                <w:lang w:val="en-US" w:eastAsia="zh-CN"/>
              </w:rPr>
              <w:t>重量：约1.1 kg（含电池）</w:t>
            </w:r>
          </w:p>
          <w:p w14:paraId="4FBEB19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kern w:val="2"/>
                <w:sz w:val="24"/>
                <w:szCs w:val="24"/>
                <w:highlight w:val="none"/>
                <w:lang w:val="en-US" w:eastAsia="zh-CN" w:bidi="ar-SA"/>
              </w:rPr>
            </w:pPr>
            <w:r>
              <w:rPr>
                <w:rFonts w:hint="eastAsia" w:ascii="宋体" w:hAnsi="宋体" w:cs="宋体"/>
                <w:color w:val="000000"/>
                <w:sz w:val="24"/>
                <w:szCs w:val="24"/>
                <w:highlight w:val="none"/>
                <w:lang w:val="en-US" w:eastAsia="zh-CN"/>
              </w:rPr>
              <w:t>30、</w:t>
            </w:r>
            <w:r>
              <w:rPr>
                <w:rFonts w:hint="eastAsia" w:ascii="宋体" w:hAnsi="宋体" w:eastAsia="宋体" w:cs="宋体"/>
                <w:color w:val="000000"/>
                <w:sz w:val="24"/>
                <w:szCs w:val="24"/>
                <w:highlight w:val="none"/>
                <w:lang w:val="en-US" w:eastAsia="zh-CN"/>
              </w:rPr>
              <w:t>软件：专家版软件NX2Pro（含加密狗）</w:t>
            </w:r>
          </w:p>
        </w:tc>
      </w:tr>
    </w:tbl>
    <w:p w14:paraId="7D6AB73B">
      <w:pPr>
        <w:numPr>
          <w:ilvl w:val="0"/>
          <w:numId w:val="0"/>
        </w:numPr>
        <w:spacing w:line="360" w:lineRule="auto"/>
        <w:ind w:firstLine="723" w:firstLineChars="300"/>
        <w:rPr>
          <w:rFonts w:hint="default" w:ascii="宋体" w:hAnsi="宋体" w:cs="宋体"/>
          <w:bCs/>
          <w:color w:val="auto"/>
          <w:sz w:val="24"/>
          <w:szCs w:val="24"/>
          <w:highlight w:val="none"/>
          <w:lang w:val="en-US" w:eastAsia="zh-CN"/>
        </w:rPr>
      </w:pPr>
      <w:r>
        <w:rPr>
          <w:rFonts w:hint="eastAsia" w:ascii="宋体" w:hAnsi="宋体" w:cs="宋体"/>
          <w:b/>
          <w:bCs w:val="0"/>
          <w:color w:val="auto"/>
          <w:sz w:val="24"/>
          <w:szCs w:val="24"/>
          <w:highlight w:val="none"/>
          <w:lang w:val="en-US" w:eastAsia="zh-CN"/>
        </w:rPr>
        <w:t>注：以上设备配套说明书需同时提供中文版。</w:t>
      </w:r>
    </w:p>
    <w:p w14:paraId="6A17CD8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5.</w:t>
      </w:r>
      <w:r>
        <w:rPr>
          <w:rFonts w:hint="eastAsia" w:ascii="宋体" w:hAnsi="宋体" w:cs="宋体"/>
          <w:spacing w:val="-3"/>
          <w:kern w:val="2"/>
          <w:sz w:val="24"/>
          <w:szCs w:val="24"/>
          <w:lang w:val="en-US" w:eastAsia="zh-CN" w:bidi="ar-SA"/>
        </w:rPr>
        <w:t>5</w:t>
      </w:r>
      <w:r>
        <w:rPr>
          <w:rFonts w:hint="eastAsia" w:ascii="宋体" w:hAnsi="宋体" w:eastAsia="宋体" w:cs="宋体"/>
          <w:spacing w:val="-3"/>
          <w:kern w:val="2"/>
          <w:sz w:val="24"/>
          <w:szCs w:val="24"/>
          <w:lang w:val="en-US" w:eastAsia="zh-CN" w:bidi="ar-SA"/>
        </w:rPr>
        <w:t>投标方职责</w:t>
      </w:r>
    </w:p>
    <w:p w14:paraId="16B11AB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1）负责本协议书所列设备与设施的设计、制造、安装调试工作，并对所提供设备的合理性及可用性负责（合理性是指设备与设施的设计能够科学而充分的考虑各方面的因素，提高其质量与生产效率；可用性是指投标方设计或制造的产品能够在生产中很好的运用，满足使用要求）。并负责设备及产品零部件至招标方工厂的运输及费用。</w:t>
      </w:r>
    </w:p>
    <w:p w14:paraId="0F9B9290">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2</w:t>
      </w:r>
      <w:r>
        <w:rPr>
          <w:rFonts w:hint="eastAsia" w:ascii="宋体" w:hAnsi="宋体" w:eastAsia="宋体" w:cs="宋体"/>
          <w:spacing w:val="-3"/>
          <w:kern w:val="2"/>
          <w:sz w:val="24"/>
          <w:szCs w:val="24"/>
          <w:lang w:val="en-US" w:eastAsia="zh-CN" w:bidi="ar-SA"/>
        </w:rPr>
        <w:t>）对交付的货物及技术资料的完整性、准确性负责。所有的技术资料采用中文文本,都应有图纸资料及光盘两种格式。纸质资料和光盘各两套</w:t>
      </w:r>
      <w:r>
        <w:rPr>
          <w:rFonts w:hint="eastAsia" w:ascii="宋体" w:hAnsi="宋体" w:cs="宋体"/>
          <w:spacing w:val="-3"/>
          <w:kern w:val="2"/>
          <w:sz w:val="24"/>
          <w:szCs w:val="24"/>
          <w:lang w:val="en-US" w:eastAsia="zh-CN" w:bidi="ar-SA"/>
        </w:rPr>
        <w:t>。</w:t>
      </w:r>
    </w:p>
    <w:p w14:paraId="21A9D7F9">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）对招标方提供的技术资料（产品图、数模、标准、工艺等）负有保密义务。</w:t>
      </w:r>
    </w:p>
    <w:p w14:paraId="338A4155">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4</w:t>
      </w:r>
      <w:r>
        <w:rPr>
          <w:rFonts w:hint="eastAsia" w:ascii="宋体" w:hAnsi="宋体" w:eastAsia="宋体" w:cs="宋体"/>
          <w:spacing w:val="-3"/>
          <w:kern w:val="2"/>
          <w:sz w:val="24"/>
          <w:szCs w:val="24"/>
          <w:lang w:val="en-US" w:eastAsia="zh-CN" w:bidi="ar-SA"/>
        </w:rPr>
        <w:t>）为预验收制定验收标准和进度计划，并于一周前通知招标方，由招标方确认后再实施。</w:t>
      </w:r>
    </w:p>
    <w:p w14:paraId="39EE6AB3">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6</w:t>
      </w:r>
      <w:r>
        <w:rPr>
          <w:rFonts w:hint="eastAsia" w:ascii="宋体" w:hAnsi="宋体" w:eastAsia="宋体" w:cs="宋体"/>
          <w:bCs/>
          <w:sz w:val="24"/>
          <w:szCs w:val="24"/>
          <w:lang w:val="en-US" w:eastAsia="zh-CN"/>
        </w:rPr>
        <w:t>执行标准</w:t>
      </w:r>
    </w:p>
    <w:p w14:paraId="677C89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1</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招标人此处所列标准仅为涉及的主要标准，而且不保证其为最新版执行标准；投标人应当在投标文件中认真予以填写、补充和修改完善。</w:t>
      </w:r>
    </w:p>
    <w:p w14:paraId="65E5712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（2）</w:t>
      </w:r>
      <w:r>
        <w:rPr>
          <w:rFonts w:hint="eastAsia" w:ascii="宋体" w:hAnsi="宋体" w:eastAsia="宋体" w:cs="宋体"/>
          <w:bCs/>
          <w:sz w:val="24"/>
          <w:szCs w:val="24"/>
          <w:lang w:val="en-US" w:eastAsia="zh-CN"/>
        </w:rPr>
        <w:t>投标人需要执行的标准，应当采用所供货物通过买方组织的最终验收之日已经开始执行的最新标准。</w:t>
      </w:r>
    </w:p>
    <w:p w14:paraId="4814D7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3</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采购货物的产品质量、技术标准如在招投标文件中无相应说明，则按中华人民共和国有关部门颁发的最新的国标或专业（部）标准执行及相应的国际标准。</w:t>
      </w:r>
    </w:p>
    <w:p w14:paraId="4CFD27CE">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4</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采购货物没有国家或专业（部）标准的，按企业标准执行时，卖方应在合同签署之前，将所涉及的企业标准提供给买方确认。</w:t>
      </w:r>
    </w:p>
    <w:p w14:paraId="4016E9C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5</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采购货物如果采用国际标准，其执行标准由投标人提供、招标人确认。</w:t>
      </w:r>
    </w:p>
    <w:p w14:paraId="000A031A">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6</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采购货物所涉及的标准不统一时，原则上按照最严格标准执行。</w:t>
      </w:r>
    </w:p>
    <w:p w14:paraId="44D3D380">
      <w:pPr>
        <w:spacing w:line="360" w:lineRule="auto"/>
        <w:ind w:firstLine="482" w:firstLineChars="200"/>
        <w:rPr>
          <w:rFonts w:hint="eastAsia" w:ascii="宋体" w:hAnsi="宋体" w:eastAsia="宋体" w:cs="宋体"/>
          <w:b/>
          <w:bCs w:val="0"/>
          <w:sz w:val="24"/>
          <w:szCs w:val="24"/>
          <w:highlight w:val="none"/>
          <w:u w:val="single"/>
          <w:lang w:val="en-US" w:eastAsia="zh-CN"/>
        </w:rPr>
      </w:pPr>
      <w:bookmarkStart w:id="67" w:name="_Toc10762"/>
      <w:r>
        <w:rPr>
          <w:rFonts w:hint="eastAsia" w:ascii="宋体" w:hAnsi="宋体" w:eastAsia="宋体" w:cs="宋体"/>
          <w:b/>
          <w:bCs w:val="0"/>
          <w:sz w:val="24"/>
          <w:szCs w:val="24"/>
          <w:highlight w:val="none"/>
          <w:u w:val="single"/>
          <w:lang w:val="en-US" w:eastAsia="zh-CN"/>
        </w:rPr>
        <w:t>5.</w:t>
      </w:r>
      <w:r>
        <w:rPr>
          <w:rFonts w:hint="eastAsia" w:ascii="宋体" w:hAnsi="宋体" w:cs="宋体"/>
          <w:b/>
          <w:bCs w:val="0"/>
          <w:sz w:val="24"/>
          <w:szCs w:val="24"/>
          <w:highlight w:val="none"/>
          <w:u w:val="single"/>
          <w:lang w:val="en-US" w:eastAsia="zh-CN"/>
        </w:rPr>
        <w:t>7备</w:t>
      </w:r>
      <w:r>
        <w:rPr>
          <w:rFonts w:hint="eastAsia" w:ascii="宋体" w:hAnsi="宋体" w:eastAsia="宋体" w:cs="宋体"/>
          <w:b/>
          <w:bCs w:val="0"/>
          <w:sz w:val="24"/>
          <w:szCs w:val="24"/>
          <w:highlight w:val="none"/>
          <w:u w:val="single"/>
          <w:lang w:val="en-US" w:eastAsia="zh-CN"/>
        </w:rPr>
        <w:t>品、备件</w:t>
      </w:r>
      <w:bookmarkEnd w:id="67"/>
    </w:p>
    <w:p w14:paraId="41029951">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投标方向招标方提供备件清单，由招标方确认最终选择哪些作为备品备件。招标方招标文件所指备品备件、易损件和专用耗材，是招标方为保证设备质保期之后正常运行一年所自备自用的备品备件、易损件和专用耗材；投标方应免费提供满足设备正常运行一年所需的备品备件、易损件和专用耗材，并附详细清单（包括名称、型号、规格、单位、数量、生产厂家、单价、总价等条目）；投标方应提供设备维修所必需的专用工具，并附详细清单（包括名称、型号、规格、单位、数量、生产厂家、单价、总价等条目）；投标方应提供易损件和专用耗材的制造图纸及其技术要求等资料；备品备件、易损件和专用耗材，其费用应分类单列，并计入投标总报价之内。</w:t>
      </w:r>
    </w:p>
    <w:p w14:paraId="11E57B41">
      <w:pPr>
        <w:spacing w:line="360" w:lineRule="auto"/>
        <w:ind w:firstLine="480" w:firstLineChars="200"/>
        <w:rPr>
          <w:rFonts w:hint="eastAsia" w:ascii="宋体" w:hAnsi="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8技术资料</w:t>
      </w:r>
    </w:p>
    <w:p w14:paraId="7EB7EA4A">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1</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投标方须负责在预验收前，提供设备（或材料）各部分的功能描述文件、图纸；</w:t>
      </w:r>
    </w:p>
    <w:p w14:paraId="313276B2">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2</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投标方须负责在终验收前，提供包括设备（或材料）的操作维护手册，保养维修手册、操作和安全事项的使用说明书、设备（或材料）的设计总图、安装基础图、维修图等有关的资料；</w:t>
      </w:r>
    </w:p>
    <w:p w14:paraId="6B5CE318">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3</w:t>
      </w:r>
      <w:r>
        <w:rPr>
          <w:rFonts w:hint="eastAsia" w:ascii="宋体" w:hAnsi="宋体" w:cs="宋体"/>
          <w:bCs/>
          <w:sz w:val="24"/>
          <w:szCs w:val="24"/>
          <w:lang w:val="en-US" w:eastAsia="zh-CN"/>
        </w:rPr>
        <w:t>）</w:t>
      </w:r>
      <w:r>
        <w:rPr>
          <w:rFonts w:hint="default" w:ascii="宋体" w:hAnsi="宋体" w:cs="宋体"/>
          <w:bCs/>
          <w:sz w:val="24"/>
          <w:szCs w:val="24"/>
          <w:lang w:val="en-US" w:eastAsia="zh-CN"/>
        </w:rPr>
        <w:t>本“技术资料范围”所列的技术资料、图等，卖方应各提供纸质资料、电子资料（U盘）各3套，每份技术文件应装有目录清单；</w:t>
      </w:r>
    </w:p>
    <w:p w14:paraId="730BB25E">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4</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投标方须提供完整的所有设备和部件的中文技术资料，技术资料应包含 以下内容：</w:t>
      </w:r>
    </w:p>
    <w:p w14:paraId="0348D2B1">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设备描述；</w:t>
      </w:r>
    </w:p>
    <w:p w14:paraId="62D4E6C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使用说明书（含机械、电气部分）；</w:t>
      </w:r>
    </w:p>
    <w:p w14:paraId="07FD770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产品合格证书；</w:t>
      </w:r>
    </w:p>
    <w:p w14:paraId="39513A7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各种校准纪录和精度检验报告；</w:t>
      </w:r>
    </w:p>
    <w:p w14:paraId="205D3C08">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装箱单；</w:t>
      </w:r>
    </w:p>
    <w:p w14:paraId="631E3756">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零部件和备件清单；</w:t>
      </w:r>
    </w:p>
    <w:p w14:paraId="4D75BCAB">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消耗材料和易损件清单；</w:t>
      </w:r>
    </w:p>
    <w:p w14:paraId="759A9719">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机械图纸、电气电路图、接线图等；</w:t>
      </w:r>
    </w:p>
    <w:p w14:paraId="51DEC93F">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维修和保养手册；</w:t>
      </w:r>
    </w:p>
    <w:p w14:paraId="4B23CF9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安装图纸（包括地基图和施工指南）；</w:t>
      </w:r>
    </w:p>
    <w:p w14:paraId="6998E42F">
      <w:pPr>
        <w:spacing w:line="360" w:lineRule="auto"/>
        <w:ind w:firstLine="480" w:firstLineChars="200"/>
        <w:rPr>
          <w:rFonts w:hint="eastAsia" w:ascii="宋体" w:hAnsi="宋体"/>
          <w:b/>
          <w:bCs/>
          <w:spacing w:val="4"/>
          <w:sz w:val="24"/>
        </w:rPr>
      </w:pPr>
      <w:r>
        <w:rPr>
          <w:rFonts w:hint="eastAsia" w:ascii="宋体" w:hAnsi="宋体" w:cs="宋体"/>
          <w:bCs/>
          <w:sz w:val="24"/>
          <w:szCs w:val="24"/>
          <w:lang w:val="en-US" w:eastAsia="zh-CN"/>
        </w:rPr>
        <w:t>（</w:t>
      </w:r>
      <w:r>
        <w:rPr>
          <w:rFonts w:hint="default" w:ascii="宋体" w:hAnsi="宋体" w:cs="宋体"/>
          <w:bCs/>
          <w:sz w:val="24"/>
          <w:szCs w:val="24"/>
          <w:lang w:val="en-US" w:eastAsia="zh-CN"/>
        </w:rPr>
        <w:t>5</w:t>
      </w:r>
      <w:r>
        <w:rPr>
          <w:rFonts w:hint="eastAsia" w:ascii="宋体" w:hAnsi="宋体" w:cs="宋体"/>
          <w:bCs/>
          <w:sz w:val="24"/>
          <w:szCs w:val="24"/>
          <w:lang w:val="en-US" w:eastAsia="zh-CN"/>
        </w:rPr>
        <w:t>）</w:t>
      </w:r>
      <w:r>
        <w:rPr>
          <w:rFonts w:hint="default" w:ascii="宋体" w:hAnsi="宋体" w:cs="宋体"/>
          <w:bCs/>
          <w:sz w:val="24"/>
          <w:szCs w:val="24"/>
          <w:lang w:val="en-US" w:eastAsia="zh-CN"/>
        </w:rPr>
        <w:t>提供软件安装包备份文件。</w:t>
      </w:r>
    </w:p>
    <w:p w14:paraId="7EF4AD6F">
      <w:pPr>
        <w:spacing w:line="360" w:lineRule="auto"/>
        <w:rPr>
          <w:rFonts w:hint="eastAsia" w:ascii="宋体" w:hAnsi="宋体" w:cs="Times New Roman"/>
          <w:b/>
          <w:bCs/>
          <w:spacing w:val="4"/>
          <w:sz w:val="24"/>
        </w:rPr>
      </w:pPr>
      <w:r>
        <w:rPr>
          <w:rFonts w:hint="eastAsia" w:ascii="宋体" w:hAnsi="宋体" w:cs="Times New Roman"/>
          <w:b/>
          <w:bCs/>
          <w:spacing w:val="4"/>
          <w:sz w:val="24"/>
          <w:lang w:val="en-US" w:eastAsia="zh-CN"/>
        </w:rPr>
        <w:t>6、</w:t>
      </w:r>
      <w:r>
        <w:rPr>
          <w:rFonts w:hint="eastAsia" w:ascii="宋体" w:hAnsi="宋体" w:cs="Times New Roman"/>
          <w:b/>
          <w:bCs/>
          <w:spacing w:val="4"/>
          <w:sz w:val="24"/>
        </w:rPr>
        <w:t>保养、维修、使用方便性要求</w:t>
      </w:r>
    </w:p>
    <w:p w14:paraId="07A6CF4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684F5E6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44064A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16160C7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3F01B4D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0D0634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56AAF33A">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214B5716">
      <w:pPr>
        <w:spacing w:line="360" w:lineRule="auto"/>
        <w:rPr>
          <w:rFonts w:hint="eastAsia" w:ascii="宋体" w:hAnsi="宋体" w:cs="Times New Roman"/>
          <w:b/>
          <w:bCs/>
          <w:spacing w:val="4"/>
          <w:sz w:val="24"/>
        </w:rPr>
      </w:pPr>
      <w:r>
        <w:rPr>
          <w:rFonts w:hint="eastAsia" w:ascii="宋体" w:hAnsi="宋体" w:cs="Times New Roman"/>
          <w:b/>
          <w:bCs/>
          <w:spacing w:val="4"/>
          <w:sz w:val="24"/>
        </w:rPr>
        <w:t>7、包装运输</w:t>
      </w:r>
    </w:p>
    <w:p w14:paraId="075DDA6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36C0A7D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074D6A4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26ADFB3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70AA7A5D">
      <w:pPr>
        <w:spacing w:line="360" w:lineRule="auto"/>
        <w:jc w:val="left"/>
        <w:rPr>
          <w:rFonts w:hint="eastAsia" w:ascii="宋体" w:hAnsi="宋体" w:cs="Times New Roman"/>
          <w:b/>
          <w:bCs/>
          <w:spacing w:val="4"/>
          <w:sz w:val="24"/>
        </w:rPr>
      </w:pPr>
      <w:r>
        <w:rPr>
          <w:rFonts w:hint="eastAsia" w:ascii="宋体" w:hAnsi="宋体" w:cs="Times New Roman"/>
          <w:b/>
          <w:bCs/>
          <w:spacing w:val="4"/>
          <w:sz w:val="24"/>
        </w:rPr>
        <w:t>8、安装调试</w:t>
      </w:r>
    </w:p>
    <w:p w14:paraId="10DFD43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 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27B1E60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305DED6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6DFB305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3F09BF0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67CD0B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412A3F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7EB60A7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0CB36A6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11AEA16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789BFC6B">
      <w:pPr>
        <w:spacing w:line="360" w:lineRule="auto"/>
        <w:rPr>
          <w:rFonts w:hint="eastAsia" w:ascii="宋体" w:hAnsi="宋体" w:cs="Times New Roman"/>
          <w:b/>
          <w:bCs/>
          <w:spacing w:val="4"/>
          <w:sz w:val="24"/>
        </w:rPr>
      </w:pPr>
      <w:r>
        <w:rPr>
          <w:rFonts w:hint="eastAsia" w:ascii="宋体" w:hAnsi="宋体" w:cs="Times New Roman"/>
          <w:b/>
          <w:bCs/>
          <w:spacing w:val="4"/>
          <w:sz w:val="24"/>
        </w:rPr>
        <w:t>9、验收及标准</w:t>
      </w:r>
    </w:p>
    <w:p w14:paraId="32D844E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5062990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30C7EAB0">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7BD96107">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54E218E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332725E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2A05C78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6E45B2F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3954EB1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4348EED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5E20860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28EC3C2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33DA853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76A6B34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592DD0F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5CB293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3EFC620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16D4187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 xml:space="preserve"> </w:t>
      </w:r>
      <w:r>
        <w:rPr>
          <w:rFonts w:hint="eastAsia" w:ascii="宋体" w:hAnsi="宋体" w:cs="Times New Roman"/>
          <w:spacing w:val="4"/>
          <w:sz w:val="24"/>
          <w:lang w:val="en-US" w:eastAsia="zh-CN"/>
        </w:rPr>
        <w:t>终</w:t>
      </w:r>
      <w:r>
        <w:rPr>
          <w:rFonts w:hint="eastAsia" w:ascii="宋体" w:hAnsi="宋体" w:cs="Times New Roman"/>
          <w:spacing w:val="4"/>
          <w:sz w:val="24"/>
        </w:rPr>
        <w:t>验收</w:t>
      </w:r>
    </w:p>
    <w:p w14:paraId="0F17C1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1终验收规程：</w:t>
      </w:r>
    </w:p>
    <w:p w14:paraId="6B04C47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设备（或材料）允许情况下，一般连续运行 30 天，每天连续</w:t>
      </w:r>
      <w:r>
        <w:rPr>
          <w:rFonts w:hint="eastAsia" w:ascii="宋体" w:hAnsi="宋体" w:cs="Times New Roman"/>
          <w:spacing w:val="4"/>
          <w:sz w:val="24"/>
          <w:lang w:val="en-US" w:eastAsia="zh-CN"/>
        </w:rPr>
        <w:t>不低于</w:t>
      </w:r>
      <w:r>
        <w:rPr>
          <w:rFonts w:hint="eastAsia" w:ascii="宋体" w:hAnsi="宋体" w:cs="Times New Roman"/>
          <w:spacing w:val="4"/>
          <w:sz w:val="24"/>
        </w:rPr>
        <w:t xml:space="preserve"> 10 小时，除用户方面因素外，必须达到以下要求：</w:t>
      </w:r>
    </w:p>
    <w:p w14:paraId="73B0535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w:t>
      </w:r>
      <w:r>
        <w:rPr>
          <w:rFonts w:hint="eastAsia" w:ascii="宋体" w:hAnsi="宋体" w:cs="Times New Roman"/>
          <w:spacing w:val="4"/>
          <w:sz w:val="24"/>
          <w:lang w:val="en-US" w:eastAsia="zh-CN"/>
        </w:rPr>
        <w:t>.</w:t>
      </w:r>
      <w:r>
        <w:rPr>
          <w:rFonts w:hint="eastAsia" w:ascii="宋体" w:hAnsi="宋体" w:cs="Times New Roman"/>
          <w:spacing w:val="4"/>
          <w:sz w:val="24"/>
        </w:rPr>
        <w:t>在整个验收过程中没有维修、更换零部件或元件行为；</w:t>
      </w:r>
    </w:p>
    <w:p w14:paraId="32E71B0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b.</w:t>
      </w:r>
      <w:r>
        <w:rPr>
          <w:rFonts w:hint="eastAsia" w:ascii="宋体" w:hAnsi="宋体" w:cs="Times New Roman"/>
          <w:spacing w:val="4"/>
          <w:sz w:val="24"/>
        </w:rPr>
        <w:t>终验收原则上要求一次完成，若一次验收不成功，最多允许两次；</w:t>
      </w:r>
    </w:p>
    <w:p w14:paraId="2FFE09D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w:t>
      </w:r>
      <w:r>
        <w:rPr>
          <w:rFonts w:hint="eastAsia" w:ascii="宋体" w:hAnsi="宋体" w:cs="Times New Roman"/>
          <w:spacing w:val="4"/>
          <w:sz w:val="24"/>
          <w:lang w:val="en-US" w:eastAsia="zh-CN"/>
        </w:rPr>
        <w:t>.</w:t>
      </w:r>
      <w:r>
        <w:rPr>
          <w:rFonts w:hint="eastAsia" w:ascii="宋体" w:hAnsi="宋体" w:cs="Times New Roman"/>
          <w:spacing w:val="4"/>
          <w:sz w:val="24"/>
        </w:rPr>
        <w:t>终验收通过后买卖双方共同签署终验收报告。</w:t>
      </w:r>
    </w:p>
    <w:p w14:paraId="1C9CDB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2终验收时的一般验收标准与要求：</w:t>
      </w:r>
    </w:p>
    <w:p w14:paraId="6E4A6B8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a.资料齐全性、完整性和有效性。</w:t>
      </w:r>
    </w:p>
    <w:p w14:paraId="5E0D6A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b.设备（或材料）应运行稳定、可靠、安全，无异常声音和非正常振动。设备不允许出现漏水、漏液、漏气（汽）、漏电。</w:t>
      </w:r>
    </w:p>
    <w:p w14:paraId="31C046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c.设备（或材料）应有完整的标牌，且清晰易见；</w:t>
      </w:r>
    </w:p>
    <w:p w14:paraId="38E6D31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5.3</w:t>
      </w:r>
      <w:r>
        <w:rPr>
          <w:rFonts w:hint="eastAsia" w:ascii="宋体" w:hAnsi="宋体" w:cs="Times New Roman"/>
          <w:spacing w:val="4"/>
          <w:sz w:val="24"/>
        </w:rPr>
        <w:t xml:space="preserve"> 终验收条件</w:t>
      </w:r>
    </w:p>
    <w:p w14:paraId="36DD326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依据招标文件、投标文件、答疑文件、技术交流文件等形成并达成一致的技术协议书和合同规定的终验收条件验收。</w:t>
      </w:r>
    </w:p>
    <w:p w14:paraId="14C9C0D2">
      <w:pPr>
        <w:spacing w:line="360" w:lineRule="auto"/>
        <w:rPr>
          <w:rFonts w:hint="eastAsia" w:ascii="宋体" w:hAnsi="宋体" w:cs="Times New Roman"/>
          <w:spacing w:val="4"/>
          <w:sz w:val="24"/>
        </w:rPr>
      </w:pPr>
      <w:r>
        <w:rPr>
          <w:rFonts w:hint="eastAsia" w:ascii="宋体" w:hAnsi="宋体" w:cs="Times New Roman"/>
          <w:b/>
          <w:bCs/>
          <w:spacing w:val="4"/>
          <w:sz w:val="24"/>
        </w:rPr>
        <w:t>10、培训</w:t>
      </w:r>
    </w:p>
    <w:p w14:paraId="7DEF12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0D00B3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2D70E71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3B888F1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74A3CFE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6B35F1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472111A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24A76E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160DD8E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315900D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73D1E39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及相互作用；检查、检测过程；试验、检测设备；预防性维护（PM）、常规保养程序、保养维护计划、润滑、零部件更换程序以及调整与校正；</w:t>
      </w:r>
    </w:p>
    <w:p w14:paraId="6995963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6B67B3F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52A90596">
      <w:pPr>
        <w:spacing w:line="360" w:lineRule="auto"/>
        <w:rPr>
          <w:rFonts w:ascii="宋体" w:hAnsi="宋体" w:eastAsia="宋体" w:cs="宋体"/>
          <w:b w:val="0"/>
          <w:i w:val="0"/>
          <w:color w:val="000000"/>
          <w:spacing w:val="0"/>
          <w:w w:val="100"/>
          <w:kern w:val="0"/>
          <w:position w:val="0"/>
          <w:sz w:val="24"/>
          <w:szCs w:val="24"/>
        </w:rPr>
      </w:pPr>
      <w:r>
        <w:rPr>
          <w:rFonts w:hint="eastAsia" w:ascii="宋体" w:hAnsi="宋体" w:cs="Times New Roman"/>
          <w:b/>
          <w:bCs/>
          <w:spacing w:val="4"/>
          <w:sz w:val="24"/>
        </w:rPr>
        <w:t>11、质保期及售后服务</w:t>
      </w:r>
    </w:p>
    <w:p w14:paraId="422E3F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5AC6E14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spacing w:val="4"/>
          <w:sz w:val="24"/>
          <w:u w:val="single"/>
          <w:lang w:val="en-US" w:eastAsia="zh-CN"/>
        </w:rPr>
        <w:t>1</w:t>
      </w:r>
      <w:r>
        <w:rPr>
          <w:rFonts w:hint="eastAsia" w:ascii="宋体" w:hAnsi="宋体" w:cs="Times New Roman"/>
          <w:spacing w:val="4"/>
          <w:sz w:val="24"/>
        </w:rPr>
        <w:t>年。自招标方工程终验收合格签字之日起，保证质保期内设备连续运转良好；如质保期内设备发生重大故障，合同质保期顺延，以故障排除之日起计重新计算。</w:t>
      </w:r>
    </w:p>
    <w:p w14:paraId="4248E9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25D8CD5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2838C67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5920F62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7411185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11.7 质保期结束后，投标方仍负责对设备和系统提供终身维修服务，投标方在接到招 标方故障通知后立即给予答复，并及时委派专业技术人员到现场免费提供咨询、维修服务，其维修只收取配件费。</w:t>
      </w:r>
    </w:p>
    <w:p w14:paraId="35EF589B">
      <w:pPr>
        <w:spacing w:line="360" w:lineRule="auto"/>
        <w:rPr>
          <w:rFonts w:hint="eastAsia" w:ascii="宋体" w:hAnsi="宋体"/>
          <w:spacing w:val="4"/>
          <w:sz w:val="24"/>
        </w:rPr>
      </w:pPr>
    </w:p>
    <w:p w14:paraId="75B79E12"/>
    <w:p w14:paraId="0668263D">
      <w:pPr>
        <w:spacing w:line="360" w:lineRule="auto"/>
        <w:rPr>
          <w:rFonts w:hint="eastAsia" w:ascii="宋体" w:hAnsi="宋体"/>
          <w:spacing w:val="4"/>
          <w:sz w:val="24"/>
        </w:rPr>
      </w:pPr>
    </w:p>
    <w:p w14:paraId="0C4A58F5">
      <w:pPr>
        <w:spacing w:line="360" w:lineRule="auto"/>
        <w:ind w:left="124" w:leftChars="59" w:firstLine="500" w:firstLineChars="202"/>
        <w:rPr>
          <w:rFonts w:hint="eastAsia" w:ascii="宋体" w:hAnsi="宋体"/>
          <w:spacing w:val="4"/>
          <w:sz w:val="24"/>
        </w:rPr>
      </w:pPr>
    </w:p>
    <w:p w14:paraId="4458FC54">
      <w:pPr>
        <w:spacing w:line="360" w:lineRule="auto"/>
        <w:ind w:left="124" w:leftChars="59" w:firstLine="500" w:firstLineChars="202"/>
        <w:rPr>
          <w:rFonts w:hint="eastAsia" w:ascii="宋体" w:hAnsi="宋体"/>
          <w:spacing w:val="4"/>
          <w:sz w:val="24"/>
        </w:rPr>
      </w:pPr>
    </w:p>
    <w:p w14:paraId="72CC0FF6">
      <w:pPr>
        <w:spacing w:line="360" w:lineRule="auto"/>
        <w:ind w:left="124" w:leftChars="59" w:firstLine="500" w:firstLineChars="202"/>
        <w:rPr>
          <w:rFonts w:hint="eastAsia" w:ascii="宋体" w:hAnsi="宋体"/>
          <w:spacing w:val="4"/>
          <w:sz w:val="24"/>
        </w:rPr>
      </w:pPr>
    </w:p>
    <w:p w14:paraId="7883A053">
      <w:pPr>
        <w:rPr>
          <w:rStyle w:val="46"/>
        </w:rPr>
      </w:pPr>
      <w:r>
        <w:rPr>
          <w:rStyle w:val="46"/>
          <w:rFonts w:hint="eastAsia"/>
        </w:rPr>
        <w:br w:type="page"/>
      </w:r>
    </w:p>
    <w:p w14:paraId="3F9ADAB1">
      <w:pPr>
        <w:pStyle w:val="2"/>
      </w:pPr>
      <w:bookmarkStart w:id="68" w:name="_Toc32672"/>
      <w:r>
        <w:rPr>
          <w:rStyle w:val="46"/>
          <w:rFonts w:hint="eastAsia"/>
          <w:b/>
          <w:bCs/>
        </w:rPr>
        <w:t>第五章</w:t>
      </w:r>
      <w:bookmarkEnd w:id="25"/>
      <w:r>
        <w:rPr>
          <w:rStyle w:val="46"/>
          <w:rFonts w:hint="eastAsia"/>
          <w:b/>
          <w:bCs/>
        </w:rPr>
        <w:t xml:space="preserve"> 服务标准及要求</w:t>
      </w:r>
      <w:bookmarkEnd w:id="36"/>
      <w:bookmarkEnd w:id="68"/>
    </w:p>
    <w:p w14:paraId="50F9AE65">
      <w:pPr>
        <w:spacing w:line="360" w:lineRule="auto"/>
        <w:ind w:firstLine="482" w:firstLineChars="200"/>
        <w:rPr>
          <w:rFonts w:hint="eastAsia" w:ascii="宋体" w:hAnsi="宋体"/>
          <w:sz w:val="24"/>
        </w:rPr>
      </w:pPr>
      <w:bookmarkStart w:id="69" w:name="_Toc328489369"/>
      <w:bookmarkStart w:id="70" w:name="_Toc328489323"/>
      <w:r>
        <w:rPr>
          <w:rFonts w:hint="eastAsia" w:ascii="宋体" w:hAnsi="宋体"/>
          <w:b/>
          <w:sz w:val="24"/>
        </w:rPr>
        <w:t>一、招标范围</w:t>
      </w:r>
    </w:p>
    <w:tbl>
      <w:tblPr>
        <w:tblStyle w:val="31"/>
        <w:tblW w:w="90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72"/>
        <w:gridCol w:w="1935"/>
        <w:gridCol w:w="1005"/>
        <w:gridCol w:w="1950"/>
        <w:gridCol w:w="2035"/>
      </w:tblGrid>
      <w:tr w14:paraId="0FEA8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2172" w:type="dxa"/>
            <w:vAlign w:val="center"/>
          </w:tcPr>
          <w:p w14:paraId="4ED957BF">
            <w:pPr>
              <w:jc w:val="center"/>
              <w:rPr>
                <w:sz w:val="24"/>
              </w:rPr>
            </w:pPr>
            <w:r>
              <w:rPr>
                <w:rFonts w:hint="eastAsia"/>
                <w:sz w:val="24"/>
              </w:rPr>
              <w:t>货物名称</w:t>
            </w:r>
          </w:p>
        </w:tc>
        <w:tc>
          <w:tcPr>
            <w:tcW w:w="1935" w:type="dxa"/>
            <w:vAlign w:val="center"/>
          </w:tcPr>
          <w:p w14:paraId="55D6689F">
            <w:pPr>
              <w:jc w:val="center"/>
              <w:rPr>
                <w:sz w:val="24"/>
              </w:rPr>
            </w:pPr>
            <w:r>
              <w:rPr>
                <w:rFonts w:hint="eastAsia"/>
                <w:sz w:val="24"/>
              </w:rPr>
              <w:t>规格/型号</w:t>
            </w:r>
          </w:p>
        </w:tc>
        <w:tc>
          <w:tcPr>
            <w:tcW w:w="1005" w:type="dxa"/>
            <w:vAlign w:val="center"/>
          </w:tcPr>
          <w:p w14:paraId="04038BD5">
            <w:pPr>
              <w:jc w:val="center"/>
              <w:rPr>
                <w:sz w:val="24"/>
              </w:rPr>
            </w:pPr>
            <w:r>
              <w:rPr>
                <w:rFonts w:hint="eastAsia"/>
                <w:sz w:val="24"/>
              </w:rPr>
              <w:t>数量</w:t>
            </w:r>
          </w:p>
        </w:tc>
        <w:tc>
          <w:tcPr>
            <w:tcW w:w="1950" w:type="dxa"/>
            <w:vAlign w:val="center"/>
          </w:tcPr>
          <w:p w14:paraId="6C6FD085">
            <w:pPr>
              <w:jc w:val="center"/>
              <w:rPr>
                <w:sz w:val="24"/>
              </w:rPr>
            </w:pPr>
            <w:r>
              <w:rPr>
                <w:rFonts w:hint="eastAsia"/>
                <w:sz w:val="24"/>
              </w:rPr>
              <w:t>交货方式</w:t>
            </w:r>
          </w:p>
        </w:tc>
        <w:tc>
          <w:tcPr>
            <w:tcW w:w="2035" w:type="dxa"/>
            <w:vAlign w:val="center"/>
          </w:tcPr>
          <w:p w14:paraId="01D3E3D4">
            <w:pPr>
              <w:jc w:val="center"/>
              <w:rPr>
                <w:sz w:val="24"/>
              </w:rPr>
            </w:pPr>
            <w:r>
              <w:rPr>
                <w:rFonts w:hint="eastAsia"/>
                <w:sz w:val="24"/>
              </w:rPr>
              <w:t>交货地点</w:t>
            </w:r>
          </w:p>
        </w:tc>
      </w:tr>
      <w:tr w14:paraId="23C23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2172" w:type="dxa"/>
            <w:vAlign w:val="center"/>
          </w:tcPr>
          <w:p w14:paraId="2F7C4043">
            <w:pPr>
              <w:jc w:val="center"/>
              <w:rPr>
                <w:rFonts w:hint="eastAsia" w:eastAsia="宋体"/>
                <w:sz w:val="22"/>
                <w:szCs w:val="22"/>
                <w:lang w:val="en-US" w:eastAsia="zh-CN"/>
              </w:rPr>
            </w:pPr>
            <w:r>
              <w:rPr>
                <w:rFonts w:hint="eastAsia"/>
                <w:sz w:val="22"/>
                <w:szCs w:val="22"/>
                <w:lang w:val="en-US" w:eastAsia="zh-CN"/>
              </w:rPr>
              <w:t>色差仪（含配套软件）</w:t>
            </w:r>
          </w:p>
        </w:tc>
        <w:tc>
          <w:tcPr>
            <w:tcW w:w="1935" w:type="dxa"/>
            <w:vAlign w:val="center"/>
          </w:tcPr>
          <w:p w14:paraId="65B33019">
            <w:pPr>
              <w:jc w:val="center"/>
              <w:rPr>
                <w:rFonts w:hint="default" w:eastAsia="宋体"/>
                <w:sz w:val="22"/>
                <w:szCs w:val="22"/>
                <w:lang w:val="en-US" w:eastAsia="zh-CN"/>
              </w:rPr>
            </w:pPr>
            <w:r>
              <w:rPr>
                <w:rFonts w:hint="eastAsia"/>
                <w:sz w:val="22"/>
                <w:szCs w:val="22"/>
              </w:rPr>
              <w:t>满足我方实际需求</w:t>
            </w:r>
          </w:p>
        </w:tc>
        <w:tc>
          <w:tcPr>
            <w:tcW w:w="1005" w:type="dxa"/>
            <w:vAlign w:val="center"/>
          </w:tcPr>
          <w:p w14:paraId="4E33A662">
            <w:pPr>
              <w:jc w:val="center"/>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950" w:type="dxa"/>
            <w:vAlign w:val="center"/>
          </w:tcPr>
          <w:p w14:paraId="67D9BCFB">
            <w:pPr>
              <w:jc w:val="center"/>
              <w:rPr>
                <w:sz w:val="22"/>
                <w:szCs w:val="22"/>
              </w:rPr>
            </w:pPr>
            <w:r>
              <w:rPr>
                <w:rFonts w:hint="eastAsia"/>
                <w:sz w:val="22"/>
                <w:szCs w:val="22"/>
              </w:rPr>
              <w:t>交钥匙方式</w:t>
            </w:r>
          </w:p>
        </w:tc>
        <w:tc>
          <w:tcPr>
            <w:tcW w:w="2035" w:type="dxa"/>
            <w:vAlign w:val="center"/>
          </w:tcPr>
          <w:p w14:paraId="204266C3">
            <w:pPr>
              <w:rPr>
                <w:sz w:val="22"/>
                <w:szCs w:val="22"/>
              </w:rPr>
            </w:pPr>
            <w:r>
              <w:rPr>
                <w:rFonts w:hint="eastAsia"/>
                <w:sz w:val="22"/>
                <w:szCs w:val="22"/>
              </w:rPr>
              <w:t>山东省济宁市诗仙路369号济宁商用车厂区内</w:t>
            </w: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69"/>
      <w:bookmarkEnd w:id="70"/>
      <w:bookmarkStart w:id="71" w:name="_Toc328489324"/>
      <w:bookmarkStart w:id="72" w:name="_Toc328489370"/>
    </w:p>
    <w:bookmarkEnd w:id="71"/>
    <w:bookmarkEnd w:id="72"/>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3" w:name="_Toc328489372"/>
      <w:bookmarkStart w:id="74" w:name="_Toc328489326"/>
      <w:r>
        <w:rPr>
          <w:rFonts w:hint="eastAsia" w:ascii="宋体" w:hAnsi="宋体"/>
          <w:b/>
          <w:sz w:val="24"/>
        </w:rPr>
        <w:t>三、安装调试、设备验收</w:t>
      </w:r>
      <w:bookmarkEnd w:id="73"/>
      <w:bookmarkEnd w:id="74"/>
    </w:p>
    <w:p w14:paraId="6E809A36">
      <w:pPr>
        <w:spacing w:line="360" w:lineRule="auto"/>
        <w:ind w:firstLine="480" w:firstLineChars="200"/>
        <w:rPr>
          <w:rFonts w:hint="eastAsia" w:ascii="宋体" w:hAnsi="宋体"/>
          <w:sz w:val="24"/>
        </w:rPr>
      </w:pPr>
      <w:bookmarkStart w:id="75" w:name="_Toc328489327"/>
      <w:bookmarkStart w:id="76" w:name="_Toc328489373"/>
      <w:r>
        <w:rPr>
          <w:rFonts w:hint="eastAsia" w:ascii="宋体" w:hAnsi="宋体"/>
          <w:sz w:val="24"/>
        </w:rPr>
        <w:t>3.1 安装调试</w:t>
      </w:r>
      <w:bookmarkEnd w:id="75"/>
      <w:bookmarkEnd w:id="76"/>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77" w:name="_Toc298248794"/>
      <w:bookmarkStart w:id="78" w:name="_Toc328489328"/>
      <w:bookmarkStart w:id="79" w:name="_Toc328489374"/>
      <w:bookmarkStart w:id="80" w:name="_Toc266518524"/>
      <w:r>
        <w:rPr>
          <w:rFonts w:hint="eastAsia" w:ascii="宋体" w:hAnsi="宋体"/>
          <w:sz w:val="24"/>
        </w:rPr>
        <w:t>3.2 项目验收</w:t>
      </w:r>
      <w:bookmarkEnd w:id="77"/>
      <w:bookmarkEnd w:id="78"/>
      <w:bookmarkEnd w:id="79"/>
      <w:bookmarkEnd w:id="80"/>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1" w:name="_Toc328489329"/>
      <w:bookmarkStart w:id="82" w:name="_Toc328489375"/>
      <w:r>
        <w:rPr>
          <w:rFonts w:hint="eastAsia" w:ascii="宋体" w:hAnsi="宋体"/>
          <w:b/>
          <w:sz w:val="24"/>
        </w:rPr>
        <w:t>四、技术要求、技术培训、陪伴生产及售后服务</w:t>
      </w:r>
      <w:bookmarkEnd w:id="81"/>
      <w:bookmarkEnd w:id="82"/>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3" w:name="_Toc328489376"/>
      <w:bookmarkStart w:id="84" w:name="_Toc328489330"/>
      <w:r>
        <w:rPr>
          <w:rFonts w:hint="eastAsia" w:ascii="宋体" w:hAnsi="宋体"/>
          <w:b/>
          <w:sz w:val="24"/>
        </w:rPr>
        <w:t>五、随机提供资料及备件</w:t>
      </w:r>
      <w:bookmarkEnd w:id="83"/>
      <w:bookmarkEnd w:id="84"/>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6"/>
    <w:p w14:paraId="130D0D9E">
      <w:pPr>
        <w:pStyle w:val="2"/>
        <w:rPr>
          <w:rStyle w:val="46"/>
          <w:b/>
          <w:bCs/>
        </w:rPr>
      </w:pPr>
      <w:bookmarkStart w:id="85" w:name="_Toc518655787"/>
      <w:bookmarkStart w:id="86" w:name="_Toc37059827"/>
      <w:bookmarkStart w:id="87" w:name="_Toc21617"/>
      <w:bookmarkStart w:id="88" w:name="_Toc119413766"/>
      <w:bookmarkStart w:id="89" w:name="_Toc301469810"/>
      <w:r>
        <w:rPr>
          <w:rStyle w:val="46"/>
          <w:rFonts w:hint="eastAsia"/>
          <w:b/>
          <w:bCs/>
        </w:rPr>
        <w:t>第六章  设备采购合同</w:t>
      </w:r>
      <w:bookmarkEnd w:id="85"/>
    </w:p>
    <w:p w14:paraId="0C7C1B25">
      <w:pPr>
        <w:pStyle w:val="2"/>
        <w:rPr>
          <w:rStyle w:val="46"/>
          <w:b/>
          <w:bCs/>
        </w:rPr>
      </w:pPr>
      <w:bookmarkStart w:id="90" w:name="_Toc17849"/>
      <w:r>
        <w:rPr>
          <w:rStyle w:val="46"/>
          <w:rFonts w:hint="eastAsia"/>
          <w:b/>
          <w:bCs/>
        </w:rPr>
        <w:t>（以经相关部门审核的最终签署版本为准）</w:t>
      </w:r>
      <w:bookmarkEnd w:id="86"/>
      <w:bookmarkEnd w:id="87"/>
      <w:bookmarkEnd w:id="90"/>
    </w:p>
    <w:p w14:paraId="1A6A1D4A">
      <w:pPr>
        <w:adjustRightInd w:val="0"/>
        <w:snapToGrid w:val="0"/>
        <w:spacing w:line="360" w:lineRule="auto"/>
        <w:jc w:val="left"/>
        <w:rPr>
          <w:rFonts w:hint="eastAsia" w:ascii="宋体" w:hAnsi="宋体"/>
          <w:sz w:val="20"/>
          <w:szCs w:val="20"/>
        </w:rPr>
      </w:pPr>
      <w:bookmarkStart w:id="91" w:name="_Toc283814116"/>
    </w:p>
    <w:p w14:paraId="4922B715">
      <w:pPr>
        <w:rPr>
          <w:rFonts w:hint="eastAsia" w:ascii="宋体" w:hAnsi="宋体"/>
          <w:b/>
          <w:sz w:val="28"/>
          <w:szCs w:val="28"/>
        </w:rPr>
      </w:pPr>
      <w:r>
        <w:rPr>
          <w:rFonts w:ascii="宋体" w:hAnsi="宋体"/>
          <w:b/>
          <w:sz w:val="28"/>
          <w:szCs w:val="28"/>
        </w:rPr>
        <w:br w:type="page"/>
      </w:r>
    </w:p>
    <w:p w14:paraId="60AB7893">
      <w:pPr>
        <w:wordWrap w:val="0"/>
        <w:adjustRightInd w:val="0"/>
        <w:snapToGrid w:val="0"/>
        <w:spacing w:line="360" w:lineRule="auto"/>
        <w:jc w:val="right"/>
        <w:rPr>
          <w:rFonts w:hint="eastAsia" w:ascii="宋体" w:hAnsi="宋体"/>
          <w:b/>
          <w:sz w:val="28"/>
          <w:szCs w:val="28"/>
        </w:rPr>
      </w:pPr>
      <w:r>
        <w:rPr>
          <w:rFonts w:ascii="宋体" w:hAnsi="宋体"/>
          <w:b/>
          <w:sz w:val="28"/>
          <w:szCs w:val="28"/>
        </w:rPr>
        <w:t>编号：</w:t>
      </w:r>
      <w:r>
        <w:rPr>
          <w:rFonts w:hint="eastAsia" w:ascii="宋体" w:hAnsi="宋体"/>
          <w:b/>
          <w:sz w:val="28"/>
          <w:szCs w:val="28"/>
        </w:rPr>
        <w:t xml:space="preserve">         </w:t>
      </w:r>
    </w:p>
    <w:p w14:paraId="5AF90734">
      <w:pPr>
        <w:adjustRightInd w:val="0"/>
        <w:snapToGrid w:val="0"/>
        <w:spacing w:line="360" w:lineRule="auto"/>
        <w:jc w:val="left"/>
        <w:rPr>
          <w:rFonts w:hint="eastAsia" w:ascii="宋体" w:hAnsi="宋体"/>
          <w:sz w:val="20"/>
          <w:szCs w:val="20"/>
        </w:rPr>
      </w:pPr>
    </w:p>
    <w:p w14:paraId="7ABC3F27">
      <w:pPr>
        <w:adjustRightInd w:val="0"/>
        <w:snapToGrid w:val="0"/>
        <w:spacing w:line="360" w:lineRule="auto"/>
        <w:jc w:val="left"/>
        <w:rPr>
          <w:rFonts w:hint="eastAsia" w:ascii="宋体" w:hAnsi="宋体"/>
          <w:sz w:val="20"/>
          <w:szCs w:val="20"/>
        </w:rPr>
      </w:pPr>
    </w:p>
    <w:p w14:paraId="5C22A76B">
      <w:pPr>
        <w:adjustRightInd w:val="0"/>
        <w:snapToGrid w:val="0"/>
        <w:spacing w:line="360" w:lineRule="auto"/>
        <w:jc w:val="left"/>
        <w:rPr>
          <w:rFonts w:hint="eastAsia" w:ascii="宋体" w:hAnsi="宋体"/>
          <w:sz w:val="20"/>
          <w:szCs w:val="20"/>
        </w:rPr>
      </w:pPr>
    </w:p>
    <w:p w14:paraId="37E61DC6">
      <w:pPr>
        <w:adjustRightInd w:val="0"/>
        <w:snapToGrid w:val="0"/>
        <w:spacing w:line="360" w:lineRule="auto"/>
        <w:jc w:val="left"/>
        <w:rPr>
          <w:rFonts w:hint="eastAsia" w:ascii="宋体" w:hAnsi="宋体"/>
          <w:sz w:val="20"/>
          <w:szCs w:val="20"/>
        </w:rPr>
      </w:pPr>
    </w:p>
    <w:p w14:paraId="3F3EEDD2">
      <w:pPr>
        <w:adjustRightInd w:val="0"/>
        <w:snapToGrid w:val="0"/>
        <w:spacing w:line="360" w:lineRule="auto"/>
        <w:jc w:val="center"/>
        <w:rPr>
          <w:rFonts w:hint="eastAsia" w:ascii="宋体" w:hAnsi="宋体"/>
          <w:b/>
          <w:sz w:val="52"/>
          <w:szCs w:val="36"/>
        </w:rPr>
      </w:pPr>
      <w:r>
        <w:rPr>
          <w:rFonts w:hint="eastAsia" w:ascii="宋体" w:hAnsi="宋体"/>
          <w:b/>
          <w:bCs/>
          <w:sz w:val="52"/>
          <w:szCs w:val="36"/>
        </w:rPr>
        <w:t>设备采购</w:t>
      </w:r>
      <w:r>
        <w:rPr>
          <w:rFonts w:ascii="宋体" w:hAnsi="宋体"/>
          <w:b/>
          <w:bCs/>
          <w:sz w:val="52"/>
          <w:szCs w:val="36"/>
        </w:rPr>
        <w:t>合同</w:t>
      </w:r>
    </w:p>
    <w:p w14:paraId="0D4228E5">
      <w:pPr>
        <w:adjustRightInd w:val="0"/>
        <w:snapToGrid w:val="0"/>
        <w:spacing w:line="360" w:lineRule="auto"/>
        <w:jc w:val="left"/>
        <w:rPr>
          <w:rFonts w:hint="eastAsia" w:ascii="宋体" w:hAnsi="宋体"/>
          <w:b/>
          <w:sz w:val="36"/>
          <w:szCs w:val="36"/>
        </w:rPr>
      </w:pPr>
    </w:p>
    <w:p w14:paraId="02E712AF">
      <w:pPr>
        <w:adjustRightInd w:val="0"/>
        <w:snapToGrid w:val="0"/>
        <w:spacing w:line="360" w:lineRule="auto"/>
        <w:jc w:val="left"/>
        <w:rPr>
          <w:rFonts w:hint="eastAsia" w:ascii="宋体" w:hAnsi="宋体"/>
          <w:b/>
          <w:sz w:val="36"/>
          <w:szCs w:val="36"/>
        </w:rPr>
      </w:pPr>
    </w:p>
    <w:p w14:paraId="76CE5E4E">
      <w:pPr>
        <w:adjustRightInd w:val="0"/>
        <w:snapToGrid w:val="0"/>
        <w:spacing w:line="360" w:lineRule="auto"/>
        <w:jc w:val="left"/>
        <w:rPr>
          <w:rFonts w:hint="eastAsia" w:ascii="宋体" w:hAnsi="宋体"/>
          <w:b/>
          <w:sz w:val="36"/>
          <w:szCs w:val="36"/>
        </w:rPr>
      </w:pPr>
    </w:p>
    <w:p w14:paraId="1F661D6C">
      <w:pPr>
        <w:adjustRightInd w:val="0"/>
        <w:snapToGrid w:val="0"/>
        <w:spacing w:line="360" w:lineRule="auto"/>
        <w:jc w:val="left"/>
        <w:rPr>
          <w:rFonts w:hint="eastAsia" w:ascii="宋体" w:hAnsi="宋体"/>
          <w:b/>
          <w:sz w:val="36"/>
          <w:szCs w:val="36"/>
        </w:rPr>
      </w:pPr>
    </w:p>
    <w:p w14:paraId="3FA87C2E">
      <w:pPr>
        <w:adjustRightInd w:val="0"/>
        <w:snapToGrid w:val="0"/>
        <w:spacing w:line="360" w:lineRule="auto"/>
        <w:jc w:val="left"/>
        <w:rPr>
          <w:rFonts w:hint="eastAsia" w:ascii="宋体" w:hAnsi="宋体"/>
          <w:b/>
          <w:sz w:val="36"/>
          <w:szCs w:val="36"/>
        </w:rPr>
      </w:pPr>
    </w:p>
    <w:p w14:paraId="1D7247F8">
      <w:pPr>
        <w:adjustRightInd w:val="0"/>
        <w:snapToGrid w:val="0"/>
        <w:spacing w:line="360" w:lineRule="auto"/>
        <w:jc w:val="left"/>
        <w:rPr>
          <w:rFonts w:hint="eastAsia" w:ascii="宋体" w:hAnsi="宋体"/>
          <w:b/>
          <w:sz w:val="36"/>
          <w:szCs w:val="36"/>
        </w:rPr>
      </w:pPr>
    </w:p>
    <w:p w14:paraId="53A6B95A">
      <w:pPr>
        <w:adjustRightInd w:val="0"/>
        <w:snapToGrid w:val="0"/>
        <w:spacing w:line="360" w:lineRule="auto"/>
        <w:jc w:val="left"/>
        <w:rPr>
          <w:rFonts w:hint="eastAsia" w:ascii="宋体" w:hAnsi="宋体"/>
          <w:b/>
          <w:sz w:val="36"/>
          <w:szCs w:val="36"/>
        </w:rPr>
      </w:pPr>
    </w:p>
    <w:p w14:paraId="220B3257">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甲  方：</w:t>
      </w:r>
      <w:r>
        <w:rPr>
          <w:rFonts w:ascii="宋体" w:hAnsi="宋体"/>
          <w:b/>
          <w:sz w:val="28"/>
          <w:szCs w:val="36"/>
          <w:u w:val="thick"/>
        </w:rPr>
        <w:t xml:space="preserve">                           </w:t>
      </w:r>
    </w:p>
    <w:p w14:paraId="64C9E6C7">
      <w:pPr>
        <w:adjustRightInd w:val="0"/>
        <w:snapToGrid w:val="0"/>
        <w:spacing w:line="360" w:lineRule="auto"/>
        <w:ind w:firstLine="1906" w:firstLineChars="678"/>
        <w:jc w:val="left"/>
        <w:rPr>
          <w:rFonts w:hint="eastAsia" w:ascii="宋体" w:hAnsi="宋体"/>
          <w:b/>
          <w:sz w:val="28"/>
          <w:szCs w:val="36"/>
        </w:rPr>
      </w:pPr>
    </w:p>
    <w:p w14:paraId="72FE3F0F">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乙  方：</w:t>
      </w:r>
      <w:r>
        <w:rPr>
          <w:rFonts w:ascii="宋体" w:hAnsi="宋体"/>
          <w:b/>
          <w:sz w:val="28"/>
          <w:szCs w:val="36"/>
          <w:u w:val="thick"/>
        </w:rPr>
        <w:t xml:space="preserve">                           </w:t>
      </w:r>
    </w:p>
    <w:p w14:paraId="2150DACF">
      <w:pPr>
        <w:adjustRightInd w:val="0"/>
        <w:snapToGrid w:val="0"/>
        <w:spacing w:line="360" w:lineRule="auto"/>
        <w:ind w:firstLine="1906" w:firstLineChars="678"/>
        <w:jc w:val="left"/>
        <w:rPr>
          <w:rFonts w:hint="eastAsia" w:ascii="宋体" w:hAnsi="宋体"/>
          <w:b/>
          <w:sz w:val="28"/>
          <w:szCs w:val="36"/>
        </w:rPr>
      </w:pPr>
    </w:p>
    <w:p w14:paraId="6C4091F8">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签订日期：</w:t>
      </w:r>
      <w:r>
        <w:rPr>
          <w:rFonts w:ascii="宋体" w:hAnsi="宋体"/>
          <w:b/>
          <w:sz w:val="28"/>
          <w:szCs w:val="36"/>
          <w:u w:val="thick"/>
        </w:rPr>
        <w:t xml:space="preserve">       </w:t>
      </w:r>
      <w:r>
        <w:rPr>
          <w:rFonts w:hint="eastAsia" w:ascii="宋体" w:hAnsi="宋体"/>
          <w:b/>
          <w:sz w:val="28"/>
          <w:szCs w:val="36"/>
        </w:rPr>
        <w:t>年</w:t>
      </w:r>
      <w:r>
        <w:rPr>
          <w:rFonts w:ascii="宋体" w:hAnsi="宋体"/>
          <w:b/>
          <w:sz w:val="28"/>
          <w:szCs w:val="36"/>
          <w:u w:val="thick"/>
        </w:rPr>
        <w:t xml:space="preserve">      </w:t>
      </w:r>
      <w:r>
        <w:rPr>
          <w:rFonts w:hint="eastAsia" w:ascii="宋体" w:hAnsi="宋体"/>
          <w:b/>
          <w:sz w:val="28"/>
          <w:szCs w:val="36"/>
        </w:rPr>
        <w:t>月</w:t>
      </w:r>
      <w:r>
        <w:rPr>
          <w:rFonts w:ascii="宋体" w:hAnsi="宋体"/>
          <w:b/>
          <w:sz w:val="28"/>
          <w:szCs w:val="36"/>
          <w:u w:val="thick"/>
        </w:rPr>
        <w:t xml:space="preserve">      </w:t>
      </w:r>
      <w:r>
        <w:rPr>
          <w:rFonts w:hint="eastAsia" w:ascii="宋体" w:hAnsi="宋体"/>
          <w:b/>
          <w:sz w:val="28"/>
          <w:szCs w:val="36"/>
        </w:rPr>
        <w:t>日</w:t>
      </w:r>
    </w:p>
    <w:p w14:paraId="1BDF3853"/>
    <w:p w14:paraId="62227254"/>
    <w:p w14:paraId="15A3B172"/>
    <w:p w14:paraId="62407870">
      <w:pPr>
        <w:spacing w:line="360" w:lineRule="auto"/>
        <w:rPr>
          <w:rFonts w:hint="eastAsia" w:ascii="宋体" w:hAnsi="宋体" w:cs="宋体"/>
          <w:bCs/>
          <w:sz w:val="24"/>
        </w:rPr>
      </w:pPr>
    </w:p>
    <w:p w14:paraId="34F62C9C">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甲方（买方）：</w:t>
      </w:r>
      <w:r>
        <w:rPr>
          <w:rFonts w:hint="eastAsia" w:ascii="仿宋_GB2312" w:hAnsi="仿宋_GB2312" w:eastAsia="仿宋_GB2312" w:cs="仿宋_GB2312"/>
          <w:b/>
          <w:bCs/>
          <w:sz w:val="28"/>
          <w:szCs w:val="28"/>
          <w:u w:val="single"/>
        </w:rPr>
        <w:t>中国重汽集团济宁商用车有限公司</w:t>
      </w:r>
      <w:r>
        <w:rPr>
          <w:rFonts w:hint="eastAsia" w:ascii="仿宋_GB2312" w:hAnsi="仿宋_GB2312" w:eastAsia="仿宋_GB2312" w:cs="仿宋_GB2312"/>
          <w:bCs/>
          <w:sz w:val="28"/>
          <w:szCs w:val="28"/>
        </w:rPr>
        <w:t xml:space="preserve">      </w:t>
      </w:r>
    </w:p>
    <w:p w14:paraId="5231CD77">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 xml:space="preserve">    </w:t>
      </w:r>
    </w:p>
    <w:p w14:paraId="702A57E0">
      <w:pPr>
        <w:ind w:right="-189" w:rightChars="-90"/>
        <w:jc w:val="left"/>
        <w:rPr>
          <w:rFonts w:hint="eastAsia" w:ascii="仿宋_GB2312" w:hAnsi="仿宋_GB2312" w:eastAsia="仿宋_GB2312" w:cs="仿宋_GB2312"/>
          <w:b/>
          <w:bCs/>
          <w:sz w:val="28"/>
          <w:szCs w:val="28"/>
          <w:u w:val="single"/>
        </w:rPr>
      </w:pPr>
      <w:r>
        <w:rPr>
          <w:rFonts w:hint="eastAsia" w:ascii="仿宋_GB2312" w:hAnsi="仿宋_GB2312" w:eastAsia="仿宋_GB2312" w:cs="仿宋_GB2312"/>
          <w:bCs/>
          <w:sz w:val="28"/>
          <w:szCs w:val="28"/>
        </w:rPr>
        <w:t>乙方（卖方）：</w:t>
      </w:r>
      <w:r>
        <w:rPr>
          <w:rFonts w:hint="eastAsia" w:ascii="仿宋_GB2312" w:hAnsi="仿宋_GB2312" w:eastAsia="仿宋_GB2312" w:cs="仿宋_GB2312"/>
          <w:b/>
          <w:bCs/>
          <w:sz w:val="28"/>
          <w:szCs w:val="28"/>
          <w:u w:val="single"/>
        </w:rPr>
        <w:t xml:space="preserve">                        </w:t>
      </w:r>
    </w:p>
    <w:p w14:paraId="4AE1A7B3">
      <w:pPr>
        <w:ind w:right="-189" w:rightChars="-90"/>
        <w:jc w:val="left"/>
        <w:rPr>
          <w:rFonts w:hint="eastAsia" w:ascii="仿宋_GB2312" w:hAnsi="仿宋_GB2312" w:eastAsia="仿宋_GB2312" w:cs="仿宋_GB2312"/>
          <w:b/>
          <w:bCs/>
          <w:sz w:val="28"/>
          <w:szCs w:val="28"/>
          <w:u w:val="single"/>
        </w:rPr>
      </w:pPr>
    </w:p>
    <w:p w14:paraId="1DCB530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本设备采购合同由甲乙双方于山东省济宁市签订：</w:t>
      </w:r>
    </w:p>
    <w:p w14:paraId="3DC34E7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鉴于，买方向卖方购买XX目XX设备XX台（套），就该设备的设计、制造、运输、定点卸货、安装（或指导安装）、调试、验收、培训及售后服务等有关问题，以上所列内容经买卖双方协商自愿达成本合同：</w:t>
      </w:r>
    </w:p>
    <w:p w14:paraId="1FC0DF9E">
      <w:pPr>
        <w:spacing w:line="360" w:lineRule="auto"/>
        <w:ind w:firstLine="453" w:firstLineChars="189"/>
        <w:rPr>
          <w:rFonts w:hint="eastAsia" w:ascii="仿宋_GB2312" w:hAnsi="仿宋_GB2312" w:eastAsia="仿宋_GB2312" w:cs="仿宋_GB2312"/>
          <w:sz w:val="24"/>
        </w:rPr>
      </w:pPr>
    </w:p>
    <w:p w14:paraId="4284E64B">
      <w:pPr>
        <w:pStyle w:val="3"/>
        <w:tabs>
          <w:tab w:val="right" w:leader="dot" w:pos="9061"/>
        </w:tabs>
        <w:ind w:firstLine="455" w:firstLineChars="189"/>
        <w:jc w:val="both"/>
        <w:rPr>
          <w:rFonts w:hint="eastAsia" w:ascii="仿宋_GB2312" w:hAnsi="仿宋_GB2312" w:eastAsia="仿宋_GB2312" w:cs="仿宋_GB2312"/>
          <w:sz w:val="24"/>
          <w:szCs w:val="24"/>
        </w:rPr>
      </w:pPr>
      <w:bookmarkStart w:id="92" w:name="_Toc11823"/>
      <w:bookmarkStart w:id="93" w:name="_Toc17619"/>
      <w:bookmarkStart w:id="94" w:name="_Toc11930"/>
      <w:bookmarkStart w:id="95" w:name="_Toc19169"/>
      <w:bookmarkStart w:id="96" w:name="_Toc16330018"/>
      <w:r>
        <w:rPr>
          <w:rFonts w:hint="eastAsia" w:ascii="仿宋_GB2312" w:hAnsi="仿宋_GB2312" w:eastAsia="仿宋_GB2312" w:cs="仿宋_GB2312"/>
          <w:sz w:val="24"/>
          <w:szCs w:val="24"/>
        </w:rPr>
        <w:t>1 合同设备</w:t>
      </w:r>
      <w:bookmarkEnd w:id="92"/>
      <w:bookmarkEnd w:id="93"/>
      <w:bookmarkEnd w:id="94"/>
      <w:bookmarkEnd w:id="95"/>
      <w:bookmarkEnd w:id="96"/>
    </w:p>
    <w:p w14:paraId="0740DC10">
      <w:pPr>
        <w:spacing w:line="220" w:lineRule="atLeast"/>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1.1买方向卖方购买的设备信息见附件一：《设备清单明细表》</w:t>
      </w:r>
    </w:p>
    <w:p w14:paraId="3A9406AD">
      <w:pPr>
        <w:spacing w:line="360" w:lineRule="auto"/>
        <w:ind w:firstLine="453" w:firstLineChars="189"/>
        <w:rPr>
          <w:rFonts w:hint="eastAsia" w:ascii="仿宋_GB2312" w:hAnsi="仿宋_GB2312" w:eastAsia="仿宋_GB2312" w:cs="仿宋_GB2312"/>
          <w:sz w:val="24"/>
        </w:rPr>
      </w:pPr>
      <w:bookmarkStart w:id="97" w:name="_Toc22800"/>
      <w:bookmarkStart w:id="98" w:name="_Toc32510"/>
      <w:bookmarkStart w:id="99" w:name="_Toc29026"/>
      <w:r>
        <w:rPr>
          <w:rFonts w:hint="eastAsia" w:ascii="仿宋_GB2312" w:hAnsi="仿宋_GB2312" w:eastAsia="仿宋_GB2312" w:cs="仿宋_GB2312"/>
          <w:sz w:val="24"/>
        </w:rPr>
        <w:t>1.2技术规格和标准</w:t>
      </w:r>
    </w:p>
    <w:p w14:paraId="60152D4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1.2.1本合同约定设备的技术规格详见附件二《技术协议书》。</w:t>
      </w:r>
    </w:p>
    <w:p w14:paraId="26077D8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6686B05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1.3在设备所有权转移到买方之前，有关设备的保险由卖方负责办理并承担保险费用。</w:t>
      </w:r>
    </w:p>
    <w:p w14:paraId="5DB90230">
      <w:pPr>
        <w:spacing w:line="360" w:lineRule="auto"/>
        <w:ind w:firstLine="453" w:firstLineChars="189"/>
        <w:rPr>
          <w:rFonts w:hint="eastAsia" w:ascii="仿宋_GB2312" w:hAnsi="仿宋_GB2312" w:eastAsia="仿宋_GB2312" w:cs="仿宋_GB2312"/>
          <w:sz w:val="24"/>
        </w:rPr>
      </w:pPr>
    </w:p>
    <w:p w14:paraId="1F9F05D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0" w:name="_Toc16330019"/>
      <w:bookmarkStart w:id="101" w:name="_Toc13311"/>
      <w:r>
        <w:rPr>
          <w:rFonts w:hint="eastAsia" w:ascii="仿宋_GB2312" w:hAnsi="仿宋_GB2312" w:eastAsia="仿宋_GB2312" w:cs="仿宋_GB2312"/>
          <w:sz w:val="24"/>
          <w:szCs w:val="24"/>
        </w:rPr>
        <w:t>2 包装</w:t>
      </w:r>
      <w:bookmarkEnd w:id="97"/>
      <w:bookmarkEnd w:id="98"/>
      <w:bookmarkEnd w:id="99"/>
      <w:bookmarkEnd w:id="100"/>
      <w:bookmarkEnd w:id="101"/>
    </w:p>
    <w:p w14:paraId="3FC82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F6ECC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2.2每件包装应附有详细的装箱单和质量证书各两套，一套在包装箱里，一套在包装箱外。</w:t>
      </w:r>
    </w:p>
    <w:p w14:paraId="05BBEF21">
      <w:pPr>
        <w:spacing w:line="360" w:lineRule="auto"/>
        <w:ind w:firstLine="453" w:firstLineChars="189"/>
        <w:rPr>
          <w:rFonts w:hint="eastAsia" w:ascii="仿宋_GB2312" w:hAnsi="仿宋_GB2312" w:eastAsia="仿宋_GB2312" w:cs="仿宋_GB2312"/>
          <w:sz w:val="24"/>
        </w:rPr>
      </w:pPr>
    </w:p>
    <w:p w14:paraId="00C4FBF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2" w:name="_Toc16330020"/>
      <w:bookmarkStart w:id="103" w:name="_Toc21008"/>
      <w:bookmarkStart w:id="104" w:name="_Toc27144"/>
      <w:bookmarkStart w:id="105" w:name="_Toc2833"/>
      <w:bookmarkStart w:id="106" w:name="_Toc27453"/>
      <w:r>
        <w:rPr>
          <w:rFonts w:hint="eastAsia" w:ascii="仿宋_GB2312" w:hAnsi="仿宋_GB2312" w:eastAsia="仿宋_GB2312" w:cs="仿宋_GB2312"/>
          <w:sz w:val="24"/>
          <w:szCs w:val="24"/>
        </w:rPr>
        <w:t>3 运输标记</w:t>
      </w:r>
      <w:bookmarkEnd w:id="102"/>
      <w:bookmarkEnd w:id="103"/>
      <w:bookmarkEnd w:id="104"/>
      <w:bookmarkEnd w:id="105"/>
      <w:bookmarkEnd w:id="106"/>
    </w:p>
    <w:p w14:paraId="77D651E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3.1卖方应在每一包装箱邻近的四个侧面用不易褪色的油漆以醒目的中文印刷字体标明以下各项：</w:t>
      </w:r>
    </w:p>
    <w:p w14:paraId="73183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3.1.1收货人</w:t>
      </w:r>
    </w:p>
    <w:p w14:paraId="11733AE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3.1.2合同号</w:t>
      </w:r>
    </w:p>
    <w:p w14:paraId="13E0C38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3.1.3发货标记（唛头）</w:t>
      </w:r>
    </w:p>
    <w:p w14:paraId="3367626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3.1.4设备的名称、品目号、箱号</w:t>
      </w:r>
    </w:p>
    <w:p w14:paraId="0651D54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3.1.5毛重/净重（公斤）</w:t>
      </w:r>
    </w:p>
    <w:p w14:paraId="6C41079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3.1.6尺寸（长×宽×高，以厘米计）</w:t>
      </w:r>
    </w:p>
    <w:p w14:paraId="11DF428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4096E206">
      <w:pPr>
        <w:spacing w:line="360" w:lineRule="auto"/>
        <w:ind w:firstLine="453" w:firstLineChars="189"/>
        <w:rPr>
          <w:rFonts w:hint="eastAsia" w:ascii="仿宋_GB2312" w:hAnsi="仿宋_GB2312" w:eastAsia="仿宋_GB2312" w:cs="仿宋_GB2312"/>
          <w:sz w:val="24"/>
        </w:rPr>
      </w:pPr>
    </w:p>
    <w:p w14:paraId="54CE0BC9">
      <w:pPr>
        <w:pStyle w:val="3"/>
        <w:tabs>
          <w:tab w:val="right" w:leader="dot" w:pos="9061"/>
        </w:tabs>
        <w:ind w:firstLine="455" w:firstLineChars="189"/>
        <w:jc w:val="both"/>
        <w:rPr>
          <w:rFonts w:hint="eastAsia" w:ascii="仿宋_GB2312" w:hAnsi="仿宋_GB2312" w:eastAsia="仿宋_GB2312" w:cs="仿宋_GB2312"/>
          <w:sz w:val="24"/>
          <w:szCs w:val="24"/>
        </w:rPr>
      </w:pPr>
      <w:bookmarkStart w:id="107" w:name="_Toc16330021"/>
      <w:bookmarkStart w:id="108" w:name="_Toc7431"/>
      <w:bookmarkStart w:id="109" w:name="_Toc10630"/>
      <w:bookmarkStart w:id="110" w:name="_Toc25103"/>
      <w:bookmarkStart w:id="111" w:name="_Toc16133"/>
      <w:r>
        <w:rPr>
          <w:rFonts w:hint="eastAsia" w:ascii="仿宋_GB2312" w:hAnsi="仿宋_GB2312" w:eastAsia="仿宋_GB2312" w:cs="仿宋_GB2312"/>
          <w:sz w:val="24"/>
          <w:szCs w:val="24"/>
        </w:rPr>
        <w:t>4 检验</w:t>
      </w:r>
      <w:bookmarkEnd w:id="107"/>
      <w:bookmarkEnd w:id="108"/>
      <w:bookmarkEnd w:id="109"/>
      <w:bookmarkEnd w:id="110"/>
      <w:bookmarkEnd w:id="111"/>
    </w:p>
    <w:p w14:paraId="563D68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7F561AC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4.2国家强制检验检测的设备，需要经过国家有关部门进行检验检测，卖方保证提供的设备通过其检验并承担费用。</w:t>
      </w:r>
    </w:p>
    <w:p w14:paraId="44AFC131">
      <w:pPr>
        <w:spacing w:line="360" w:lineRule="auto"/>
        <w:ind w:firstLine="453" w:firstLineChars="189"/>
        <w:rPr>
          <w:rFonts w:hint="eastAsia" w:ascii="仿宋_GB2312" w:hAnsi="仿宋_GB2312" w:eastAsia="仿宋_GB2312" w:cs="仿宋_GB2312"/>
          <w:sz w:val="24"/>
        </w:rPr>
      </w:pPr>
    </w:p>
    <w:p w14:paraId="382D92BC">
      <w:pPr>
        <w:pStyle w:val="3"/>
        <w:tabs>
          <w:tab w:val="right" w:leader="dot" w:pos="9061"/>
        </w:tabs>
        <w:ind w:firstLine="455" w:firstLineChars="189"/>
        <w:jc w:val="both"/>
        <w:rPr>
          <w:rFonts w:hint="eastAsia" w:ascii="仿宋_GB2312" w:hAnsi="仿宋_GB2312" w:eastAsia="仿宋_GB2312" w:cs="仿宋_GB2312"/>
          <w:sz w:val="24"/>
          <w:szCs w:val="24"/>
        </w:rPr>
      </w:pPr>
      <w:bookmarkStart w:id="112" w:name="_Toc16330022"/>
      <w:bookmarkStart w:id="113" w:name="_Toc11217"/>
      <w:bookmarkStart w:id="114" w:name="_Toc24467"/>
      <w:bookmarkStart w:id="115" w:name="_Toc19850"/>
      <w:bookmarkStart w:id="116" w:name="_Toc20531"/>
      <w:r>
        <w:rPr>
          <w:rFonts w:hint="eastAsia" w:ascii="仿宋_GB2312" w:hAnsi="仿宋_GB2312" w:eastAsia="仿宋_GB2312" w:cs="仿宋_GB2312"/>
          <w:sz w:val="24"/>
          <w:szCs w:val="24"/>
        </w:rPr>
        <w:t>5 权利担保</w:t>
      </w:r>
      <w:bookmarkEnd w:id="112"/>
      <w:bookmarkEnd w:id="113"/>
      <w:bookmarkEnd w:id="114"/>
      <w:bookmarkEnd w:id="115"/>
      <w:bookmarkEnd w:id="116"/>
    </w:p>
    <w:p w14:paraId="5397250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5.1卖方所交付的设备，必须是第三方不能提出任何权利或要求的设备，卖方应担保设备不存在订立本合同时不为买方所知的第三方的权利（包括但不限于抵押权、留置权等）或行政、司法查封。</w:t>
      </w:r>
    </w:p>
    <w:p w14:paraId="69BBC10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5.2卖方应保证第三方对其提交的设备不得以侵权或其他类似理由提出合法要求，如侵犯知识产权等。</w:t>
      </w:r>
    </w:p>
    <w:p w14:paraId="371ABF0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5.3任何第三方如果提出侵权指控，卖方应与第三方交涉，并承担由此引起的一切法律责任和费用以及给买方所造成的损失。</w:t>
      </w:r>
    </w:p>
    <w:p w14:paraId="78BC4B2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5.4买方应在已知道第三方的权利或要求后的一段合理时间内，将此权利或要求的性质通知卖方。</w:t>
      </w:r>
    </w:p>
    <w:p w14:paraId="60AE9F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5E748BEB">
      <w:pPr>
        <w:spacing w:line="360" w:lineRule="auto"/>
        <w:rPr>
          <w:rFonts w:hint="eastAsia" w:ascii="仿宋_GB2312" w:hAnsi="仿宋_GB2312" w:eastAsia="仿宋_GB2312" w:cs="仿宋_GB2312"/>
          <w:sz w:val="24"/>
        </w:rPr>
      </w:pPr>
    </w:p>
    <w:p w14:paraId="69DE8BEB">
      <w:pPr>
        <w:pStyle w:val="3"/>
        <w:tabs>
          <w:tab w:val="right" w:leader="dot" w:pos="9061"/>
        </w:tabs>
        <w:ind w:firstLine="455" w:firstLineChars="189"/>
        <w:jc w:val="both"/>
        <w:rPr>
          <w:rFonts w:hint="eastAsia" w:ascii="仿宋_GB2312" w:hAnsi="仿宋_GB2312" w:eastAsia="仿宋_GB2312" w:cs="仿宋_GB2312"/>
          <w:sz w:val="24"/>
          <w:szCs w:val="24"/>
        </w:rPr>
      </w:pPr>
      <w:bookmarkStart w:id="117" w:name="_Toc21842"/>
      <w:bookmarkStart w:id="118" w:name="_Toc16330023"/>
      <w:bookmarkStart w:id="119" w:name="_Toc27500"/>
      <w:bookmarkStart w:id="120" w:name="_Toc14809"/>
      <w:bookmarkStart w:id="121" w:name="_Toc11759"/>
      <w:r>
        <w:rPr>
          <w:rFonts w:hint="eastAsia" w:ascii="仿宋_GB2312" w:hAnsi="仿宋_GB2312" w:eastAsia="仿宋_GB2312" w:cs="仿宋_GB2312"/>
          <w:sz w:val="24"/>
          <w:szCs w:val="24"/>
        </w:rPr>
        <w:t>6 交货</w:t>
      </w:r>
      <w:bookmarkEnd w:id="117"/>
      <w:bookmarkEnd w:id="118"/>
      <w:bookmarkEnd w:id="119"/>
      <w:bookmarkEnd w:id="120"/>
      <w:bookmarkEnd w:id="121"/>
    </w:p>
    <w:p w14:paraId="63B584D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727FAA1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6.2卖方应在设备装运完成后当天以传真、邮件等的形式通知买方合同号、设备名称、数量、毛重、体积（立方米）、发票金额、启运日期、预计到达日期。</w:t>
      </w:r>
    </w:p>
    <w:p w14:paraId="4B3E11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6.3技术资料：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4EE52D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6.4交货方式</w:t>
      </w:r>
      <w:r>
        <w:rPr>
          <w:rFonts w:hint="eastAsia" w:ascii="仿宋_GB2312" w:hAnsi="仿宋_GB2312" w:eastAsia="仿宋_GB2312" w:cs="仿宋_GB2312"/>
          <w:bCs/>
          <w:sz w:val="24"/>
        </w:rPr>
        <w:t>：</w:t>
      </w:r>
      <w:r>
        <w:rPr>
          <w:rFonts w:hint="eastAsia" w:ascii="仿宋_GB2312" w:hAnsi="仿宋_GB2312" w:eastAsia="仿宋_GB2312" w:cs="仿宋_GB2312"/>
          <w:sz w:val="24"/>
          <w:u w:val="single"/>
        </w:rPr>
        <w:t>交钥匙方式</w:t>
      </w:r>
      <w:r>
        <w:rPr>
          <w:rFonts w:hint="eastAsia" w:ascii="仿宋_GB2312" w:hAnsi="仿宋_GB2312" w:eastAsia="仿宋_GB2312" w:cs="仿宋_GB2312"/>
          <w:sz w:val="24"/>
        </w:rPr>
        <w:t>（可选择6.4.1-6.4.3定义的方式或根据实际约定）</w:t>
      </w:r>
    </w:p>
    <w:p w14:paraId="4CA053E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6.4.1交钥匙方式：卖方负责合同设备的设计、制造、运输、定点卸货、安装、调试、培训及售后服务等所有内容，直至买方验收合格并交付使用。</w:t>
      </w:r>
    </w:p>
    <w:p w14:paraId="0F0DC75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6.5交货地点：</w:t>
      </w:r>
      <w:r>
        <w:rPr>
          <w:rFonts w:hint="eastAsia" w:ascii="仿宋_GB2312" w:hAnsi="仿宋_GB2312" w:eastAsia="仿宋_GB2312" w:cs="仿宋_GB2312"/>
          <w:sz w:val="24"/>
          <w:u w:val="single"/>
        </w:rPr>
        <w:t xml:space="preserve"> 中国重汽集团济宁商用车有限公司厂区内 </w:t>
      </w:r>
      <w:r>
        <w:rPr>
          <w:rFonts w:hint="eastAsia" w:ascii="仿宋_GB2312" w:hAnsi="仿宋_GB2312" w:eastAsia="仿宋_GB2312" w:cs="仿宋_GB2312"/>
          <w:sz w:val="24"/>
        </w:rPr>
        <w:t xml:space="preserve">      </w:t>
      </w:r>
    </w:p>
    <w:p w14:paraId="6864E6B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6.6到货时间：</w:t>
      </w:r>
      <w:r>
        <w:rPr>
          <w:rFonts w:hint="eastAsia" w:ascii="仿宋_GB2312" w:hAnsi="仿宋_GB2312" w:eastAsia="仿宋_GB2312" w:cs="仿宋_GB2312"/>
          <w:sz w:val="24"/>
          <w:u w:val="single"/>
          <w:lang w:val="en-US" w:eastAsia="zh-CN"/>
        </w:rPr>
        <w:t xml:space="preserve">     </w:t>
      </w:r>
      <w:bookmarkStart w:id="239" w:name="_GoBack"/>
      <w:bookmarkEnd w:id="239"/>
      <w:r>
        <w:rPr>
          <w:rFonts w:hint="eastAsia" w:ascii="仿宋_GB2312" w:hAnsi="仿宋_GB2312" w:eastAsia="仿宋_GB2312" w:cs="仿宋_GB2312"/>
          <w:sz w:val="24"/>
          <w:u w:val="single"/>
        </w:rPr>
        <w:t>年  月   日前</w:t>
      </w:r>
      <w:r>
        <w:rPr>
          <w:rFonts w:hint="eastAsia" w:ascii="仿宋_GB2312" w:hAnsi="仿宋_GB2312" w:eastAsia="仿宋_GB2312" w:cs="仿宋_GB2312"/>
          <w:sz w:val="24"/>
        </w:rPr>
        <w:t xml:space="preserve">         </w:t>
      </w:r>
    </w:p>
    <w:p w14:paraId="7C905A9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6.7到货后，买卖双方代表办理移交手续，此时的移交不代表卖方合同设备所有权的转移，合同设备的保管责任仍然由卖方承担。移交内容包括：合同设备、硬件、软件、图纸、资料、质量证明文件等。</w:t>
      </w:r>
    </w:p>
    <w:p w14:paraId="4FA3E5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6.8如果卖方在规定的日期前交付设备，需经买方书面同意。</w:t>
      </w:r>
    </w:p>
    <w:p w14:paraId="2474670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6.9风险的转移：</w:t>
      </w:r>
    </w:p>
    <w:p w14:paraId="1BC553B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06CB80E7">
      <w:pPr>
        <w:spacing w:line="360" w:lineRule="auto"/>
        <w:ind w:firstLine="453" w:firstLineChars="189"/>
        <w:rPr>
          <w:rFonts w:hint="eastAsia" w:ascii="仿宋_GB2312" w:hAnsi="仿宋_GB2312" w:eastAsia="仿宋_GB2312" w:cs="仿宋_GB2312"/>
          <w:sz w:val="24"/>
        </w:rPr>
      </w:pPr>
    </w:p>
    <w:p w14:paraId="3DC6B227">
      <w:pPr>
        <w:pStyle w:val="3"/>
        <w:tabs>
          <w:tab w:val="right" w:leader="dot" w:pos="9061"/>
        </w:tabs>
        <w:ind w:firstLine="455" w:firstLineChars="189"/>
        <w:jc w:val="both"/>
        <w:rPr>
          <w:rFonts w:hint="eastAsia" w:ascii="仿宋_GB2312" w:hAnsi="仿宋_GB2312" w:eastAsia="仿宋_GB2312" w:cs="仿宋_GB2312"/>
          <w:sz w:val="24"/>
          <w:szCs w:val="24"/>
        </w:rPr>
      </w:pPr>
      <w:bookmarkStart w:id="122" w:name="_Toc6532"/>
      <w:bookmarkStart w:id="123" w:name="_Toc16330024"/>
      <w:bookmarkStart w:id="124" w:name="_Toc2984"/>
      <w:bookmarkStart w:id="125" w:name="_Toc8024"/>
      <w:bookmarkStart w:id="126" w:name="_Toc25510"/>
      <w:r>
        <w:rPr>
          <w:rFonts w:hint="eastAsia" w:ascii="仿宋_GB2312" w:hAnsi="仿宋_GB2312" w:eastAsia="仿宋_GB2312" w:cs="仿宋_GB2312"/>
          <w:sz w:val="24"/>
          <w:szCs w:val="24"/>
        </w:rPr>
        <w:t>7 安装、调试</w:t>
      </w:r>
      <w:bookmarkEnd w:id="122"/>
      <w:bookmarkEnd w:id="123"/>
      <w:bookmarkEnd w:id="124"/>
      <w:bookmarkEnd w:id="125"/>
      <w:bookmarkEnd w:id="126"/>
    </w:p>
    <w:p w14:paraId="1FA68938">
      <w:pPr>
        <w:pStyle w:val="10"/>
        <w:ind w:firstLine="453" w:firstLineChars="189"/>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7.1 卖方须在到货后</w:t>
      </w:r>
      <w:r>
        <w:rPr>
          <w:rFonts w:hint="eastAsia" w:ascii="仿宋_GB2312" w:hAnsi="仿宋_GB2312" w:eastAsia="仿宋_GB2312" w:cs="仿宋_GB2312"/>
          <w:sz w:val="24"/>
          <w:szCs w:val="24"/>
          <w:u w:val="single"/>
        </w:rPr>
        <w:t xml:space="preserve">  XX  </w:t>
      </w:r>
      <w:r>
        <w:rPr>
          <w:rFonts w:hint="eastAsia" w:ascii="仿宋_GB2312" w:hAnsi="仿宋_GB2312" w:eastAsia="仿宋_GB2312" w:cs="仿宋_GB2312"/>
          <w:sz w:val="24"/>
          <w:szCs w:val="24"/>
        </w:rPr>
        <w:t>日内安装调试完成。</w:t>
      </w:r>
    </w:p>
    <w:p w14:paraId="15B02B0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7.2卖方应自带用以安装、调试过程中所需的各种工具、仪器、仪表及易损件。在安装、调试过程中，卖方应自负其工作人员的食宿、交通等费用。</w:t>
      </w:r>
    </w:p>
    <w:p w14:paraId="27AF5D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7.3在安装、调试过程中，安装场地及施工人员安全，由卖方负责。由于安装、调试等原因造成买方或他人人身损害或财产损失的，由卖方承担赔偿责任。</w:t>
      </w:r>
    </w:p>
    <w:p w14:paraId="35999CA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7.4</w:t>
      </w:r>
      <w:r>
        <w:rPr>
          <w:rFonts w:hint="eastAsia" w:ascii="仿宋_GB2312" w:hAnsi="仿宋_GB2312" w:eastAsia="仿宋_GB2312" w:cs="仿宋_GB2312"/>
          <w:bCs/>
          <w:sz w:val="24"/>
        </w:rPr>
        <w:t xml:space="preserve"> </w:t>
      </w:r>
      <w:r>
        <w:rPr>
          <w:rFonts w:hint="eastAsia" w:ascii="仿宋_GB2312" w:hAnsi="仿宋_GB2312" w:eastAsia="仿宋_GB2312" w:cs="仿宋_GB2312"/>
          <w:sz w:val="24"/>
        </w:rPr>
        <w:t>卖方须对安装、调试过程中造成的买方或他人人身损害或财产损失承担赔偿责任。</w:t>
      </w:r>
    </w:p>
    <w:p w14:paraId="38FA8612">
      <w:pPr>
        <w:spacing w:line="360" w:lineRule="auto"/>
        <w:ind w:firstLine="453" w:firstLineChars="189"/>
        <w:rPr>
          <w:rFonts w:hint="eastAsia" w:ascii="仿宋_GB2312" w:hAnsi="仿宋_GB2312" w:eastAsia="仿宋_GB2312" w:cs="仿宋_GB2312"/>
          <w:sz w:val="24"/>
        </w:rPr>
      </w:pPr>
    </w:p>
    <w:p w14:paraId="5320D08A">
      <w:pPr>
        <w:pStyle w:val="3"/>
        <w:tabs>
          <w:tab w:val="right" w:leader="dot" w:pos="9061"/>
        </w:tabs>
        <w:ind w:firstLine="455" w:firstLineChars="189"/>
        <w:jc w:val="both"/>
        <w:rPr>
          <w:rFonts w:hint="eastAsia" w:ascii="仿宋_GB2312" w:hAnsi="仿宋_GB2312" w:eastAsia="仿宋_GB2312" w:cs="仿宋_GB2312"/>
          <w:sz w:val="24"/>
          <w:szCs w:val="24"/>
        </w:rPr>
      </w:pPr>
      <w:bookmarkStart w:id="127" w:name="_Toc6350"/>
      <w:bookmarkStart w:id="128" w:name="_Toc14260"/>
      <w:bookmarkStart w:id="129" w:name="_Toc19374"/>
      <w:bookmarkStart w:id="130" w:name="_Toc14098"/>
      <w:bookmarkStart w:id="131" w:name="_Toc16330025"/>
      <w:r>
        <w:rPr>
          <w:rFonts w:hint="eastAsia" w:ascii="仿宋_GB2312" w:hAnsi="仿宋_GB2312" w:eastAsia="仿宋_GB2312" w:cs="仿宋_GB2312"/>
          <w:sz w:val="24"/>
          <w:szCs w:val="24"/>
        </w:rPr>
        <w:t>8 价款与支付</w:t>
      </w:r>
      <w:bookmarkEnd w:id="127"/>
      <w:bookmarkEnd w:id="128"/>
      <w:bookmarkEnd w:id="129"/>
      <w:bookmarkEnd w:id="130"/>
      <w:bookmarkEnd w:id="131"/>
    </w:p>
    <w:p w14:paraId="75D8677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8.1合同总价款为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），该价款为包含</w:t>
      </w:r>
      <w:r>
        <w:rPr>
          <w:rFonts w:hint="eastAsia" w:ascii="仿宋_GB2312" w:hAnsi="仿宋_GB2312" w:eastAsia="仿宋_GB2312" w:cs="仿宋_GB2312"/>
          <w:sz w:val="24"/>
          <w:u w:val="single"/>
        </w:rPr>
        <w:t>13%</w:t>
      </w:r>
      <w:r>
        <w:rPr>
          <w:rFonts w:hint="eastAsia" w:ascii="仿宋_GB2312" w:hAnsi="仿宋_GB2312" w:eastAsia="仿宋_GB2312" w:cs="仿宋_GB2312"/>
          <w:sz w:val="24"/>
        </w:rPr>
        <w:t>增值税的总价款，其中不含税价款为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），如国家出台新政策对增值税率进行了调整，则不含税价款不变，本合同含税总价在不含税价基础上根据国家最新税法进行相应的调整。</w:t>
      </w:r>
    </w:p>
    <w:p w14:paraId="6F74B2D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该价格包括但不限于全部（全新）产品价、辅件辅材价、备品备件价、专用工具价、运杂费（包括现场卸车费）、设计、制造、安装（</w:t>
      </w:r>
      <w:r>
        <w:rPr>
          <w:rFonts w:hint="eastAsia" w:ascii="仿宋_GB2312" w:hAnsi="仿宋_GB2312" w:eastAsia="仿宋_GB2312" w:cs="仿宋_GB2312"/>
          <w:i/>
          <w:iCs/>
          <w:sz w:val="24"/>
        </w:rPr>
        <w:t>或指导安装</w:t>
      </w:r>
      <w:r>
        <w:rPr>
          <w:rFonts w:hint="eastAsia" w:ascii="仿宋_GB2312" w:hAnsi="仿宋_GB2312" w:eastAsia="仿宋_GB2312" w:cs="仿宋_GB2312"/>
          <w:sz w:val="24"/>
        </w:rPr>
        <w:t>）、调试、验收、培训、技术及售后服务费、技术资料费等为设备投入使用所有费用的总和。</w:t>
      </w:r>
    </w:p>
    <w:p w14:paraId="15009F1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 xml:space="preserve">8.2合同价款的结算方式：承兑汇票           </w:t>
      </w:r>
    </w:p>
    <w:p w14:paraId="3A2D30C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8.3合同价款的支付：</w:t>
      </w:r>
    </w:p>
    <w:p w14:paraId="75FD858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lang w:val="en-US" w:eastAsia="zh-CN"/>
        </w:rPr>
        <w:t>A.</w:t>
      </w:r>
      <w:r>
        <w:rPr>
          <w:rFonts w:hint="eastAsia" w:ascii="仿宋_GB2312" w:hAnsi="仿宋_GB2312" w:eastAsia="仿宋_GB2312" w:cs="仿宋_GB2312"/>
          <w:sz w:val="24"/>
        </w:rPr>
        <w:t>设备全部到齐无质量问题，经安装、调试最终验收合格后,卖方提交金额为合同含税总价款90 %的收据及合同全额增值税专用发票，经买方财务审核无误后按照财务付款条件：立即到期执行。</w:t>
      </w:r>
    </w:p>
    <w:p w14:paraId="283C504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lang w:val="en-US" w:eastAsia="zh-CN"/>
        </w:rPr>
        <w:t>B.</w:t>
      </w:r>
      <w:r>
        <w:rPr>
          <w:rFonts w:hint="eastAsia" w:ascii="仿宋_GB2312" w:hAnsi="仿宋_GB2312" w:eastAsia="仿宋_GB2312" w:cs="仿宋_GB2312"/>
          <w:sz w:val="24"/>
        </w:rPr>
        <w:t>合同含税总价款的10 %作为本合同约定设备的质量保证金，质量保证金在质量保证期内不计利息。待合同设备质量保证期满1年（12个月）后，卖方向买方提交质量保证金收据及设备使用单位的使用情况说明，经买方财务审核无误后按照财务付款条件：365天到期执行。如有质量问题，质量保证金予以相应扣除。</w:t>
      </w:r>
    </w:p>
    <w:p w14:paraId="7946F11B">
      <w:pPr>
        <w:pStyle w:val="3"/>
        <w:tabs>
          <w:tab w:val="right" w:leader="dot" w:pos="9061"/>
        </w:tabs>
        <w:ind w:firstLine="455" w:firstLineChars="189"/>
        <w:jc w:val="both"/>
        <w:rPr>
          <w:rFonts w:hint="eastAsia" w:ascii="仿宋_GB2312" w:hAnsi="仿宋_GB2312" w:eastAsia="仿宋_GB2312" w:cs="仿宋_GB2312"/>
          <w:sz w:val="24"/>
          <w:szCs w:val="24"/>
        </w:rPr>
      </w:pPr>
      <w:bookmarkStart w:id="132" w:name="_Toc3230"/>
      <w:bookmarkStart w:id="133" w:name="_Toc24085"/>
      <w:bookmarkStart w:id="134" w:name="_Toc25708"/>
      <w:bookmarkStart w:id="135" w:name="_Toc16330026"/>
      <w:bookmarkStart w:id="136" w:name="_Toc6726"/>
      <w:r>
        <w:rPr>
          <w:rFonts w:hint="eastAsia" w:ascii="仿宋_GB2312" w:hAnsi="仿宋_GB2312" w:eastAsia="仿宋_GB2312" w:cs="仿宋_GB2312"/>
          <w:sz w:val="24"/>
          <w:szCs w:val="24"/>
        </w:rPr>
        <w:t>9 质量保证及售后服务</w:t>
      </w:r>
      <w:bookmarkEnd w:id="132"/>
      <w:bookmarkEnd w:id="133"/>
      <w:bookmarkEnd w:id="134"/>
      <w:bookmarkEnd w:id="135"/>
      <w:bookmarkEnd w:id="136"/>
    </w:p>
    <w:p w14:paraId="070D3D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19FA745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9.2卖方承诺其提供的设备不存在任何产品缺陷，否则因卖方提供的设备存在产品缺陷而给买方造成的一切后果和损失由卖方承担。</w:t>
      </w:r>
    </w:p>
    <w:p w14:paraId="072AC16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57FBECF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9.4</w:t>
      </w:r>
      <w:r>
        <w:rPr>
          <w:rFonts w:hint="eastAsia" w:ascii="仿宋_GB2312" w:hAnsi="仿宋_GB2312" w:eastAsia="仿宋_GB2312" w:cs="仿宋_GB2312"/>
          <w:sz w:val="24"/>
          <w:u w:val="single"/>
        </w:rPr>
        <w:t>本合同约定设备的质量保证期：自最终验收报告签署之日（以签署日期最晚者为准）起</w:t>
      </w:r>
      <w:r>
        <w:rPr>
          <w:rFonts w:hint="eastAsia" w:ascii="仿宋_GB2312" w:hAnsi="仿宋_GB2312" w:eastAsia="仿宋_GB2312" w:cs="仿宋_GB2312"/>
          <w:b/>
          <w:bCs/>
          <w:sz w:val="24"/>
          <w:u w:val="single"/>
        </w:rPr>
        <w:t>1</w:t>
      </w:r>
      <w:r>
        <w:rPr>
          <w:rFonts w:hint="eastAsia" w:ascii="仿宋_GB2312" w:hAnsi="仿宋_GB2312" w:eastAsia="仿宋_GB2312" w:cs="仿宋_GB2312"/>
          <w:sz w:val="24"/>
          <w:u w:val="single"/>
        </w:rPr>
        <w:t>年。</w:t>
      </w:r>
    </w:p>
    <w:p w14:paraId="4A8015E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45EC4FF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9.6卖方负责在买方指定的地点免费为买方培训操作及维修人员，培训内容包括：基本原理、操作使用、安全操作注意事项以及维修保养等内容。</w:t>
      </w:r>
    </w:p>
    <w:p w14:paraId="469F709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9.7质量保证期满后，卖方保证向买方提供及时的、质优的、价格优惠的技术服务和备品备件供应。</w:t>
      </w:r>
    </w:p>
    <w:p w14:paraId="0ABEFBE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9.8质量保证期满后，如出现质量问题，卖方也应及时修复和更换，且只收取成本费，费用由买方承担，卖方对设备质量问题所负的责任直到设备使用寿命周期结束。</w:t>
      </w:r>
    </w:p>
    <w:p w14:paraId="16B42B2F">
      <w:pPr>
        <w:spacing w:line="360" w:lineRule="auto"/>
        <w:ind w:firstLine="453" w:firstLineChars="189"/>
        <w:rPr>
          <w:rFonts w:hint="eastAsia" w:ascii="仿宋_GB2312" w:hAnsi="仿宋_GB2312" w:eastAsia="仿宋_GB2312" w:cs="仿宋_GB2312"/>
          <w:sz w:val="24"/>
        </w:rPr>
      </w:pPr>
    </w:p>
    <w:p w14:paraId="79912249">
      <w:pPr>
        <w:pStyle w:val="3"/>
        <w:tabs>
          <w:tab w:val="right" w:leader="dot" w:pos="9061"/>
        </w:tabs>
        <w:ind w:firstLine="455" w:firstLineChars="189"/>
        <w:jc w:val="both"/>
        <w:rPr>
          <w:rFonts w:hint="eastAsia" w:ascii="仿宋_GB2312" w:hAnsi="仿宋_GB2312" w:eastAsia="仿宋_GB2312" w:cs="仿宋_GB2312"/>
          <w:sz w:val="24"/>
          <w:szCs w:val="24"/>
        </w:rPr>
      </w:pPr>
      <w:bookmarkStart w:id="137" w:name="_Toc10359"/>
      <w:bookmarkStart w:id="138" w:name="_Toc15570"/>
      <w:bookmarkStart w:id="139" w:name="_Toc16330027"/>
      <w:bookmarkStart w:id="140" w:name="_Toc2169"/>
      <w:bookmarkStart w:id="141" w:name="_Toc12927"/>
      <w:r>
        <w:rPr>
          <w:rFonts w:hint="eastAsia" w:ascii="仿宋_GB2312" w:hAnsi="仿宋_GB2312" w:eastAsia="仿宋_GB2312" w:cs="仿宋_GB2312"/>
          <w:sz w:val="24"/>
          <w:szCs w:val="24"/>
        </w:rPr>
        <w:t>10法定责任</w:t>
      </w:r>
      <w:bookmarkEnd w:id="137"/>
      <w:bookmarkEnd w:id="138"/>
      <w:bookmarkEnd w:id="139"/>
      <w:bookmarkEnd w:id="140"/>
      <w:bookmarkEnd w:id="141"/>
    </w:p>
    <w:p w14:paraId="673427A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10.1卖方需遵从国家有关的法律、法规，缴纳有关的法定费用和税项。若卖方未按期交纳法定费用、税项，则卖方须补偿买方由此造成的所有费用及损失。</w:t>
      </w:r>
    </w:p>
    <w:p w14:paraId="72D0CC6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10.2除非本合同中另有规定或买方同意，卖方不得全部或部分转让本合同项下的权利义务。</w:t>
      </w:r>
    </w:p>
    <w:p w14:paraId="734F41F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10.3买卖双方同意在履行本合同期间双方之间交换、披露、传递或通信的所有工业和商业信息，任何附加文件或相关文件，应该被视为高度机密，双方应该按照此处规定仅用于本合同的签订和履行。</w:t>
      </w:r>
    </w:p>
    <w:p w14:paraId="4F1221F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10.4除对方预先书面同意外，任何一方在本合同签订和履行期间或本合同终止后不得向第三方披露在本合同履行过程中知悉的与对方有关的任何贸易、商业或工业秘密。</w:t>
      </w:r>
    </w:p>
    <w:p w14:paraId="60E332AA">
      <w:pPr>
        <w:spacing w:line="360" w:lineRule="auto"/>
        <w:ind w:firstLine="453" w:firstLineChars="189"/>
        <w:rPr>
          <w:rFonts w:hint="eastAsia" w:ascii="仿宋_GB2312" w:hAnsi="仿宋_GB2312" w:eastAsia="仿宋_GB2312" w:cs="仿宋_GB2312"/>
          <w:sz w:val="24"/>
        </w:rPr>
      </w:pPr>
    </w:p>
    <w:p w14:paraId="6669DC61">
      <w:pPr>
        <w:pStyle w:val="3"/>
        <w:tabs>
          <w:tab w:val="right" w:leader="dot" w:pos="9061"/>
        </w:tabs>
        <w:ind w:firstLine="455" w:firstLineChars="189"/>
        <w:jc w:val="both"/>
        <w:rPr>
          <w:rFonts w:hint="eastAsia" w:ascii="仿宋_GB2312" w:hAnsi="仿宋_GB2312" w:eastAsia="仿宋_GB2312" w:cs="仿宋_GB2312"/>
          <w:sz w:val="24"/>
          <w:szCs w:val="24"/>
        </w:rPr>
      </w:pPr>
      <w:bookmarkStart w:id="142" w:name="_Toc30381"/>
      <w:bookmarkStart w:id="143" w:name="_Toc9708"/>
      <w:bookmarkStart w:id="144" w:name="_Toc27314"/>
      <w:bookmarkStart w:id="145" w:name="_Toc18967"/>
      <w:bookmarkStart w:id="146" w:name="_Toc16330028"/>
      <w:r>
        <w:rPr>
          <w:rFonts w:hint="eastAsia" w:ascii="仿宋_GB2312" w:hAnsi="仿宋_GB2312" w:eastAsia="仿宋_GB2312" w:cs="仿宋_GB2312"/>
          <w:sz w:val="24"/>
          <w:szCs w:val="24"/>
        </w:rPr>
        <w:t>11 违约责任</w:t>
      </w:r>
      <w:bookmarkEnd w:id="142"/>
      <w:bookmarkEnd w:id="143"/>
      <w:bookmarkEnd w:id="144"/>
      <w:bookmarkEnd w:id="145"/>
      <w:bookmarkEnd w:id="146"/>
    </w:p>
    <w:p w14:paraId="1E34343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11.1卖方应承担提供的设备与本合同约定不符的一切责任，买方有权在检验、安装、调试、验收测试期限内、质量保证期内等任何时间提出索赔，买方有权按下述一种或多种方法要求卖方赔偿：</w:t>
      </w:r>
    </w:p>
    <w:p w14:paraId="0AB3798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2C74AF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11.1.2根据设备的瑕疵和受损程度以及买方遭受损失的金额，经买方同意降低设备价格。</w:t>
      </w:r>
    </w:p>
    <w:p w14:paraId="521BE7A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0111B1D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11.2如果买方就卖方的设备质量问题提出索赔通知后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日内卖方未能予以答复，该索赔视为已被卖方接受。若卖方未能在买方提出索赔通知后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日内或买方同意的更长一些的时间内，按买方同意的上述任何一种方式处理索赔事宜，买方将从货款中扣回索赔金额，同时保留进一步要求赔偿的权利。</w:t>
      </w:r>
    </w:p>
    <w:p w14:paraId="0100687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11.3如果卖方未能按期到货，卖方应向买方支付违约金，违约金比率为每迟交壹日，按合同总价的</w:t>
      </w:r>
      <w:r>
        <w:rPr>
          <w:rFonts w:hint="eastAsia" w:ascii="仿宋_GB2312" w:hAnsi="仿宋_GB2312" w:eastAsia="仿宋_GB2312" w:cs="仿宋_GB2312"/>
          <w:sz w:val="24"/>
          <w:u w:val="single"/>
        </w:rPr>
        <w:t>10</w:t>
      </w:r>
      <w:r>
        <w:rPr>
          <w:rFonts w:hint="eastAsia" w:ascii="仿宋_GB2312" w:hAnsi="仿宋_GB2312" w:eastAsia="仿宋_GB2312" w:cs="仿宋_GB2312"/>
          <w:sz w:val="24"/>
        </w:rPr>
        <w:t xml:space="preserve">‰计算，但是违约金的金额不得超过合同总价款的 </w:t>
      </w:r>
      <w:r>
        <w:rPr>
          <w:rFonts w:hint="eastAsia" w:ascii="仿宋_GB2312" w:hAnsi="仿宋_GB2312" w:eastAsia="仿宋_GB2312" w:cs="仿宋_GB2312"/>
          <w:sz w:val="24"/>
          <w:u w:val="single"/>
        </w:rPr>
        <w:t>20</w:t>
      </w:r>
      <w:r>
        <w:rPr>
          <w:rFonts w:hint="eastAsia" w:ascii="仿宋_GB2312" w:hAnsi="仿宋_GB2312" w:eastAsia="仿宋_GB2312" w:cs="仿宋_GB2312"/>
          <w:sz w:val="24"/>
        </w:rPr>
        <w:t xml:space="preserve"> %，如果卖方在达到违约金的最高限额后仍不能交货，买方有权就卖方违约而解除本合同，且卖方仍须支付上述违约金，并赔偿由此给买方造成的一切损失。</w:t>
      </w:r>
    </w:p>
    <w:p w14:paraId="74443DC6">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11.4如卖方未按7.1条履行义务，从逾期之日起卖方每天按合同总价款的</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‰支付给买方作违约金，但是违约金的金额不得超过合同总价的</w:t>
      </w:r>
      <w:r>
        <w:rPr>
          <w:rFonts w:hint="eastAsia" w:ascii="仿宋_GB2312" w:hAnsi="仿宋_GB2312" w:eastAsia="仿宋_GB2312" w:cs="仿宋_GB2312"/>
          <w:sz w:val="24"/>
          <w:u w:val="single"/>
        </w:rPr>
        <w:t xml:space="preserve"> 20 </w:t>
      </w:r>
      <w:r>
        <w:rPr>
          <w:rFonts w:hint="eastAsia" w:ascii="仿宋_GB2312" w:hAnsi="仿宋_GB2312" w:eastAsia="仿宋_GB2312" w:cs="仿宋_GB2312"/>
          <w:sz w:val="24"/>
        </w:rPr>
        <w:t>%。如果卖方在达到违约金的最高限额或者不能使设备通过最终验收，买方有权就卖方违约而解除本合同，且卖方仍须支付上述违约金，并返还买方支付的设备款，并赔偿由此给买方造成的一切损失。</w:t>
      </w:r>
    </w:p>
    <w:p w14:paraId="4DD68C9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11.5买方延期付款时（有正当拒付理由者除外），每日按延付金额的</w:t>
      </w:r>
      <w:r>
        <w:rPr>
          <w:rFonts w:hint="eastAsia" w:ascii="仿宋_GB2312" w:hAnsi="仿宋_GB2312" w:eastAsia="仿宋_GB2312" w:cs="仿宋_GB2312"/>
          <w:sz w:val="24"/>
          <w:u w:val="single"/>
        </w:rPr>
        <w:t xml:space="preserve"> 3 </w:t>
      </w:r>
      <w:r>
        <w:rPr>
          <w:rFonts w:hint="eastAsia" w:ascii="仿宋_GB2312" w:hAnsi="仿宋_GB2312" w:eastAsia="仿宋_GB2312" w:cs="仿宋_GB2312"/>
          <w:sz w:val="24"/>
        </w:rPr>
        <w:t>‰向卖方偿付延期付款违约金，但违约金总额不超过延付金额的</w:t>
      </w:r>
      <w:r>
        <w:rPr>
          <w:rFonts w:hint="eastAsia" w:ascii="仿宋_GB2312" w:hAnsi="仿宋_GB2312" w:eastAsia="仿宋_GB2312" w:cs="仿宋_GB2312"/>
          <w:sz w:val="24"/>
          <w:u w:val="single"/>
        </w:rPr>
        <w:t xml:space="preserve"> 50 </w:t>
      </w:r>
      <w:r>
        <w:rPr>
          <w:rFonts w:hint="eastAsia" w:ascii="仿宋_GB2312" w:hAnsi="仿宋_GB2312" w:eastAsia="仿宋_GB2312" w:cs="仿宋_GB2312"/>
          <w:sz w:val="24"/>
        </w:rPr>
        <w:t>‰。</w:t>
      </w:r>
    </w:p>
    <w:p w14:paraId="03FF57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11.6如卖方违反9.5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06BFF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11.7如果卖方违反本合同其他约定（包括本合同及所有附件）应赔偿因此给买方造成的一切损失。</w:t>
      </w:r>
    </w:p>
    <w:p w14:paraId="3E391F5E">
      <w:pPr>
        <w:spacing w:line="360" w:lineRule="auto"/>
        <w:ind w:firstLine="453" w:firstLineChars="189"/>
        <w:rPr>
          <w:rFonts w:hint="eastAsia" w:ascii="仿宋_GB2312" w:hAnsi="仿宋_GB2312" w:eastAsia="仿宋_GB2312" w:cs="仿宋_GB2312"/>
          <w:sz w:val="24"/>
        </w:rPr>
      </w:pPr>
    </w:p>
    <w:p w14:paraId="41EB533E">
      <w:pPr>
        <w:pStyle w:val="3"/>
        <w:tabs>
          <w:tab w:val="right" w:leader="dot" w:pos="9061"/>
        </w:tabs>
        <w:ind w:firstLine="455" w:firstLineChars="189"/>
        <w:jc w:val="both"/>
        <w:rPr>
          <w:rFonts w:hint="eastAsia" w:ascii="仿宋_GB2312" w:hAnsi="仿宋_GB2312" w:eastAsia="仿宋_GB2312" w:cs="仿宋_GB2312"/>
          <w:sz w:val="24"/>
          <w:szCs w:val="24"/>
        </w:rPr>
      </w:pPr>
      <w:bookmarkStart w:id="147" w:name="_Toc9172"/>
      <w:bookmarkStart w:id="148" w:name="_Toc21020"/>
      <w:bookmarkStart w:id="149" w:name="_Toc16330029"/>
      <w:bookmarkStart w:id="150" w:name="_Toc31554"/>
      <w:bookmarkStart w:id="151" w:name="_Toc1827"/>
      <w:r>
        <w:rPr>
          <w:rFonts w:hint="eastAsia" w:ascii="仿宋_GB2312" w:hAnsi="仿宋_GB2312" w:eastAsia="仿宋_GB2312" w:cs="仿宋_GB2312"/>
          <w:sz w:val="24"/>
          <w:szCs w:val="24"/>
        </w:rPr>
        <w:t>12 合同的终止与解除</w:t>
      </w:r>
      <w:bookmarkEnd w:id="147"/>
      <w:bookmarkEnd w:id="148"/>
      <w:bookmarkEnd w:id="149"/>
      <w:bookmarkEnd w:id="150"/>
      <w:bookmarkEnd w:id="151"/>
    </w:p>
    <w:p w14:paraId="69AEAD9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12.1本合同订立后，卖方由于履行义务的能力或信用有严重缺陷，买方可以终止履行本合同，要求卖方返还已支付的款项并不承担违约责任。</w:t>
      </w:r>
    </w:p>
    <w:p w14:paraId="087FB99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12.2经双方协商一致，可以解除本合同。</w:t>
      </w:r>
    </w:p>
    <w:p w14:paraId="488A4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12.3有下列情形之一的，买方可以解除本合同：</w:t>
      </w:r>
    </w:p>
    <w:p w14:paraId="709EE6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12.3.1卖方明确表示或者以自己的行为表明不履行主要义务的；</w:t>
      </w:r>
    </w:p>
    <w:p w14:paraId="40FBC9A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12.3.2按照本合同第11.3条或第11.4条的规定，达到违约金的最高限额；</w:t>
      </w:r>
    </w:p>
    <w:p w14:paraId="0FD398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12.3.3卖方所提交的设备不符合本合同的规定；</w:t>
      </w:r>
    </w:p>
    <w:p w14:paraId="026B58B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12.3.4卖方有其他违约行为。</w:t>
      </w:r>
    </w:p>
    <w:p w14:paraId="4C0F46D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12.4卖方分批交付设备的，卖方对其中一批设备不交付或者交付不符合约定，致使该批设备不能实现本合同目的的，买方可以就该批设备解除合同。</w:t>
      </w:r>
    </w:p>
    <w:p w14:paraId="43FB037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12.5卖方不交付其中一批设备或者交付不符合约定，致使今后其他各批设备的交付不能实现本合同目的的，买方可以就该批以及今后其他各批设备解除合同。</w:t>
      </w:r>
    </w:p>
    <w:p w14:paraId="6476DCF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12.6买方如果就其中一批设备解除合同，该批设备与其他各批设备相互依存的，可以就已经交付和未交付的各批设备解除合同。</w:t>
      </w:r>
    </w:p>
    <w:p w14:paraId="547183E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12.7因为卖方违约导致买方解除合同的，卖方应赔偿买方因此所遭受的一切损失。</w:t>
      </w:r>
    </w:p>
    <w:p w14:paraId="2483D497">
      <w:pPr>
        <w:pStyle w:val="3"/>
        <w:tabs>
          <w:tab w:val="right" w:leader="dot" w:pos="9061"/>
        </w:tabs>
        <w:ind w:firstLine="455" w:firstLineChars="189"/>
        <w:jc w:val="both"/>
        <w:rPr>
          <w:rFonts w:hint="eastAsia" w:ascii="仿宋_GB2312" w:hAnsi="仿宋_GB2312" w:eastAsia="仿宋_GB2312" w:cs="仿宋_GB2312"/>
          <w:sz w:val="24"/>
          <w:szCs w:val="24"/>
        </w:rPr>
      </w:pPr>
      <w:bookmarkStart w:id="152" w:name="_Toc20000"/>
      <w:bookmarkStart w:id="153" w:name="_Toc16330030"/>
      <w:bookmarkStart w:id="154" w:name="_Toc13671"/>
      <w:bookmarkStart w:id="155" w:name="_Toc8620"/>
      <w:bookmarkStart w:id="156" w:name="_Toc31945"/>
      <w:r>
        <w:rPr>
          <w:rFonts w:hint="eastAsia" w:ascii="仿宋_GB2312" w:hAnsi="仿宋_GB2312" w:eastAsia="仿宋_GB2312" w:cs="仿宋_GB2312"/>
          <w:sz w:val="24"/>
          <w:szCs w:val="24"/>
        </w:rPr>
        <w:t>13 不可抗力</w:t>
      </w:r>
      <w:bookmarkEnd w:id="152"/>
      <w:bookmarkEnd w:id="153"/>
      <w:bookmarkEnd w:id="154"/>
      <w:bookmarkEnd w:id="155"/>
      <w:bookmarkEnd w:id="156"/>
    </w:p>
    <w:p w14:paraId="061A17B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62D68F7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13.2各方应该通过协商决定是否终止本合同，或推迟全部或部分本合同的履行或免除对方全部或部分相关履行义务。</w:t>
      </w:r>
    </w:p>
    <w:p w14:paraId="083E63DF">
      <w:pPr>
        <w:spacing w:line="360" w:lineRule="auto"/>
        <w:ind w:firstLine="453" w:firstLineChars="189"/>
        <w:rPr>
          <w:rFonts w:hint="eastAsia" w:ascii="仿宋_GB2312" w:hAnsi="仿宋_GB2312" w:eastAsia="仿宋_GB2312" w:cs="仿宋_GB2312"/>
          <w:sz w:val="24"/>
        </w:rPr>
      </w:pPr>
    </w:p>
    <w:p w14:paraId="1B77B204">
      <w:pPr>
        <w:pStyle w:val="3"/>
        <w:tabs>
          <w:tab w:val="right" w:leader="dot" w:pos="9061"/>
        </w:tabs>
        <w:ind w:firstLine="455" w:firstLineChars="189"/>
        <w:jc w:val="both"/>
        <w:rPr>
          <w:rFonts w:hint="eastAsia" w:ascii="仿宋_GB2312" w:hAnsi="仿宋_GB2312" w:eastAsia="仿宋_GB2312" w:cs="仿宋_GB2312"/>
          <w:sz w:val="24"/>
          <w:szCs w:val="24"/>
        </w:rPr>
      </w:pPr>
      <w:bookmarkStart w:id="157" w:name="_Toc31243"/>
      <w:bookmarkStart w:id="158" w:name="_Toc637"/>
      <w:bookmarkStart w:id="159" w:name="_Toc30389"/>
      <w:bookmarkStart w:id="160" w:name="_Toc16330031"/>
      <w:bookmarkStart w:id="161" w:name="_Toc28106"/>
      <w:r>
        <w:rPr>
          <w:rFonts w:hint="eastAsia" w:ascii="仿宋_GB2312" w:hAnsi="仿宋_GB2312" w:eastAsia="仿宋_GB2312" w:cs="仿宋_GB2312"/>
          <w:sz w:val="24"/>
          <w:szCs w:val="24"/>
        </w:rPr>
        <w:t>14 通讯</w:t>
      </w:r>
      <w:bookmarkEnd w:id="157"/>
      <w:bookmarkEnd w:id="158"/>
      <w:bookmarkEnd w:id="159"/>
      <w:bookmarkEnd w:id="160"/>
      <w:bookmarkEnd w:id="161"/>
    </w:p>
    <w:p w14:paraId="5866DB7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14.1通讯地址：</w:t>
      </w:r>
    </w:p>
    <w:p w14:paraId="08C13E1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本合同下的任何通讯按照本合同双方提供的信息，以书信、传真、电子通讯方式或电话作出。</w:t>
      </w:r>
    </w:p>
    <w:p w14:paraId="7EC2CE3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14.2生效</w:t>
      </w:r>
    </w:p>
    <w:p w14:paraId="200738E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14.2.1书信。书信为送达时生效；</w:t>
      </w:r>
    </w:p>
    <w:p w14:paraId="1FED846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14.2.2传真。发送人取得成功传输的信息时生效；</w:t>
      </w:r>
    </w:p>
    <w:p w14:paraId="7DB171B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14.2.3电子邮件。电子邮件于发送之时生效，前提是寄件者于该邮件发送后24小时内没有收到发送失败通知；</w:t>
      </w:r>
    </w:p>
    <w:p w14:paraId="7BB9E92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14.2.4电话。电话于打出时生效，以电话作出的任何通讯必须以书信、传真或电子邮件确认，如果没有发送或者接收该确认不会使原有通讯失效。</w:t>
      </w:r>
    </w:p>
    <w:p w14:paraId="1778FB2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14.3书面法律证据。根据本合同以书信、传真或电子邮件方式送达任何订约方的任何通讯，将作为书面法律证据。</w:t>
      </w:r>
    </w:p>
    <w:p w14:paraId="732DC6E0">
      <w:pPr>
        <w:pStyle w:val="3"/>
        <w:tabs>
          <w:tab w:val="right" w:leader="dot" w:pos="9061"/>
        </w:tabs>
        <w:ind w:firstLine="482" w:firstLineChars="200"/>
        <w:jc w:val="both"/>
        <w:rPr>
          <w:rFonts w:hint="eastAsia" w:ascii="仿宋_GB2312" w:hAnsi="仿宋_GB2312" w:eastAsia="仿宋_GB2312" w:cs="仿宋_GB2312"/>
          <w:sz w:val="24"/>
          <w:szCs w:val="24"/>
        </w:rPr>
      </w:pPr>
      <w:bookmarkStart w:id="162" w:name="_Toc12984"/>
      <w:bookmarkStart w:id="163" w:name="_Toc9177"/>
      <w:bookmarkStart w:id="164" w:name="_Toc11290"/>
      <w:bookmarkStart w:id="165" w:name="_Toc9915"/>
      <w:bookmarkStart w:id="166" w:name="_Toc16330032"/>
      <w:r>
        <w:rPr>
          <w:rFonts w:hint="eastAsia" w:ascii="仿宋_GB2312" w:hAnsi="仿宋_GB2312" w:eastAsia="仿宋_GB2312" w:cs="仿宋_GB2312"/>
          <w:sz w:val="24"/>
          <w:szCs w:val="24"/>
        </w:rPr>
        <w:t>15 适用法律及争议解决</w:t>
      </w:r>
      <w:bookmarkEnd w:id="162"/>
      <w:bookmarkEnd w:id="163"/>
      <w:bookmarkEnd w:id="164"/>
      <w:bookmarkEnd w:id="165"/>
      <w:bookmarkEnd w:id="166"/>
    </w:p>
    <w:p w14:paraId="3EAB296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15.1本合同条款的效力和解释适用中华人民共和国法律。</w:t>
      </w:r>
    </w:p>
    <w:p w14:paraId="53E8CCC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15.2双方同意将本着诚信的态度协商解决本合同履行过程中产生的任何争议。如果争议事项不能通过双方协商解决，本合同双方同意采用向</w:t>
      </w:r>
      <w:r>
        <w:rPr>
          <w:rFonts w:hint="eastAsia" w:ascii="仿宋_GB2312" w:hAnsi="仿宋_GB2312" w:eastAsia="仿宋_GB2312" w:cs="仿宋_GB2312"/>
          <w:b/>
          <w:bCs/>
          <w:sz w:val="24"/>
        </w:rPr>
        <w:t>买方所在地</w:t>
      </w:r>
      <w:r>
        <w:rPr>
          <w:rFonts w:hint="eastAsia" w:ascii="仿宋_GB2312" w:hAnsi="仿宋_GB2312" w:eastAsia="仿宋_GB2312" w:cs="仿宋_GB2312"/>
          <w:sz w:val="24"/>
        </w:rPr>
        <w:t>人民法院提起诉讼的方式解决。</w:t>
      </w:r>
    </w:p>
    <w:p w14:paraId="38C71017">
      <w:pPr>
        <w:pStyle w:val="3"/>
        <w:tabs>
          <w:tab w:val="right" w:leader="dot" w:pos="9061"/>
        </w:tabs>
        <w:ind w:firstLine="455" w:firstLineChars="189"/>
        <w:jc w:val="both"/>
        <w:rPr>
          <w:rFonts w:hint="eastAsia" w:ascii="仿宋_GB2312" w:hAnsi="仿宋_GB2312" w:eastAsia="仿宋_GB2312" w:cs="仿宋_GB2312"/>
          <w:sz w:val="24"/>
          <w:szCs w:val="24"/>
        </w:rPr>
      </w:pPr>
      <w:bookmarkStart w:id="167" w:name="_Toc23765"/>
      <w:bookmarkStart w:id="168" w:name="_Toc16330033"/>
      <w:bookmarkStart w:id="169" w:name="_Toc4599"/>
      <w:bookmarkStart w:id="170" w:name="_Toc23906"/>
      <w:bookmarkStart w:id="171" w:name="_Toc18207"/>
      <w:r>
        <w:rPr>
          <w:rFonts w:hint="eastAsia" w:ascii="仿宋_GB2312" w:hAnsi="仿宋_GB2312" w:eastAsia="仿宋_GB2312" w:cs="仿宋_GB2312"/>
          <w:sz w:val="24"/>
          <w:szCs w:val="24"/>
        </w:rPr>
        <w:t>16 附件</w:t>
      </w:r>
      <w:bookmarkEnd w:id="167"/>
      <w:bookmarkEnd w:id="168"/>
      <w:bookmarkEnd w:id="169"/>
      <w:bookmarkEnd w:id="170"/>
      <w:bookmarkEnd w:id="171"/>
    </w:p>
    <w:p w14:paraId="0447661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本合同及其附件构成双方关于本合同标的之全部协议，包括但不限于下列文件：</w:t>
      </w:r>
    </w:p>
    <w:p w14:paraId="4D81F58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16.1技术协议书；</w:t>
      </w:r>
    </w:p>
    <w:p w14:paraId="7B48A1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16.2合同设备一览表；</w:t>
      </w:r>
    </w:p>
    <w:p w14:paraId="0996D3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16.3卖方中标的设备投标书以及一切书面承诺；</w:t>
      </w:r>
    </w:p>
    <w:p w14:paraId="657BEE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16.4招标文件。</w:t>
      </w:r>
    </w:p>
    <w:p w14:paraId="1FC3B4F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上述附件内容与本合同约定有冲突的，以本合同约定为准。</w:t>
      </w:r>
    </w:p>
    <w:p w14:paraId="3EE235E2">
      <w:pPr>
        <w:spacing w:line="360" w:lineRule="auto"/>
        <w:ind w:firstLine="453" w:firstLineChars="189"/>
        <w:rPr>
          <w:rFonts w:hint="eastAsia" w:ascii="仿宋_GB2312" w:hAnsi="仿宋_GB2312" w:eastAsia="仿宋_GB2312" w:cs="仿宋_GB2312"/>
          <w:sz w:val="24"/>
        </w:rPr>
      </w:pPr>
    </w:p>
    <w:p w14:paraId="57141CEC">
      <w:pPr>
        <w:pStyle w:val="3"/>
        <w:tabs>
          <w:tab w:val="right" w:leader="dot" w:pos="9061"/>
        </w:tabs>
        <w:ind w:firstLine="455" w:firstLineChars="189"/>
        <w:jc w:val="both"/>
        <w:rPr>
          <w:rFonts w:hint="eastAsia" w:ascii="仿宋_GB2312" w:hAnsi="仿宋_GB2312" w:eastAsia="仿宋_GB2312" w:cs="仿宋_GB2312"/>
          <w:sz w:val="24"/>
          <w:szCs w:val="24"/>
        </w:rPr>
      </w:pPr>
      <w:bookmarkStart w:id="172" w:name="_Toc31331"/>
      <w:bookmarkStart w:id="173" w:name="_Toc16330034"/>
      <w:bookmarkStart w:id="174" w:name="_Toc17656"/>
      <w:bookmarkStart w:id="175" w:name="_Toc26739"/>
      <w:bookmarkStart w:id="176" w:name="_Toc27202"/>
      <w:r>
        <w:rPr>
          <w:rFonts w:hint="eastAsia" w:ascii="仿宋_GB2312" w:hAnsi="仿宋_GB2312" w:eastAsia="仿宋_GB2312" w:cs="仿宋_GB2312"/>
          <w:sz w:val="24"/>
          <w:szCs w:val="24"/>
        </w:rPr>
        <w:t>17 其他规定</w:t>
      </w:r>
      <w:bookmarkEnd w:id="172"/>
      <w:bookmarkEnd w:id="173"/>
      <w:bookmarkEnd w:id="174"/>
      <w:bookmarkEnd w:id="175"/>
      <w:bookmarkEnd w:id="176"/>
    </w:p>
    <w:p w14:paraId="41A12F4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17.1本合同及其附件构成了双方就本合同所含交易而达成的全部合同，并取代双方先前与该等交易有关的全部口头和书面合同。</w:t>
      </w:r>
    </w:p>
    <w:p w14:paraId="1D2BA8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17.2如果本合同的任何条款和条件在任何时间成为非法、无效或不可强制执行的，则其他条款不应受其影响。</w:t>
      </w:r>
    </w:p>
    <w:p w14:paraId="059899B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17.3除非另有规定，一方未行使或迟延行使本合同项下的权利、权力或特权并不构成放弃这些权利、权力和特权，而单一或部分行使这些权利、权力和特权并不排斥行使任何其他权利、权力和特权。</w:t>
      </w:r>
    </w:p>
    <w:p w14:paraId="5C49E571">
      <w:pPr>
        <w:spacing w:line="360" w:lineRule="auto"/>
        <w:ind w:firstLine="453" w:firstLineChars="189"/>
        <w:rPr>
          <w:rFonts w:hint="eastAsia" w:ascii="仿宋_GB2312" w:hAnsi="仿宋_GB2312" w:eastAsia="仿宋_GB2312" w:cs="仿宋_GB2312"/>
          <w:sz w:val="24"/>
        </w:rPr>
      </w:pPr>
      <w:bookmarkStart w:id="177" w:name="_Toc19077"/>
      <w:bookmarkStart w:id="178" w:name="_Toc29136"/>
      <w:bookmarkStart w:id="179" w:name="_Toc17952"/>
      <w:bookmarkStart w:id="180" w:name="_Toc16330035"/>
      <w:r>
        <w:rPr>
          <w:rFonts w:hint="eastAsia" w:ascii="仿宋_GB2312" w:hAnsi="仿宋_GB2312" w:eastAsia="仿宋_GB2312" w:cs="仿宋_GB2312"/>
          <w:sz w:val="24"/>
        </w:rPr>
        <w:t>17.4监造，在合同设备的制造过程中，买方有权派出代表对合同设备制造过程中的关键工序进行质量监督，卖方有配合买方监造的义务。</w:t>
      </w:r>
    </w:p>
    <w:p w14:paraId="396E0A2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6BB334ED">
      <w:pPr>
        <w:spacing w:line="360" w:lineRule="auto"/>
        <w:ind w:firstLine="453" w:firstLineChars="189"/>
        <w:rPr>
          <w:rFonts w:hint="eastAsia" w:ascii="仿宋_GB2312" w:hAnsi="仿宋_GB2312" w:eastAsia="仿宋_GB2312" w:cs="仿宋_GB2312"/>
          <w:sz w:val="24"/>
        </w:rPr>
      </w:pPr>
    </w:p>
    <w:p w14:paraId="5C5F211A">
      <w:pPr>
        <w:pStyle w:val="3"/>
        <w:tabs>
          <w:tab w:val="right" w:leader="dot" w:pos="9061"/>
        </w:tabs>
        <w:ind w:firstLine="455" w:firstLineChars="189"/>
        <w:jc w:val="both"/>
        <w:rPr>
          <w:rFonts w:hint="eastAsia" w:ascii="仿宋_GB2312" w:hAnsi="仿宋_GB2312" w:eastAsia="仿宋_GB2312" w:cs="仿宋_GB2312"/>
          <w:sz w:val="24"/>
          <w:szCs w:val="24"/>
        </w:rPr>
      </w:pPr>
      <w:bookmarkStart w:id="181" w:name="_Toc19820"/>
      <w:r>
        <w:rPr>
          <w:rFonts w:hint="eastAsia" w:ascii="仿宋_GB2312" w:hAnsi="仿宋_GB2312" w:eastAsia="仿宋_GB2312" w:cs="仿宋_GB2312"/>
          <w:sz w:val="24"/>
          <w:szCs w:val="24"/>
        </w:rPr>
        <w:t>18 签署事项</w:t>
      </w:r>
      <w:bookmarkEnd w:id="177"/>
      <w:bookmarkEnd w:id="178"/>
      <w:bookmarkEnd w:id="179"/>
      <w:bookmarkEnd w:id="180"/>
      <w:bookmarkEnd w:id="181"/>
    </w:p>
    <w:p w14:paraId="64461D3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本合同一式</w:t>
      </w:r>
      <w:r>
        <w:rPr>
          <w:rFonts w:hint="eastAsia" w:ascii="仿宋_GB2312" w:hAnsi="仿宋_GB2312" w:eastAsia="仿宋_GB2312" w:cs="仿宋_GB2312"/>
          <w:sz w:val="24"/>
          <w:u w:val="single"/>
        </w:rPr>
        <w:t>x</w:t>
      </w:r>
      <w:r>
        <w:rPr>
          <w:rFonts w:hint="eastAsia" w:ascii="仿宋_GB2312" w:hAnsi="仿宋_GB2312" w:eastAsia="仿宋_GB2312" w:cs="仿宋_GB2312"/>
          <w:sz w:val="24"/>
        </w:rPr>
        <w:t>份，买方持</w:t>
      </w:r>
      <w:r>
        <w:rPr>
          <w:rFonts w:hint="eastAsia" w:ascii="仿宋_GB2312" w:hAnsi="仿宋_GB2312" w:eastAsia="仿宋_GB2312" w:cs="仿宋_GB2312"/>
          <w:sz w:val="24"/>
          <w:u w:val="single"/>
        </w:rPr>
        <w:t>2</w:t>
      </w:r>
      <w:r>
        <w:rPr>
          <w:rFonts w:hint="eastAsia" w:ascii="仿宋_GB2312" w:hAnsi="仿宋_GB2312" w:eastAsia="仿宋_GB2312" w:cs="仿宋_GB2312"/>
          <w:sz w:val="24"/>
        </w:rPr>
        <w:t>份，卖方持</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份；本合同经双方签署后生效。</w:t>
      </w:r>
    </w:p>
    <w:p w14:paraId="61B26AF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（以下无正文）</w:t>
      </w:r>
    </w:p>
    <w:p w14:paraId="1653B0E7">
      <w:pPr>
        <w:spacing w:line="360" w:lineRule="auto"/>
        <w:ind w:firstLine="453" w:firstLineChars="189"/>
        <w:rPr>
          <w:rFonts w:hint="eastAsia" w:ascii="仿宋_GB2312" w:hAnsi="仿宋_GB2312" w:eastAsia="仿宋_GB2312" w:cs="仿宋_GB2312"/>
          <w:sz w:val="24"/>
        </w:rPr>
      </w:pPr>
    </w:p>
    <w:p w14:paraId="28337817">
      <w:pPr>
        <w:spacing w:line="360" w:lineRule="auto"/>
        <w:rPr>
          <w:rFonts w:hint="eastAsia" w:ascii="仿宋_GB2312" w:hAnsi="仿宋_GB2312" w:eastAsia="仿宋_GB2312" w:cs="仿宋_GB2312"/>
          <w:snapToGrid w:val="0"/>
          <w:kern w:val="0"/>
          <w:sz w:val="24"/>
        </w:rPr>
      </w:pPr>
    </w:p>
    <w:p w14:paraId="2FDEB716">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甲方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kern w:val="0"/>
          <w:sz w:val="24"/>
        </w:rPr>
        <w:t xml:space="preserve">           </w:t>
      </w:r>
      <w:r>
        <w:rPr>
          <w:rFonts w:hint="eastAsia" w:ascii="仿宋_GB2312" w:hAnsi="仿宋_GB2312" w:eastAsia="仿宋_GB2312" w:cs="仿宋_GB2312"/>
          <w:snapToGrid w:val="0"/>
          <w:kern w:val="0"/>
          <w:sz w:val="24"/>
          <w:lang w:eastAsia="zh-Hans"/>
        </w:rPr>
        <w:t>乙方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w:t>
      </w:r>
    </w:p>
    <w:p w14:paraId="666A0DF2">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法定代表人或代理人（签字）：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法定代表人或代理人（签字）：</w:t>
      </w:r>
    </w:p>
    <w:p w14:paraId="3A98DCFF">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地  址：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地  址： </w:t>
      </w:r>
    </w:p>
    <w:p w14:paraId="77478D57">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电话：                                       电话： </w:t>
      </w:r>
    </w:p>
    <w:p w14:paraId="2AA9DCA2">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传真：                                       传真： </w:t>
      </w:r>
    </w:p>
    <w:p w14:paraId="754D4EF9">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开户银行：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开户银行：   </w:t>
      </w:r>
    </w:p>
    <w:p w14:paraId="5189D70F">
      <w:pPr>
        <w:widowControl/>
        <w:adjustRightInd w:val="0"/>
        <w:snapToGrid w:val="0"/>
        <w:spacing w:line="360" w:lineRule="auto"/>
        <w:jc w:val="left"/>
        <w:rPr>
          <w:rFonts w:hint="eastAsia" w:ascii="仿宋_GB2312" w:hAnsi="仿宋_GB2312" w:eastAsia="仿宋_GB2312" w:cs="仿宋_GB2312"/>
          <w:snapToGrid w:val="0"/>
          <w:kern w:val="0"/>
          <w:sz w:val="24"/>
        </w:rPr>
      </w:pPr>
      <w:r>
        <w:rPr>
          <w:rFonts w:hint="eastAsia" w:ascii="仿宋_GB2312" w:hAnsi="仿宋_GB2312" w:eastAsia="仿宋_GB2312" w:cs="仿宋_GB2312"/>
          <w:snapToGrid w:val="0"/>
          <w:color w:val="000000"/>
          <w:kern w:val="0"/>
          <w:sz w:val="24"/>
          <w:lang w:eastAsia="zh-Hans"/>
        </w:rPr>
        <w:t xml:space="preserve">账  号：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账 号： </w:t>
      </w:r>
    </w:p>
    <w:p w14:paraId="5E9C1A79">
      <w:pPr>
        <w:jc w:val="right"/>
        <w:rPr>
          <w:rFonts w:hint="eastAsia" w:ascii="宋体" w:hAnsi="宋体"/>
          <w:sz w:val="24"/>
        </w:rPr>
      </w:pPr>
      <w:r>
        <w:rPr>
          <w:rFonts w:hint="eastAsia" w:ascii="宋体" w:hAnsi="宋体"/>
          <w:sz w:val="24"/>
        </w:rPr>
        <w:t xml:space="preserve">                          </w:t>
      </w:r>
    </w:p>
    <w:p w14:paraId="6303F82D">
      <w:pPr>
        <w:spacing w:before="156"/>
        <w:outlineLvl w:val="9"/>
      </w:pPr>
    </w:p>
    <w:p w14:paraId="5467FB1B">
      <w:pPr>
        <w:pStyle w:val="11"/>
        <w:spacing w:after="0" w:line="460" w:lineRule="exact"/>
        <w:jc w:val="center"/>
        <w:outlineLvl w:val="9"/>
        <w:rPr>
          <w:rFonts w:hint="eastAsia" w:ascii="宋体" w:hAnsi="宋体" w:cs="宋体"/>
          <w:b/>
          <w:bCs/>
          <w:sz w:val="32"/>
          <w:szCs w:val="32"/>
        </w:rPr>
      </w:pPr>
    </w:p>
    <w:p w14:paraId="6B9D9089">
      <w:pPr>
        <w:pStyle w:val="12"/>
        <w:outlineLvl w:val="9"/>
      </w:pPr>
      <w:r>
        <w:rPr>
          <w:rFonts w:hint="eastAsia"/>
        </w:rPr>
        <w:t>、</w:t>
      </w:r>
    </w:p>
    <w:p w14:paraId="02A389F7">
      <w:pPr>
        <w:pStyle w:val="11"/>
        <w:spacing w:after="0" w:line="460" w:lineRule="exact"/>
        <w:ind w:firstLine="643"/>
        <w:jc w:val="center"/>
        <w:outlineLvl w:val="9"/>
        <w:rPr>
          <w:rFonts w:hint="eastAsia" w:ascii="宋体" w:hAnsi="宋体" w:cs="宋体"/>
          <w:b/>
          <w:bCs/>
          <w:sz w:val="32"/>
          <w:szCs w:val="32"/>
        </w:rPr>
      </w:pPr>
    </w:p>
    <w:p w14:paraId="69D47549">
      <w:pPr>
        <w:pStyle w:val="12"/>
        <w:outlineLvl w:val="9"/>
      </w:pPr>
    </w:p>
    <w:bookmarkEnd w:id="91"/>
    <w:p w14:paraId="6ACA04A1">
      <w:pPr>
        <w:tabs>
          <w:tab w:val="right" w:leader="dot" w:pos="9061"/>
        </w:tabs>
        <w:outlineLvl w:val="9"/>
        <w:rPr>
          <w:rFonts w:hint="eastAsia" w:ascii="宋体" w:hAnsi="宋体"/>
        </w:rPr>
      </w:pPr>
    </w:p>
    <w:p w14:paraId="7575AA97">
      <w:pPr>
        <w:outlineLvl w:val="9"/>
        <w:sectPr>
          <w:pgSz w:w="11906" w:h="16838"/>
          <w:pgMar w:top="1440" w:right="1800" w:bottom="1440" w:left="1800" w:header="851" w:footer="992" w:gutter="0"/>
          <w:pgNumType w:fmt="decimal"/>
          <w:cols w:space="720" w:num="1"/>
          <w:docGrid w:type="lines" w:linePitch="312" w:charSpace="0"/>
        </w:sectPr>
      </w:pPr>
    </w:p>
    <w:bookmarkEnd w:id="88"/>
    <w:bookmarkEnd w:id="89"/>
    <w:p w14:paraId="15B0AB2B">
      <w:pPr>
        <w:pStyle w:val="2"/>
      </w:pPr>
      <w:bookmarkStart w:id="182" w:name="_Toc6299"/>
      <w:bookmarkStart w:id="183" w:name="_Toc17510"/>
      <w:r>
        <w:rPr>
          <w:rFonts w:hint="eastAsia"/>
        </w:rPr>
        <w:t>第七章 投标文件格式</w:t>
      </w:r>
      <w:bookmarkEnd w:id="182"/>
      <w:bookmarkEnd w:id="183"/>
    </w:p>
    <w:p w14:paraId="64BCE412">
      <w:pPr>
        <w:pStyle w:val="3"/>
        <w:spacing w:before="156"/>
      </w:pPr>
      <w:bookmarkStart w:id="184" w:name="_Toc146698136"/>
      <w:bookmarkStart w:id="185" w:name="_Toc4150"/>
      <w:bookmarkStart w:id="186" w:name="_Toc9331"/>
      <w:r>
        <w:rPr>
          <w:rFonts w:hint="eastAsia"/>
        </w:rPr>
        <w:t>一、投标函</w:t>
      </w:r>
      <w:bookmarkEnd w:id="184"/>
      <w:bookmarkEnd w:id="185"/>
      <w:bookmarkEnd w:id="186"/>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2"/>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2"/>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2"/>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2"/>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2"/>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2"/>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3"/>
        <w:spacing w:before="156"/>
      </w:pPr>
      <w:bookmarkStart w:id="187" w:name="_Toc216"/>
      <w:bookmarkStart w:id="188" w:name="_Toc29501"/>
      <w:bookmarkStart w:id="189" w:name="_Toc146698137"/>
      <w:r>
        <w:rPr>
          <w:rFonts w:hint="eastAsia"/>
        </w:rPr>
        <w:t>二、法定代表人授权书</w:t>
      </w:r>
      <w:bookmarkEnd w:id="187"/>
      <w:bookmarkEnd w:id="188"/>
      <w:bookmarkEnd w:id="189"/>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3"/>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90" w:name="_Toc119413768"/>
      <w:bookmarkStart w:id="191" w:name="_Toc301469812"/>
    </w:p>
    <w:bookmarkEnd w:id="190"/>
    <w:bookmarkEnd w:id="191"/>
    <w:p w14:paraId="33C77D45">
      <w:pPr>
        <w:pStyle w:val="3"/>
        <w:spacing w:before="156"/>
      </w:pPr>
      <w:bookmarkStart w:id="192" w:name="_Hlt119329906"/>
      <w:bookmarkEnd w:id="192"/>
      <w:bookmarkStart w:id="193" w:name="_Toc146698138"/>
      <w:bookmarkStart w:id="194" w:name="_Toc11449"/>
      <w:bookmarkStart w:id="195" w:name="_Toc11854"/>
      <w:r>
        <w:rPr>
          <w:rFonts w:hint="eastAsia"/>
          <w:sz w:val="24"/>
          <w:szCs w:val="24"/>
        </w:rPr>
        <w:t>三、</w:t>
      </w:r>
      <w:r>
        <w:rPr>
          <w:rFonts w:hint="eastAsia"/>
        </w:rPr>
        <w:t>唱标单</w:t>
      </w:r>
      <w:bookmarkEnd w:id="193"/>
      <w:bookmarkEnd w:id="194"/>
      <w:bookmarkEnd w:id="195"/>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1"/>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1"/>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1"/>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2"/>
              <w:ind w:left="0" w:leftChars="0"/>
              <w:rPr>
                <w:rFonts w:asciiTheme="minorHAnsi" w:hAnsiTheme="minorHAnsi" w:eastAsiaTheme="minorEastAsia" w:cstheme="minorHAnsi"/>
                <w:bCs/>
                <w:sz w:val="24"/>
              </w:rPr>
            </w:pPr>
          </w:p>
          <w:p w14:paraId="7273C913">
            <w:pPr>
              <w:pStyle w:val="11"/>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96" w:name="_Toc119413770"/>
      <w:bookmarkStart w:id="197" w:name="_Toc301469814"/>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3"/>
        <w:spacing w:before="156"/>
      </w:pPr>
      <w:bookmarkStart w:id="198" w:name="_Toc146698139"/>
      <w:bookmarkStart w:id="199" w:name="_Toc30398"/>
      <w:bookmarkStart w:id="200" w:name="_Toc22187"/>
      <w:r>
        <w:rPr>
          <w:rFonts w:hint="eastAsia"/>
        </w:rPr>
        <w:t>四、企业基本情况</w:t>
      </w:r>
      <w:bookmarkEnd w:id="196"/>
      <w:bookmarkEnd w:id="197"/>
      <w:r>
        <w:rPr>
          <w:rFonts w:hint="eastAsia"/>
        </w:rPr>
        <w:t>介绍</w:t>
      </w:r>
      <w:bookmarkEnd w:id="198"/>
      <w:bookmarkEnd w:id="199"/>
      <w:bookmarkEnd w:id="200"/>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201" w:name="_Toc301469815"/>
            <w:bookmarkStart w:id="202" w:name="_Toc119413771"/>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3"/>
        <w:spacing w:before="156"/>
      </w:pPr>
      <w:bookmarkStart w:id="203" w:name="_Toc8525"/>
      <w:bookmarkStart w:id="204" w:name="_Toc16064006"/>
      <w:bookmarkStart w:id="205" w:name="_Toc6833"/>
      <w:bookmarkStart w:id="206" w:name="_Toc146698140"/>
      <w:r>
        <w:rPr>
          <w:rFonts w:hint="eastAsia"/>
        </w:rPr>
        <w:t>五、202</w:t>
      </w:r>
      <w:r>
        <w:rPr>
          <w:rFonts w:hint="eastAsia"/>
          <w:lang w:val="en-US" w:eastAsia="zh-CN"/>
        </w:rPr>
        <w:t>2</w:t>
      </w:r>
      <w:r>
        <w:rPr>
          <w:rFonts w:hint="eastAsia"/>
        </w:rPr>
        <w:t>、202</w:t>
      </w:r>
      <w:r>
        <w:rPr>
          <w:rFonts w:hint="eastAsia"/>
          <w:lang w:val="en-US" w:eastAsia="zh-CN"/>
        </w:rPr>
        <w:t>3</w:t>
      </w:r>
      <w:r>
        <w:rPr>
          <w:rFonts w:hint="eastAsia"/>
        </w:rPr>
        <w:t>、</w:t>
      </w:r>
      <w:r>
        <w:t>202</w:t>
      </w:r>
      <w:r>
        <w:rPr>
          <w:rFonts w:hint="eastAsia"/>
          <w:lang w:val="en-US" w:eastAsia="zh-CN"/>
        </w:rPr>
        <w:t>4</w:t>
      </w:r>
      <w:r>
        <w:rPr>
          <w:rFonts w:hint="eastAsia"/>
        </w:rPr>
        <w:t>年财务状况</w:t>
      </w:r>
      <w:bookmarkEnd w:id="203"/>
      <w:bookmarkEnd w:id="204"/>
      <w:bookmarkEnd w:id="205"/>
      <w:bookmarkEnd w:id="206"/>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2</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3</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3"/>
        <w:spacing w:before="156"/>
        <w:rPr>
          <w:sz w:val="30"/>
          <w:szCs w:val="30"/>
        </w:rPr>
      </w:pPr>
      <w:r>
        <w:rPr>
          <w:rFonts w:hint="eastAsia" w:cs="宋体"/>
          <w:kern w:val="0"/>
        </w:rPr>
        <w:br w:type="page"/>
      </w:r>
      <w:bookmarkStart w:id="207" w:name="_Toc17817351"/>
      <w:bookmarkStart w:id="208" w:name="_Toc20930"/>
      <w:bookmarkStart w:id="209" w:name="_Toc6247"/>
      <w:bookmarkStart w:id="210" w:name="_Toc16064001"/>
      <w:bookmarkStart w:id="211" w:name="_Toc12385"/>
      <w:bookmarkStart w:id="212" w:name="_Toc14471"/>
      <w:bookmarkStart w:id="213" w:name="_Toc13417"/>
      <w:bookmarkStart w:id="214" w:name="_Toc17701"/>
      <w:bookmarkStart w:id="215" w:name="_Toc146698141"/>
      <w:r>
        <w:rPr>
          <w:rFonts w:hint="eastAsia"/>
        </w:rPr>
        <w:t>六、投标保证金</w:t>
      </w:r>
      <w:bookmarkEnd w:id="207"/>
      <w:bookmarkEnd w:id="208"/>
      <w:bookmarkEnd w:id="209"/>
      <w:bookmarkEnd w:id="210"/>
      <w:bookmarkEnd w:id="211"/>
      <w:bookmarkEnd w:id="212"/>
      <w:bookmarkEnd w:id="213"/>
      <w:bookmarkEnd w:id="214"/>
      <w:bookmarkEnd w:id="215"/>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3"/>
        <w:spacing w:before="156"/>
        <w:rPr>
          <w:rFonts w:cs="宋体"/>
          <w:kern w:val="0"/>
        </w:rPr>
      </w:pPr>
      <w:bookmarkStart w:id="216" w:name="_Toc10110"/>
      <w:bookmarkStart w:id="217" w:name="_Toc21223"/>
      <w:bookmarkStart w:id="218" w:name="_Toc146698142"/>
      <w:r>
        <w:rPr>
          <w:rFonts w:hint="eastAsia"/>
        </w:rPr>
        <w:t>七、项目负责人简历表</w:t>
      </w:r>
      <w:bookmarkEnd w:id="216"/>
      <w:bookmarkEnd w:id="217"/>
      <w:bookmarkEnd w:id="218"/>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19"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3"/>
        <w:spacing w:before="156"/>
        <w:rPr>
          <w:rFonts w:ascii="宋体"/>
          <w:b/>
          <w:bCs/>
          <w:sz w:val="28"/>
          <w:szCs w:val="28"/>
        </w:rPr>
      </w:pPr>
      <w:bookmarkStart w:id="220" w:name="_Toc30903"/>
      <w:bookmarkStart w:id="221" w:name="_Toc447552577"/>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19"/>
      <w:bookmarkEnd w:id="220"/>
      <w:bookmarkEnd w:id="221"/>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201"/>
    <w:bookmarkEnd w:id="202"/>
    <w:p w14:paraId="0F28EE13">
      <w:pPr>
        <w:pStyle w:val="3"/>
        <w:spacing w:before="156"/>
      </w:pPr>
      <w:bookmarkStart w:id="222" w:name="_Toc146698143"/>
      <w:bookmarkStart w:id="223" w:name="_Toc13973"/>
      <w:bookmarkStart w:id="224" w:name="_Toc13648"/>
      <w:r>
        <w:rPr>
          <w:rFonts w:hint="eastAsia"/>
        </w:rPr>
        <w:t>九、方案、承诺及其他</w:t>
      </w:r>
      <w:bookmarkEnd w:id="222"/>
      <w:bookmarkEnd w:id="223"/>
      <w:bookmarkEnd w:id="224"/>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3"/>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3"/>
        </w:numPr>
        <w:spacing w:line="360" w:lineRule="auto"/>
        <w:rPr>
          <w:rFonts w:ascii="宋体" w:cs="宋体"/>
          <w:sz w:val="24"/>
        </w:rPr>
      </w:pPr>
      <w:r>
        <w:rPr>
          <w:rFonts w:hint="eastAsia" w:ascii="宋体" w:cs="宋体"/>
          <w:sz w:val="24"/>
        </w:rPr>
        <w:t>对投标项目的合理化建议；</w:t>
      </w:r>
    </w:p>
    <w:p w14:paraId="4F2C864D">
      <w:pPr>
        <w:numPr>
          <w:ilvl w:val="0"/>
          <w:numId w:val="13"/>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3"/>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3"/>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3"/>
        <w:spacing w:before="156"/>
      </w:pPr>
      <w:bookmarkStart w:id="225" w:name="_Toc5516"/>
      <w:bookmarkStart w:id="226" w:name="_Toc146698144"/>
      <w:bookmarkStart w:id="227" w:name="_Toc4580"/>
      <w:r>
        <w:rPr>
          <w:rFonts w:hint="eastAsia"/>
        </w:rPr>
        <w:t>十、相关法律法规清单</w:t>
      </w:r>
      <w:bookmarkEnd w:id="225"/>
      <w:bookmarkEnd w:id="226"/>
      <w:bookmarkEnd w:id="227"/>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3"/>
        <w:spacing w:before="156"/>
      </w:pPr>
      <w:bookmarkStart w:id="228" w:name="_Toc26462"/>
      <w:bookmarkStart w:id="229" w:name="_Toc38011323"/>
      <w:bookmarkStart w:id="230" w:name="_Toc146698145"/>
      <w:bookmarkStart w:id="231" w:name="_Toc26480"/>
      <w:r>
        <w:rPr>
          <w:rFonts w:hint="eastAsia"/>
        </w:rPr>
        <w:t>十一、商务、技术偏离表</w:t>
      </w:r>
      <w:bookmarkEnd w:id="228"/>
      <w:bookmarkEnd w:id="229"/>
      <w:bookmarkEnd w:id="230"/>
      <w:bookmarkEnd w:id="231"/>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3"/>
        <w:spacing w:before="156"/>
        <w:rPr>
          <w:sz w:val="36"/>
          <w:szCs w:val="36"/>
        </w:rPr>
      </w:pPr>
      <w:bookmarkStart w:id="232" w:name="_Toc15477"/>
      <w:bookmarkStart w:id="233" w:name="_Toc232"/>
      <w:bookmarkStart w:id="234" w:name="_Toc146698146"/>
      <w:bookmarkStart w:id="235" w:name="_Toc16064009"/>
      <w:r>
        <w:rPr>
          <w:rFonts w:hint="eastAsia"/>
        </w:rPr>
        <w:t>十二、其它资信材料</w:t>
      </w:r>
      <w:bookmarkEnd w:id="232"/>
      <w:bookmarkEnd w:id="233"/>
      <w:bookmarkEnd w:id="234"/>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35"/>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3"/>
        <w:spacing w:before="156"/>
        <w:jc w:val="both"/>
        <w:rPr>
          <w:rStyle w:val="42"/>
          <w:rFonts w:hAnsi="宋体"/>
        </w:rPr>
        <w:sectPr>
          <w:footerReference r:id="rId7" w:type="first"/>
          <w:pgSz w:w="11906" w:h="16838"/>
          <w:pgMar w:top="1588" w:right="1418" w:bottom="1134" w:left="1418" w:header="851" w:footer="992" w:gutter="0"/>
          <w:pgNumType w:fmt="decimal"/>
          <w:cols w:space="720" w:num="1"/>
          <w:titlePg/>
          <w:docGrid w:type="lines" w:linePitch="312" w:charSpace="0"/>
        </w:sectPr>
      </w:pPr>
      <w:bookmarkStart w:id="236" w:name="_Toc4696"/>
      <w:r>
        <w:rPr>
          <w:rStyle w:val="42"/>
          <w:rFonts w:hint="eastAsia" w:hAnsi="宋体"/>
        </w:rPr>
        <w:t>（二）</w:t>
      </w:r>
      <w:r>
        <w:rPr>
          <w:rStyle w:val="42"/>
          <w:rFonts w:hAnsi="宋体"/>
        </w:rPr>
        <w:t>近三年（</w:t>
      </w:r>
      <w:r>
        <w:rPr>
          <w:rStyle w:val="42"/>
          <w:rFonts w:hint="eastAsia" w:hAnsi="宋体"/>
          <w:lang w:val="en-US" w:eastAsia="zh-CN"/>
        </w:rPr>
        <w:t>从</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36"/>
    </w:p>
    <w:p w14:paraId="41A48591">
      <w:pPr>
        <w:pStyle w:val="4"/>
        <w:numPr>
          <w:ilvl w:val="0"/>
          <w:numId w:val="14"/>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5"/>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4"/>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8" w:type="default"/>
          <w:footerReference r:id="rId9"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0" w:type="default"/>
          <w:pgSz w:w="16841" w:h="11907"/>
          <w:pgMar w:top="400" w:right="1699" w:bottom="1184" w:left="1481" w:header="0" w:footer="1022" w:gutter="0"/>
          <w:pgNumType w:fmt="decimal"/>
          <w:cols w:space="720" w:num="1"/>
        </w:sectPr>
      </w:pPr>
    </w:p>
    <w:p w14:paraId="4471A904">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1" w:type="default"/>
          <w:pgSz w:w="16841" w:h="11907"/>
          <w:pgMar w:top="400" w:right="1699" w:bottom="1184" w:left="1481" w:header="0" w:footer="1022" w:gutter="0"/>
          <w:pgNumType w:fmt="decimal"/>
          <w:cols w:space="720" w:num="1"/>
        </w:sectPr>
      </w:pPr>
    </w:p>
    <w:p w14:paraId="7BB0AE9B">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2" w:type="default"/>
          <w:pgSz w:w="16841" w:h="11907"/>
          <w:pgMar w:top="400" w:right="1500" w:bottom="1184" w:left="1480" w:header="0" w:footer="1022" w:gutter="0"/>
          <w:pgNumType w:fmt="decimal"/>
          <w:cols w:space="720" w:num="1"/>
        </w:sectPr>
      </w:pPr>
    </w:p>
    <w:p w14:paraId="636C54F5">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3"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3"/>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7"/>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8"/>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19"/>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0"/>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21"/>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22"/>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4"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23"/>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4"/>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37"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37"/>
    </w:p>
    <w:p w14:paraId="58CB8766">
      <w:pPr>
        <w:spacing w:line="360" w:lineRule="auto"/>
        <w:outlineLvl w:val="9"/>
        <w:rPr>
          <w:rFonts w:hint="eastAsia" w:ascii="宋体" w:hAnsi="宋体" w:cs="宋体"/>
          <w:sz w:val="24"/>
        </w:rPr>
      </w:pPr>
      <w:bookmarkStart w:id="238" w:name="_Toc29877"/>
      <w:r>
        <w:rPr>
          <w:rFonts w:ascii="宋体" w:hAnsi="宋体" w:cs="宋体"/>
          <w:color w:val="000000"/>
          <w:sz w:val="24"/>
        </w:rPr>
        <w:t>点击查看进入查看中标项目详情</w:t>
      </w:r>
      <w:bookmarkEnd w:id="238"/>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1"/>
      </w:pPr>
    </w:p>
    <w:p w14:paraId="773E5D50">
      <w:pPr>
        <w:pStyle w:val="11"/>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835C3F"/>
    <w:multiLevelType w:val="singleLevel"/>
    <w:tmpl w:val="C2835C3F"/>
    <w:lvl w:ilvl="0" w:tentative="0">
      <w:start w:val="13"/>
      <w:numFmt w:val="chineseCounting"/>
      <w:suff w:val="nothing"/>
      <w:lvlText w:val="%1、"/>
      <w:lvlJc w:val="left"/>
      <w:rPr>
        <w:rFonts w:hint="eastAsia"/>
      </w:rPr>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5">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8">
    <w:nsid w:val="32B4CFF0"/>
    <w:multiLevelType w:val="singleLevel"/>
    <w:tmpl w:val="32B4CFF0"/>
    <w:lvl w:ilvl="0" w:tentative="0">
      <w:start w:val="3"/>
      <w:numFmt w:val="chineseCounting"/>
      <w:suff w:val="space"/>
      <w:lvlText w:val="第%1章"/>
      <w:lvlJc w:val="left"/>
      <w:rPr>
        <w:rFonts w:hint="eastAsia"/>
      </w:rPr>
    </w:lvl>
  </w:abstractNum>
  <w:abstractNum w:abstractNumId="9">
    <w:nsid w:val="4F81FD32"/>
    <w:multiLevelType w:val="singleLevel"/>
    <w:tmpl w:val="4F81FD32"/>
    <w:lvl w:ilvl="0" w:tentative="0">
      <w:start w:val="1"/>
      <w:numFmt w:val="chineseCounting"/>
      <w:suff w:val="space"/>
      <w:lvlText w:val="第%1章"/>
      <w:lvlJc w:val="left"/>
      <w:rPr>
        <w:rFonts w:hint="eastAsia"/>
      </w:rPr>
    </w:lvl>
  </w:abstractNum>
  <w:abstractNum w:abstractNumId="10">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1">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2">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9"/>
  </w:num>
  <w:num w:numId="2">
    <w:abstractNumId w:val="12"/>
  </w:num>
  <w:num w:numId="3">
    <w:abstractNumId w:val="5"/>
  </w:num>
  <w:num w:numId="4">
    <w:abstractNumId w:val="6"/>
  </w:num>
  <w:num w:numId="5">
    <w:abstractNumId w:val="11"/>
  </w:num>
  <w:num w:numId="6">
    <w:abstractNumId w:val="2"/>
  </w:num>
  <w:num w:numId="7">
    <w:abstractNumId w:val="7"/>
  </w:num>
  <w:num w:numId="8">
    <w:abstractNumId w:val="3"/>
  </w:num>
  <w:num w:numId="9">
    <w:abstractNumId w:val="13"/>
  </w:num>
  <w:num w:numId="10">
    <w:abstractNumId w:val="1"/>
  </w:num>
  <w:num w:numId="11">
    <w:abstractNumId w:val="8"/>
  </w:num>
  <w:num w:numId="12">
    <w:abstractNumId w:val="10"/>
  </w:num>
  <w:num w:numId="13">
    <w:abstractNumId w:val="4"/>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6D0523"/>
    <w:rsid w:val="02AF4266"/>
    <w:rsid w:val="02E72B1A"/>
    <w:rsid w:val="02E75944"/>
    <w:rsid w:val="030D234B"/>
    <w:rsid w:val="03515293"/>
    <w:rsid w:val="0358730B"/>
    <w:rsid w:val="037E508F"/>
    <w:rsid w:val="039E5752"/>
    <w:rsid w:val="03BB4BA1"/>
    <w:rsid w:val="03C50329"/>
    <w:rsid w:val="03CB283C"/>
    <w:rsid w:val="03FE4076"/>
    <w:rsid w:val="04096CE3"/>
    <w:rsid w:val="04154A5D"/>
    <w:rsid w:val="04230DBD"/>
    <w:rsid w:val="04322432"/>
    <w:rsid w:val="04431BF4"/>
    <w:rsid w:val="0460098C"/>
    <w:rsid w:val="049D07AF"/>
    <w:rsid w:val="04AD7DC1"/>
    <w:rsid w:val="04B213C1"/>
    <w:rsid w:val="05225EC8"/>
    <w:rsid w:val="054837EE"/>
    <w:rsid w:val="05791EDF"/>
    <w:rsid w:val="05CD25D7"/>
    <w:rsid w:val="05EA3EAD"/>
    <w:rsid w:val="06521C32"/>
    <w:rsid w:val="06741515"/>
    <w:rsid w:val="067803E8"/>
    <w:rsid w:val="06C97BAD"/>
    <w:rsid w:val="06E06011"/>
    <w:rsid w:val="07512980"/>
    <w:rsid w:val="07AF47D5"/>
    <w:rsid w:val="07B7674A"/>
    <w:rsid w:val="07D1358A"/>
    <w:rsid w:val="07FF5CCC"/>
    <w:rsid w:val="08205E15"/>
    <w:rsid w:val="0820745B"/>
    <w:rsid w:val="084A1F37"/>
    <w:rsid w:val="08615656"/>
    <w:rsid w:val="086E682C"/>
    <w:rsid w:val="087A7083"/>
    <w:rsid w:val="087E697D"/>
    <w:rsid w:val="09261188"/>
    <w:rsid w:val="094F2FDA"/>
    <w:rsid w:val="09543B30"/>
    <w:rsid w:val="09831699"/>
    <w:rsid w:val="09970975"/>
    <w:rsid w:val="09A61816"/>
    <w:rsid w:val="0A020E0E"/>
    <w:rsid w:val="0A3718CA"/>
    <w:rsid w:val="0A395FB5"/>
    <w:rsid w:val="0A4A6522"/>
    <w:rsid w:val="0A613847"/>
    <w:rsid w:val="0AA45322"/>
    <w:rsid w:val="0AEA0C42"/>
    <w:rsid w:val="0AEB3965"/>
    <w:rsid w:val="0B6E61C8"/>
    <w:rsid w:val="0BA87365"/>
    <w:rsid w:val="0BD65DCA"/>
    <w:rsid w:val="0C3C1C77"/>
    <w:rsid w:val="0C602D4B"/>
    <w:rsid w:val="0C7B59E7"/>
    <w:rsid w:val="0C8A331D"/>
    <w:rsid w:val="0CA5554C"/>
    <w:rsid w:val="0CEA6299"/>
    <w:rsid w:val="0D0535FB"/>
    <w:rsid w:val="0D1819FC"/>
    <w:rsid w:val="0D1B16BD"/>
    <w:rsid w:val="0D2210AE"/>
    <w:rsid w:val="0D66517C"/>
    <w:rsid w:val="0DBE0DD6"/>
    <w:rsid w:val="0DCF5F7A"/>
    <w:rsid w:val="0E05471A"/>
    <w:rsid w:val="0E20542D"/>
    <w:rsid w:val="0EAD365D"/>
    <w:rsid w:val="0EDD1E47"/>
    <w:rsid w:val="0EE505E5"/>
    <w:rsid w:val="0F18327B"/>
    <w:rsid w:val="0FA07748"/>
    <w:rsid w:val="0FAE6C29"/>
    <w:rsid w:val="0FB143F9"/>
    <w:rsid w:val="0FB25675"/>
    <w:rsid w:val="0FC941FA"/>
    <w:rsid w:val="10086339"/>
    <w:rsid w:val="102A0947"/>
    <w:rsid w:val="102C05CA"/>
    <w:rsid w:val="105B0B5E"/>
    <w:rsid w:val="106E76CB"/>
    <w:rsid w:val="10D444EA"/>
    <w:rsid w:val="110814DB"/>
    <w:rsid w:val="115D29B9"/>
    <w:rsid w:val="1165517F"/>
    <w:rsid w:val="119A7465"/>
    <w:rsid w:val="119D37D8"/>
    <w:rsid w:val="120D4FB9"/>
    <w:rsid w:val="120D6537"/>
    <w:rsid w:val="12192A7F"/>
    <w:rsid w:val="12716E79"/>
    <w:rsid w:val="13567491"/>
    <w:rsid w:val="13766589"/>
    <w:rsid w:val="13A715D8"/>
    <w:rsid w:val="13A7357D"/>
    <w:rsid w:val="13F270A2"/>
    <w:rsid w:val="14E37DDB"/>
    <w:rsid w:val="153E6F68"/>
    <w:rsid w:val="158E56BC"/>
    <w:rsid w:val="165266BB"/>
    <w:rsid w:val="169627DE"/>
    <w:rsid w:val="16E21F48"/>
    <w:rsid w:val="16E77D37"/>
    <w:rsid w:val="16F0324C"/>
    <w:rsid w:val="17173305"/>
    <w:rsid w:val="177056C4"/>
    <w:rsid w:val="17A70B2D"/>
    <w:rsid w:val="17D13AF8"/>
    <w:rsid w:val="17E256C1"/>
    <w:rsid w:val="18162E07"/>
    <w:rsid w:val="18297E3F"/>
    <w:rsid w:val="184B447B"/>
    <w:rsid w:val="187F767F"/>
    <w:rsid w:val="18980F09"/>
    <w:rsid w:val="18F77513"/>
    <w:rsid w:val="192B3D79"/>
    <w:rsid w:val="1960209C"/>
    <w:rsid w:val="19830327"/>
    <w:rsid w:val="19E94CA8"/>
    <w:rsid w:val="19F0751F"/>
    <w:rsid w:val="1A4E5290"/>
    <w:rsid w:val="1A943A2A"/>
    <w:rsid w:val="1AA2738A"/>
    <w:rsid w:val="1B1E1106"/>
    <w:rsid w:val="1B23671D"/>
    <w:rsid w:val="1B2D1349"/>
    <w:rsid w:val="1B303273"/>
    <w:rsid w:val="1B3B6C75"/>
    <w:rsid w:val="1BAF416F"/>
    <w:rsid w:val="1BB56FD7"/>
    <w:rsid w:val="1BC05D1A"/>
    <w:rsid w:val="1BD92F6B"/>
    <w:rsid w:val="1C2975EA"/>
    <w:rsid w:val="1C2C7853"/>
    <w:rsid w:val="1C5434F1"/>
    <w:rsid w:val="1C6174EF"/>
    <w:rsid w:val="1CD37CCF"/>
    <w:rsid w:val="1D4D1EC3"/>
    <w:rsid w:val="1D52056E"/>
    <w:rsid w:val="1D6679DA"/>
    <w:rsid w:val="1DB20E32"/>
    <w:rsid w:val="1DF876AE"/>
    <w:rsid w:val="1E643F24"/>
    <w:rsid w:val="1E9163CE"/>
    <w:rsid w:val="1EA115F7"/>
    <w:rsid w:val="1ED74BBB"/>
    <w:rsid w:val="1F37640F"/>
    <w:rsid w:val="1F5E781E"/>
    <w:rsid w:val="1F805BDB"/>
    <w:rsid w:val="1FE741BD"/>
    <w:rsid w:val="209C5373"/>
    <w:rsid w:val="20A36E98"/>
    <w:rsid w:val="20E9018A"/>
    <w:rsid w:val="211B5721"/>
    <w:rsid w:val="21401FB1"/>
    <w:rsid w:val="21634AA0"/>
    <w:rsid w:val="217F22BE"/>
    <w:rsid w:val="21DA0A2A"/>
    <w:rsid w:val="225E003A"/>
    <w:rsid w:val="226B24D7"/>
    <w:rsid w:val="22993768"/>
    <w:rsid w:val="22B67E76"/>
    <w:rsid w:val="22F17E3D"/>
    <w:rsid w:val="22FF2CD1"/>
    <w:rsid w:val="22FF7345"/>
    <w:rsid w:val="23033334"/>
    <w:rsid w:val="23420CD4"/>
    <w:rsid w:val="23621DAC"/>
    <w:rsid w:val="23824610"/>
    <w:rsid w:val="23F05801"/>
    <w:rsid w:val="2427069B"/>
    <w:rsid w:val="24282BD7"/>
    <w:rsid w:val="24523BCF"/>
    <w:rsid w:val="2466188F"/>
    <w:rsid w:val="2473514F"/>
    <w:rsid w:val="24A01056"/>
    <w:rsid w:val="251057B2"/>
    <w:rsid w:val="25560E57"/>
    <w:rsid w:val="259F7BD4"/>
    <w:rsid w:val="26707106"/>
    <w:rsid w:val="26D149F5"/>
    <w:rsid w:val="26EC20B9"/>
    <w:rsid w:val="27DA63B5"/>
    <w:rsid w:val="27DD6708"/>
    <w:rsid w:val="27F044F5"/>
    <w:rsid w:val="287B3E0D"/>
    <w:rsid w:val="28C64B8B"/>
    <w:rsid w:val="290B2279"/>
    <w:rsid w:val="293E1C33"/>
    <w:rsid w:val="2A9D329F"/>
    <w:rsid w:val="2B045B24"/>
    <w:rsid w:val="2B395AE8"/>
    <w:rsid w:val="2B5C6CCB"/>
    <w:rsid w:val="2B7E1F97"/>
    <w:rsid w:val="2BDE39C1"/>
    <w:rsid w:val="2BF16674"/>
    <w:rsid w:val="2C254BFC"/>
    <w:rsid w:val="2C8120E3"/>
    <w:rsid w:val="2C84151C"/>
    <w:rsid w:val="2CA40D8B"/>
    <w:rsid w:val="2CB119DD"/>
    <w:rsid w:val="2CB4110C"/>
    <w:rsid w:val="2CD32336"/>
    <w:rsid w:val="2CD461FD"/>
    <w:rsid w:val="2CFD3538"/>
    <w:rsid w:val="2D250928"/>
    <w:rsid w:val="2D5A6413"/>
    <w:rsid w:val="2D643AC8"/>
    <w:rsid w:val="2DBA2F99"/>
    <w:rsid w:val="2DDE33CA"/>
    <w:rsid w:val="2DEB2456"/>
    <w:rsid w:val="2DEC0BF0"/>
    <w:rsid w:val="2E37532D"/>
    <w:rsid w:val="2EBA484A"/>
    <w:rsid w:val="2ED646D8"/>
    <w:rsid w:val="2F1A5929"/>
    <w:rsid w:val="2F4678A6"/>
    <w:rsid w:val="2FA5374C"/>
    <w:rsid w:val="300D35B1"/>
    <w:rsid w:val="30B11567"/>
    <w:rsid w:val="31124E12"/>
    <w:rsid w:val="312A197D"/>
    <w:rsid w:val="31451B20"/>
    <w:rsid w:val="31493966"/>
    <w:rsid w:val="31F406E5"/>
    <w:rsid w:val="32151B4F"/>
    <w:rsid w:val="3227669B"/>
    <w:rsid w:val="32662B2D"/>
    <w:rsid w:val="32676D99"/>
    <w:rsid w:val="32852B12"/>
    <w:rsid w:val="32905E34"/>
    <w:rsid w:val="33141909"/>
    <w:rsid w:val="331D68E6"/>
    <w:rsid w:val="3342126C"/>
    <w:rsid w:val="335313EB"/>
    <w:rsid w:val="33DE7071"/>
    <w:rsid w:val="341A770D"/>
    <w:rsid w:val="341C0956"/>
    <w:rsid w:val="34515C51"/>
    <w:rsid w:val="347C1484"/>
    <w:rsid w:val="350D6AA5"/>
    <w:rsid w:val="35951B6D"/>
    <w:rsid w:val="35B35A26"/>
    <w:rsid w:val="35C32D10"/>
    <w:rsid w:val="35D52583"/>
    <w:rsid w:val="35E5163A"/>
    <w:rsid w:val="36363080"/>
    <w:rsid w:val="36BA1B48"/>
    <w:rsid w:val="36E542BE"/>
    <w:rsid w:val="36E72620"/>
    <w:rsid w:val="37015C42"/>
    <w:rsid w:val="371D2FC5"/>
    <w:rsid w:val="3736112E"/>
    <w:rsid w:val="37B64769"/>
    <w:rsid w:val="37EF0ACB"/>
    <w:rsid w:val="38001ED1"/>
    <w:rsid w:val="380C2659"/>
    <w:rsid w:val="380D1E8F"/>
    <w:rsid w:val="384F6AB9"/>
    <w:rsid w:val="38936A5B"/>
    <w:rsid w:val="38A72926"/>
    <w:rsid w:val="396653E1"/>
    <w:rsid w:val="39C26CA9"/>
    <w:rsid w:val="3A16005A"/>
    <w:rsid w:val="3A2B3AE8"/>
    <w:rsid w:val="3AFD21CD"/>
    <w:rsid w:val="3B282E85"/>
    <w:rsid w:val="3B8239A2"/>
    <w:rsid w:val="3B8254FA"/>
    <w:rsid w:val="3BA36271"/>
    <w:rsid w:val="3BA8156F"/>
    <w:rsid w:val="3BEB0FF0"/>
    <w:rsid w:val="3C3945D7"/>
    <w:rsid w:val="3C42023F"/>
    <w:rsid w:val="3C7975EF"/>
    <w:rsid w:val="3CBD1FF1"/>
    <w:rsid w:val="3CE533DA"/>
    <w:rsid w:val="3CFD6950"/>
    <w:rsid w:val="3D2407E5"/>
    <w:rsid w:val="3D29351B"/>
    <w:rsid w:val="3D956BAE"/>
    <w:rsid w:val="3DAB0230"/>
    <w:rsid w:val="3DB64500"/>
    <w:rsid w:val="3DDC6B9F"/>
    <w:rsid w:val="3DEB3974"/>
    <w:rsid w:val="3E9E65D2"/>
    <w:rsid w:val="3EC84CDF"/>
    <w:rsid w:val="3F1649A1"/>
    <w:rsid w:val="3F192FC0"/>
    <w:rsid w:val="3F214472"/>
    <w:rsid w:val="3F620FE1"/>
    <w:rsid w:val="3F634A8A"/>
    <w:rsid w:val="3F994A7F"/>
    <w:rsid w:val="3F997091"/>
    <w:rsid w:val="3FA441BB"/>
    <w:rsid w:val="403A7752"/>
    <w:rsid w:val="407841D0"/>
    <w:rsid w:val="4146510A"/>
    <w:rsid w:val="4162324B"/>
    <w:rsid w:val="41AA074E"/>
    <w:rsid w:val="41B10C5F"/>
    <w:rsid w:val="420D690D"/>
    <w:rsid w:val="43566252"/>
    <w:rsid w:val="43827BD5"/>
    <w:rsid w:val="43B70399"/>
    <w:rsid w:val="43CF6B77"/>
    <w:rsid w:val="43E63B53"/>
    <w:rsid w:val="445D199D"/>
    <w:rsid w:val="44C45512"/>
    <w:rsid w:val="44DB0BE7"/>
    <w:rsid w:val="456D0411"/>
    <w:rsid w:val="458105CE"/>
    <w:rsid w:val="45A24005"/>
    <w:rsid w:val="45C57342"/>
    <w:rsid w:val="45D95C77"/>
    <w:rsid w:val="45FD5429"/>
    <w:rsid w:val="46277B90"/>
    <w:rsid w:val="465B0258"/>
    <w:rsid w:val="468452BE"/>
    <w:rsid w:val="46896DEC"/>
    <w:rsid w:val="46AE0CE1"/>
    <w:rsid w:val="46D714B6"/>
    <w:rsid w:val="47117783"/>
    <w:rsid w:val="473236C0"/>
    <w:rsid w:val="474929D1"/>
    <w:rsid w:val="4771627F"/>
    <w:rsid w:val="47D34713"/>
    <w:rsid w:val="481B7D99"/>
    <w:rsid w:val="481C57BF"/>
    <w:rsid w:val="483C3986"/>
    <w:rsid w:val="486C49B0"/>
    <w:rsid w:val="48C172C6"/>
    <w:rsid w:val="48F6016E"/>
    <w:rsid w:val="48F74BC1"/>
    <w:rsid w:val="49106FD2"/>
    <w:rsid w:val="49696DA5"/>
    <w:rsid w:val="497F0713"/>
    <w:rsid w:val="49A46255"/>
    <w:rsid w:val="49B36396"/>
    <w:rsid w:val="49D66013"/>
    <w:rsid w:val="49DD2092"/>
    <w:rsid w:val="4A1A567E"/>
    <w:rsid w:val="4A48418E"/>
    <w:rsid w:val="4A6B2B90"/>
    <w:rsid w:val="4A6E2554"/>
    <w:rsid w:val="4AC06F5F"/>
    <w:rsid w:val="4AEC1DD8"/>
    <w:rsid w:val="4B4B73DD"/>
    <w:rsid w:val="4B8E3090"/>
    <w:rsid w:val="4BCC1F99"/>
    <w:rsid w:val="4C1471BE"/>
    <w:rsid w:val="4C48536F"/>
    <w:rsid w:val="4C8C73CE"/>
    <w:rsid w:val="4C9978DF"/>
    <w:rsid w:val="4CA7529C"/>
    <w:rsid w:val="4CDF363B"/>
    <w:rsid w:val="4CE22011"/>
    <w:rsid w:val="4D5F0E41"/>
    <w:rsid w:val="4D6C6A12"/>
    <w:rsid w:val="4D847A60"/>
    <w:rsid w:val="4D9272B1"/>
    <w:rsid w:val="4E604211"/>
    <w:rsid w:val="4EE50033"/>
    <w:rsid w:val="4F366C62"/>
    <w:rsid w:val="4F4C51A7"/>
    <w:rsid w:val="4F6C1739"/>
    <w:rsid w:val="4F6F0FB6"/>
    <w:rsid w:val="4FA6442F"/>
    <w:rsid w:val="50414462"/>
    <w:rsid w:val="505B2CB5"/>
    <w:rsid w:val="50751C6F"/>
    <w:rsid w:val="507F68C2"/>
    <w:rsid w:val="50C25AB5"/>
    <w:rsid w:val="51473A96"/>
    <w:rsid w:val="515057DB"/>
    <w:rsid w:val="515C28DB"/>
    <w:rsid w:val="52495D62"/>
    <w:rsid w:val="527C4008"/>
    <w:rsid w:val="52F944DF"/>
    <w:rsid w:val="53774E87"/>
    <w:rsid w:val="53B86E42"/>
    <w:rsid w:val="53BF62DB"/>
    <w:rsid w:val="53EE4E13"/>
    <w:rsid w:val="54020833"/>
    <w:rsid w:val="54CA318A"/>
    <w:rsid w:val="54F04B86"/>
    <w:rsid w:val="550D29FA"/>
    <w:rsid w:val="55212BBF"/>
    <w:rsid w:val="5536081F"/>
    <w:rsid w:val="5563538C"/>
    <w:rsid w:val="55A1274B"/>
    <w:rsid w:val="56116B96"/>
    <w:rsid w:val="56384123"/>
    <w:rsid w:val="56CB2446"/>
    <w:rsid w:val="56E71615"/>
    <w:rsid w:val="56EA45CC"/>
    <w:rsid w:val="570E1939"/>
    <w:rsid w:val="57923F19"/>
    <w:rsid w:val="57D74425"/>
    <w:rsid w:val="58762279"/>
    <w:rsid w:val="589A2E73"/>
    <w:rsid w:val="58EC0AEC"/>
    <w:rsid w:val="58F35BBD"/>
    <w:rsid w:val="59914276"/>
    <w:rsid w:val="59930314"/>
    <w:rsid w:val="59EB0841"/>
    <w:rsid w:val="5A1B7FE4"/>
    <w:rsid w:val="5A351563"/>
    <w:rsid w:val="5A4C03FF"/>
    <w:rsid w:val="5A4F04ED"/>
    <w:rsid w:val="5A4F4DEE"/>
    <w:rsid w:val="5A764561"/>
    <w:rsid w:val="5AB111D9"/>
    <w:rsid w:val="5AC650B1"/>
    <w:rsid w:val="5AC728CE"/>
    <w:rsid w:val="5AEE6697"/>
    <w:rsid w:val="5B0A30BD"/>
    <w:rsid w:val="5B8B3C95"/>
    <w:rsid w:val="5B9708A5"/>
    <w:rsid w:val="5BA9321C"/>
    <w:rsid w:val="5BE10EF6"/>
    <w:rsid w:val="5CBE6754"/>
    <w:rsid w:val="5CE24DE9"/>
    <w:rsid w:val="5CEA7A12"/>
    <w:rsid w:val="5D101FB3"/>
    <w:rsid w:val="5D2B49E2"/>
    <w:rsid w:val="5D2E41D4"/>
    <w:rsid w:val="5D3427A4"/>
    <w:rsid w:val="5E177872"/>
    <w:rsid w:val="5E3E3A04"/>
    <w:rsid w:val="5E5203C1"/>
    <w:rsid w:val="5EE06817"/>
    <w:rsid w:val="5F1100B7"/>
    <w:rsid w:val="5F284DA7"/>
    <w:rsid w:val="5F677827"/>
    <w:rsid w:val="5FBB029F"/>
    <w:rsid w:val="5FD71F38"/>
    <w:rsid w:val="5FDD5159"/>
    <w:rsid w:val="5FED7EEF"/>
    <w:rsid w:val="600951E3"/>
    <w:rsid w:val="60834CCE"/>
    <w:rsid w:val="6084664B"/>
    <w:rsid w:val="608E5F22"/>
    <w:rsid w:val="609847B1"/>
    <w:rsid w:val="60C72E91"/>
    <w:rsid w:val="61E21473"/>
    <w:rsid w:val="62351A48"/>
    <w:rsid w:val="62370D91"/>
    <w:rsid w:val="625050D5"/>
    <w:rsid w:val="62972BA4"/>
    <w:rsid w:val="62AA3D56"/>
    <w:rsid w:val="62E033D6"/>
    <w:rsid w:val="62EA49F7"/>
    <w:rsid w:val="635640D3"/>
    <w:rsid w:val="644E1804"/>
    <w:rsid w:val="64D52E93"/>
    <w:rsid w:val="64F777C3"/>
    <w:rsid w:val="658A426F"/>
    <w:rsid w:val="65941228"/>
    <w:rsid w:val="659C46CE"/>
    <w:rsid w:val="6609788A"/>
    <w:rsid w:val="663E4272"/>
    <w:rsid w:val="665B5EF5"/>
    <w:rsid w:val="665E28AE"/>
    <w:rsid w:val="6665218B"/>
    <w:rsid w:val="66C971F9"/>
    <w:rsid w:val="679338AF"/>
    <w:rsid w:val="67F636E3"/>
    <w:rsid w:val="67F9196E"/>
    <w:rsid w:val="683776B8"/>
    <w:rsid w:val="68E568A5"/>
    <w:rsid w:val="68EB3277"/>
    <w:rsid w:val="68EF720B"/>
    <w:rsid w:val="69766E90"/>
    <w:rsid w:val="69A3580E"/>
    <w:rsid w:val="6A263BDB"/>
    <w:rsid w:val="6A622576"/>
    <w:rsid w:val="6A6B466F"/>
    <w:rsid w:val="6AE37815"/>
    <w:rsid w:val="6AEA48B3"/>
    <w:rsid w:val="6AF724BA"/>
    <w:rsid w:val="6B0E2F02"/>
    <w:rsid w:val="6B0F5943"/>
    <w:rsid w:val="6BD91AAD"/>
    <w:rsid w:val="6BDB366C"/>
    <w:rsid w:val="6C215F10"/>
    <w:rsid w:val="6C564F9A"/>
    <w:rsid w:val="6C7D5C01"/>
    <w:rsid w:val="6C961BE6"/>
    <w:rsid w:val="6CA519DB"/>
    <w:rsid w:val="6CC462B9"/>
    <w:rsid w:val="6D9C5573"/>
    <w:rsid w:val="6DEC122C"/>
    <w:rsid w:val="6E9058BD"/>
    <w:rsid w:val="6F294145"/>
    <w:rsid w:val="6F50310A"/>
    <w:rsid w:val="6FBF7BB3"/>
    <w:rsid w:val="6FEE2012"/>
    <w:rsid w:val="70074E3A"/>
    <w:rsid w:val="70D74D9E"/>
    <w:rsid w:val="72012769"/>
    <w:rsid w:val="72153BAA"/>
    <w:rsid w:val="72575846"/>
    <w:rsid w:val="72691DDC"/>
    <w:rsid w:val="72772B96"/>
    <w:rsid w:val="72BB4362"/>
    <w:rsid w:val="72C038D5"/>
    <w:rsid w:val="72FE1DE6"/>
    <w:rsid w:val="730135C5"/>
    <w:rsid w:val="73307239"/>
    <w:rsid w:val="73404866"/>
    <w:rsid w:val="734B0D50"/>
    <w:rsid w:val="735E1767"/>
    <w:rsid w:val="737E5EEA"/>
    <w:rsid w:val="73AB61EB"/>
    <w:rsid w:val="73B06FFE"/>
    <w:rsid w:val="741F797E"/>
    <w:rsid w:val="74C27582"/>
    <w:rsid w:val="74D03AC8"/>
    <w:rsid w:val="74D31C0E"/>
    <w:rsid w:val="74EE7C94"/>
    <w:rsid w:val="75107AB0"/>
    <w:rsid w:val="7537114E"/>
    <w:rsid w:val="753E66A3"/>
    <w:rsid w:val="758406F8"/>
    <w:rsid w:val="759B3DBA"/>
    <w:rsid w:val="75AA26A3"/>
    <w:rsid w:val="767055A8"/>
    <w:rsid w:val="767A2659"/>
    <w:rsid w:val="76E11F70"/>
    <w:rsid w:val="77184757"/>
    <w:rsid w:val="77BC614F"/>
    <w:rsid w:val="783B2B41"/>
    <w:rsid w:val="78646D0D"/>
    <w:rsid w:val="788F5120"/>
    <w:rsid w:val="78E24696"/>
    <w:rsid w:val="790A0589"/>
    <w:rsid w:val="795804B5"/>
    <w:rsid w:val="79B60841"/>
    <w:rsid w:val="79FD57C5"/>
    <w:rsid w:val="7A2860D9"/>
    <w:rsid w:val="7A8F6158"/>
    <w:rsid w:val="7AB66A3C"/>
    <w:rsid w:val="7B036FEB"/>
    <w:rsid w:val="7B486307"/>
    <w:rsid w:val="7BA515C3"/>
    <w:rsid w:val="7BC335A0"/>
    <w:rsid w:val="7C1032C9"/>
    <w:rsid w:val="7C321AFF"/>
    <w:rsid w:val="7C7D57DB"/>
    <w:rsid w:val="7CB225D2"/>
    <w:rsid w:val="7CD9190C"/>
    <w:rsid w:val="7CEF56C5"/>
    <w:rsid w:val="7CF630ED"/>
    <w:rsid w:val="7CF70D50"/>
    <w:rsid w:val="7D3354C1"/>
    <w:rsid w:val="7D3A1A54"/>
    <w:rsid w:val="7D43322A"/>
    <w:rsid w:val="7D773F1E"/>
    <w:rsid w:val="7DDB1EBD"/>
    <w:rsid w:val="7DEA36AC"/>
    <w:rsid w:val="7E514691"/>
    <w:rsid w:val="7E533822"/>
    <w:rsid w:val="7E5F26BC"/>
    <w:rsid w:val="7F1715F4"/>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6"/>
    <w:qFormat/>
    <w:uiPriority w:val="0"/>
    <w:pPr>
      <w:adjustRightInd w:val="0"/>
      <w:snapToGrid w:val="0"/>
      <w:spacing w:line="360" w:lineRule="auto"/>
      <w:jc w:val="center"/>
      <w:outlineLvl w:val="0"/>
    </w:pPr>
    <w:rPr>
      <w:b/>
      <w:bCs/>
      <w:kern w:val="44"/>
      <w:sz w:val="36"/>
      <w:szCs w:val="36"/>
    </w:rPr>
  </w:style>
  <w:style w:type="paragraph" w:styleId="3">
    <w:name w:val="heading 2"/>
    <w:basedOn w:val="4"/>
    <w:next w:val="1"/>
    <w:link w:val="40"/>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2"/>
    <w:qFormat/>
    <w:uiPriority w:val="0"/>
    <w:rPr>
      <w:rFonts w:ascii="微软雅黑" w:hAnsi="微软雅黑"/>
      <w:sz w:val="18"/>
      <w:szCs w:val="18"/>
    </w:rPr>
  </w:style>
  <w:style w:type="paragraph" w:styleId="10">
    <w:name w:val="annotation text"/>
    <w:basedOn w:val="1"/>
    <w:link w:val="48"/>
    <w:qFormat/>
    <w:uiPriority w:val="0"/>
    <w:pPr>
      <w:spacing w:after="200" w:line="276" w:lineRule="auto"/>
      <w:jc w:val="left"/>
    </w:pPr>
    <w:rPr>
      <w:kern w:val="0"/>
      <w:szCs w:val="21"/>
    </w:rPr>
  </w:style>
  <w:style w:type="paragraph" w:styleId="11">
    <w:name w:val="Body Text"/>
    <w:basedOn w:val="1"/>
    <w:next w:val="12"/>
    <w:link w:val="47"/>
    <w:qFormat/>
    <w:uiPriority w:val="99"/>
    <w:pPr>
      <w:spacing w:after="120"/>
    </w:pPr>
    <w:rPr>
      <w:kern w:val="0"/>
      <w:szCs w:val="21"/>
    </w:rPr>
  </w:style>
  <w:style w:type="paragraph" w:styleId="12">
    <w:name w:val="Body Text Indent"/>
    <w:basedOn w:val="1"/>
    <w:link w:val="50"/>
    <w:unhideWhenUsed/>
    <w:qFormat/>
    <w:uiPriority w:val="0"/>
    <w:pPr>
      <w:spacing w:after="120"/>
      <w:ind w:left="420" w:leftChars="200"/>
    </w:pPr>
  </w:style>
  <w:style w:type="paragraph" w:styleId="13">
    <w:name w:val="index 4"/>
    <w:basedOn w:val="1"/>
    <w:next w:val="1"/>
    <w:unhideWhenUsed/>
    <w:qFormat/>
    <w:uiPriority w:val="0"/>
    <w:pPr>
      <w:ind w:left="600" w:leftChars="600"/>
    </w:pPr>
  </w:style>
  <w:style w:type="paragraph" w:styleId="14">
    <w:name w:val="toc 3"/>
    <w:basedOn w:val="1"/>
    <w:next w:val="1"/>
    <w:qFormat/>
    <w:uiPriority w:val="39"/>
    <w:pPr>
      <w:ind w:left="400" w:leftChars="4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9"/>
    <w:qFormat/>
    <w:uiPriority w:val="0"/>
    <w:pPr>
      <w:spacing w:after="0" w:line="240" w:lineRule="auto"/>
    </w:pPr>
    <w:rPr>
      <w:b/>
      <w:bCs/>
      <w:kern w:val="2"/>
      <w:szCs w:val="24"/>
    </w:rPr>
  </w:style>
  <w:style w:type="paragraph" w:styleId="30">
    <w:name w:val="Body Text First Indent 2"/>
    <w:basedOn w:val="12"/>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3"/>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1"/>
    <w:qFormat/>
    <w:uiPriority w:val="99"/>
    <w:rPr>
      <w:rFonts w:ascii="Times New Roman" w:hAnsi="Times New Roman" w:eastAsia="宋体" w:cs="Times New Roman"/>
      <w:kern w:val="0"/>
      <w:szCs w:val="21"/>
    </w:rPr>
  </w:style>
  <w:style w:type="character" w:customStyle="1" w:styleId="48">
    <w:name w:val="批注文字 字符"/>
    <w:basedOn w:val="33"/>
    <w:link w:val="10"/>
    <w:qFormat/>
    <w:uiPriority w:val="99"/>
    <w:rPr>
      <w:rFonts w:ascii="Times New Roman" w:hAnsi="Times New Roman" w:eastAsia="宋体" w:cs="Times New Roman"/>
      <w:kern w:val="0"/>
      <w:szCs w:val="21"/>
    </w:rPr>
  </w:style>
  <w:style w:type="character" w:customStyle="1" w:styleId="49">
    <w:name w:val="标题 3 字符"/>
    <w:basedOn w:val="33"/>
    <w:link w:val="4"/>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2"/>
    <w:semiHidden/>
    <w:qFormat/>
    <w:uiPriority w:val="99"/>
    <w:rPr>
      <w:rFonts w:ascii="Times New Roman" w:hAnsi="Times New Roman" w:eastAsia="宋体" w:cs="Times New Roman"/>
      <w:szCs w:val="24"/>
    </w:rPr>
  </w:style>
  <w:style w:type="character" w:customStyle="1" w:styleId="51">
    <w:name w:val="标题 4 字符"/>
    <w:basedOn w:val="33"/>
    <w:link w:val="5"/>
    <w:qFormat/>
    <w:uiPriority w:val="0"/>
    <w:rPr>
      <w:rFonts w:ascii="Arial" w:hAnsi="Arial" w:eastAsia="黑体" w:cs="Times New Roman"/>
      <w:b/>
      <w:bCs/>
      <w:sz w:val="28"/>
      <w:szCs w:val="28"/>
    </w:rPr>
  </w:style>
  <w:style w:type="character" w:customStyle="1" w:styleId="52">
    <w:name w:val="文档结构图 字符"/>
    <w:basedOn w:val="33"/>
    <w:link w:val="9"/>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2"/>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9"/>
    <w:qFormat/>
    <w:uiPriority w:val="0"/>
    <w:pPr>
      <w:shd w:val="clear" w:color="auto" w:fill="000080"/>
    </w:pPr>
    <w:rPr>
      <w:rFonts w:ascii="Tahoma" w:hAnsi="Tahoma" w:cs="Tahoma"/>
      <w:kern w:val="0"/>
    </w:rPr>
  </w:style>
  <w:style w:type="paragraph" w:customStyle="1" w:styleId="77">
    <w:name w:val="+标题2"/>
    <w:basedOn w:val="3"/>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3"/>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6"/>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4"/>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80</Pages>
  <Words>3173</Words>
  <Characters>3443</Characters>
  <Lines>244</Lines>
  <Paragraphs>68</Paragraphs>
  <TotalTime>0</TotalTime>
  <ScaleCrop>false</ScaleCrop>
  <LinksUpToDate>false</LinksUpToDate>
  <CharactersWithSpaces>3665</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2026-02-05T03:47:56Z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