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ascii="楷体_GB2312" w:hAnsi="宋体" w:eastAsia="楷体_GB2312"/>
          <w:b/>
          <w:bCs/>
          <w:sz w:val="44"/>
          <w:szCs w:val="44"/>
        </w:rPr>
      </w:pPr>
    </w:p>
    <w:p>
      <w:pPr>
        <w:pStyle w:val="7"/>
        <w:ind w:left="0" w:leftChars="0" w:firstLine="0" w:firstLineChars="0"/>
        <w:jc w:val="center"/>
        <w:rPr>
          <w:rFonts w:hint="eastAsia" w:ascii="楷体_GB2312" w:hAnsi="宋体" w:eastAsia="楷体_GB2312"/>
          <w:b/>
          <w:bCs/>
          <w:kern w:val="2"/>
          <w:sz w:val="72"/>
          <w:szCs w:val="72"/>
          <w:highlight w:val="none"/>
        </w:rPr>
      </w:pPr>
    </w:p>
    <w:p>
      <w:pPr>
        <w:pStyle w:val="7"/>
        <w:ind w:left="0" w:leftChars="0" w:firstLine="0" w:firstLineChars="0"/>
        <w:jc w:val="center"/>
        <w:rPr>
          <w:rFonts w:hint="eastAsia" w:ascii="楷体_GB2312" w:hAnsi="宋体" w:eastAsia="楷体_GB2312"/>
          <w:b/>
          <w:bCs/>
          <w:kern w:val="2"/>
          <w:sz w:val="72"/>
          <w:szCs w:val="72"/>
          <w:highlight w:val="none"/>
        </w:rPr>
      </w:pPr>
    </w:p>
    <w:p>
      <w:pPr>
        <w:pStyle w:val="7"/>
        <w:ind w:left="0" w:leftChars="0" w:firstLine="0" w:firstLineChars="0"/>
        <w:jc w:val="center"/>
        <w:rPr>
          <w:rFonts w:hint="eastAsia" w:ascii="楷体_GB2312" w:hAnsi="宋体" w:eastAsia="楷体_GB2312"/>
          <w:b/>
          <w:bCs/>
          <w:kern w:val="2"/>
          <w:sz w:val="72"/>
          <w:szCs w:val="72"/>
          <w:highlight w:val="none"/>
        </w:rPr>
      </w:pPr>
      <w:r>
        <w:rPr>
          <w:rFonts w:hint="eastAsia" w:ascii="楷体_GB2312" w:hAnsi="宋体" w:eastAsia="楷体_GB2312"/>
          <w:b/>
          <w:bCs/>
          <w:kern w:val="2"/>
          <w:sz w:val="72"/>
          <w:szCs w:val="72"/>
          <w:highlight w:val="none"/>
        </w:rPr>
        <w:t>招标文件</w:t>
      </w:r>
    </w:p>
    <w:p>
      <w:pPr>
        <w:rPr>
          <w:rFonts w:hint="eastAsia" w:ascii="楷体_GB2312" w:hAnsi="宋体" w:eastAsia="楷体_GB2312"/>
          <w:b/>
          <w:bCs/>
          <w:kern w:val="2"/>
          <w:sz w:val="72"/>
          <w:szCs w:val="72"/>
          <w:highlight w:val="none"/>
        </w:rPr>
      </w:pPr>
    </w:p>
    <w:p>
      <w:pPr>
        <w:pStyle w:val="3"/>
        <w:rPr>
          <w:rFonts w:hint="eastAsia" w:ascii="楷体_GB2312" w:hAnsi="宋体" w:eastAsia="楷体_GB2312"/>
          <w:b/>
          <w:bCs/>
          <w:kern w:val="2"/>
          <w:sz w:val="72"/>
          <w:szCs w:val="72"/>
          <w:highlight w:val="none"/>
        </w:rPr>
      </w:pPr>
    </w:p>
    <w:p>
      <w:pPr>
        <w:widowControl/>
        <w:ind w:left="0" w:leftChars="0" w:firstLine="0" w:firstLineChars="0"/>
        <w:jc w:val="center"/>
        <w:rPr>
          <w:rFonts w:hint="eastAsia"/>
          <w:b/>
          <w:bCs/>
          <w:kern w:val="0"/>
          <w:sz w:val="32"/>
          <w:szCs w:val="24"/>
          <w:lang w:val="en-US" w:eastAsia="zh-CN"/>
        </w:rPr>
      </w:pPr>
      <w:r>
        <w:rPr>
          <w:b/>
          <w:bCs/>
          <w:kern w:val="0"/>
          <w:sz w:val="32"/>
          <w:szCs w:val="24"/>
        </w:rPr>
        <w:t>项目名称：</w:t>
      </w:r>
      <w:r>
        <w:rPr>
          <w:rFonts w:ascii="Times New Roman" w:hAnsi="Times New Roman" w:eastAsia="宋体" w:cs="Times New Roman"/>
          <w:b/>
          <w:bCs/>
          <w:kern w:val="0"/>
          <w:sz w:val="32"/>
          <w:szCs w:val="24"/>
        </w:rPr>
        <w:t>济南专用车公司一般固废处置项目</w:t>
      </w:r>
    </w:p>
    <w:p>
      <w:pPr>
        <w:pStyle w:val="3"/>
        <w:rPr>
          <w:rFonts w:hint="eastAsia" w:ascii="楷体_GB2312" w:hAnsi="宋体" w:eastAsia="楷体_GB2312"/>
          <w:b/>
          <w:bCs/>
          <w:kern w:val="2"/>
          <w:sz w:val="72"/>
          <w:szCs w:val="72"/>
          <w:highlight w:val="none"/>
        </w:rPr>
      </w:pPr>
    </w:p>
    <w:p>
      <w:pPr>
        <w:widowControl/>
        <w:spacing w:line="360" w:lineRule="auto"/>
        <w:jc w:val="center"/>
        <w:rPr>
          <w:rFonts w:ascii="宋体" w:hAnsi="宋体" w:cs="宋体"/>
          <w:b/>
          <w:bCs/>
          <w:sz w:val="32"/>
          <w:szCs w:val="32"/>
        </w:rPr>
      </w:pPr>
    </w:p>
    <w:p>
      <w:pPr>
        <w:widowControl/>
        <w:spacing w:line="360" w:lineRule="auto"/>
        <w:jc w:val="center"/>
        <w:rPr>
          <w:rFonts w:ascii="宋体" w:hAnsi="宋体" w:cs="宋体"/>
          <w:b/>
          <w:bCs/>
          <w:kern w:val="0"/>
          <w:sz w:val="40"/>
          <w:szCs w:val="40"/>
        </w:rPr>
      </w:pPr>
    </w:p>
    <w:p>
      <w:pPr>
        <w:widowControl/>
        <w:spacing w:line="360" w:lineRule="auto"/>
        <w:jc w:val="left"/>
        <w:rPr>
          <w:rFonts w:ascii="宋体" w:hAnsi="宋体" w:cs="宋体"/>
          <w:b/>
          <w:bCs/>
          <w:kern w:val="0"/>
          <w:sz w:val="32"/>
          <w:szCs w:val="32"/>
        </w:rPr>
      </w:pPr>
    </w:p>
    <w:p>
      <w:pPr>
        <w:widowControl/>
        <w:spacing w:line="360" w:lineRule="auto"/>
        <w:jc w:val="left"/>
        <w:rPr>
          <w:rFonts w:ascii="宋体" w:hAnsi="宋体" w:cs="宋体"/>
          <w:b/>
          <w:bCs/>
          <w:kern w:val="0"/>
          <w:sz w:val="32"/>
          <w:szCs w:val="32"/>
        </w:rPr>
      </w:pPr>
    </w:p>
    <w:p>
      <w:pPr>
        <w:rPr>
          <w:rFonts w:ascii="宋体" w:hAnsi="宋体" w:cs="宋体"/>
          <w:b/>
          <w:bCs/>
          <w:kern w:val="0"/>
          <w:sz w:val="32"/>
          <w:szCs w:val="32"/>
        </w:rPr>
      </w:pPr>
    </w:p>
    <w:p>
      <w:pPr>
        <w:pStyle w:val="7"/>
        <w:ind w:firstLine="643"/>
        <w:rPr>
          <w:rFonts w:ascii="宋体" w:hAnsi="宋体" w:cs="宋体"/>
          <w:b/>
          <w:bCs/>
          <w:sz w:val="32"/>
          <w:szCs w:val="32"/>
        </w:rPr>
      </w:pPr>
    </w:p>
    <w:p/>
    <w:p>
      <w:pPr>
        <w:widowControl/>
        <w:spacing w:line="360" w:lineRule="auto"/>
        <w:ind w:firstLine="1590" w:firstLineChars="495"/>
        <w:rPr>
          <w:rFonts w:ascii="宋体" w:hAnsi="宋体" w:cs="宋体"/>
          <w:b/>
          <w:bCs/>
          <w:kern w:val="0"/>
          <w:sz w:val="32"/>
          <w:szCs w:val="32"/>
          <w:u w:val="single"/>
        </w:rPr>
      </w:pPr>
    </w:p>
    <w:p>
      <w:pPr>
        <w:widowControl/>
        <w:spacing w:line="360" w:lineRule="auto"/>
        <w:jc w:val="center"/>
        <w:rPr>
          <w:rFonts w:ascii="宋体" w:hAnsi="宋体" w:cs="宋体"/>
          <w:b/>
          <w:bCs/>
          <w:kern w:val="0"/>
          <w:sz w:val="32"/>
          <w:szCs w:val="32"/>
        </w:rPr>
      </w:pPr>
    </w:p>
    <w:p>
      <w:pPr>
        <w:widowControl/>
        <w:spacing w:line="360" w:lineRule="auto"/>
        <w:jc w:val="left"/>
        <w:rPr>
          <w:rFonts w:ascii="宋体" w:hAnsi="宋体" w:cs="宋体"/>
          <w:b/>
          <w:bCs/>
          <w:sz w:val="24"/>
        </w:rPr>
      </w:pPr>
    </w:p>
    <w:p>
      <w:pPr>
        <w:widowControl/>
        <w:adjustRightInd w:val="0"/>
        <w:snapToGrid w:val="0"/>
        <w:spacing w:line="520" w:lineRule="exact"/>
        <w:jc w:val="left"/>
        <w:rPr>
          <w:rFonts w:ascii="仿宋_GB2312" w:hAnsi="ˎ̥" w:eastAsia="仿宋_GB2312"/>
          <w:bCs/>
          <w:sz w:val="28"/>
          <w:szCs w:val="28"/>
          <w:highlight w:val="none"/>
        </w:rPr>
      </w:pPr>
    </w:p>
    <w:p>
      <w:pPr>
        <w:pStyle w:val="3"/>
        <w:rPr>
          <w:rFonts w:ascii="仿宋_GB2312" w:eastAsia="仿宋_GB2312" w:cs="宋体"/>
          <w:sz w:val="28"/>
          <w:szCs w:val="28"/>
          <w:highlight w:val="none"/>
        </w:rPr>
      </w:pPr>
    </w:p>
    <w:p>
      <w:pPr>
        <w:pStyle w:val="3"/>
        <w:rPr>
          <w:rFonts w:ascii="仿宋_GB2312" w:eastAsia="仿宋_GB2312" w:cs="宋体"/>
          <w:sz w:val="28"/>
          <w:szCs w:val="28"/>
          <w:highlight w:val="none"/>
        </w:rPr>
      </w:pPr>
    </w:p>
    <w:p>
      <w:pPr>
        <w:pStyle w:val="3"/>
        <w:rPr>
          <w:rFonts w:ascii="仿宋_GB2312" w:eastAsia="仿宋_GB2312" w:cs="宋体"/>
          <w:sz w:val="28"/>
          <w:szCs w:val="28"/>
          <w:highlight w:val="none"/>
        </w:rPr>
      </w:pPr>
    </w:p>
    <w:p>
      <w:pPr>
        <w:widowControl/>
        <w:adjustRightInd w:val="0"/>
        <w:snapToGrid w:val="0"/>
        <w:spacing w:line="520" w:lineRule="exact"/>
        <w:jc w:val="left"/>
        <w:rPr>
          <w:rFonts w:ascii="仿宋_GB2312" w:eastAsia="仿宋_GB2312" w:cs="宋体"/>
          <w:kern w:val="0"/>
          <w:sz w:val="28"/>
          <w:szCs w:val="28"/>
          <w:highlight w:val="none"/>
        </w:rPr>
      </w:pPr>
    </w:p>
    <w:p>
      <w:pPr>
        <w:pStyle w:val="22"/>
        <w:ind w:firstLine="1441" w:firstLineChars="400"/>
        <w:jc w:val="center"/>
        <w:rPr>
          <w:b/>
          <w:bCs/>
          <w:sz w:val="36"/>
          <w:szCs w:val="36"/>
          <w:highlight w:val="none"/>
        </w:rPr>
      </w:pPr>
      <w:r>
        <w:rPr>
          <w:b/>
          <w:bCs/>
          <w:sz w:val="36"/>
          <w:szCs w:val="36"/>
          <w:highlight w:val="none"/>
          <w:lang w:val="zh-CN"/>
        </w:rPr>
        <w:t>目录</w:t>
      </w:r>
    </w:p>
    <w:p>
      <w:pPr>
        <w:pStyle w:val="16"/>
        <w:tabs>
          <w:tab w:val="right" w:leader="dot" w:pos="9071"/>
        </w:tabs>
        <w:rPr>
          <w:sz w:val="32"/>
          <w:szCs w:val="32"/>
          <w:highlight w:val="none"/>
        </w:rPr>
      </w:pPr>
      <w:r>
        <w:rPr>
          <w:sz w:val="32"/>
          <w:szCs w:val="32"/>
          <w:highlight w:val="none"/>
        </w:rPr>
        <w:fldChar w:fldCharType="begin"/>
      </w:r>
      <w:r>
        <w:rPr>
          <w:sz w:val="32"/>
          <w:szCs w:val="32"/>
          <w:highlight w:val="none"/>
        </w:rPr>
        <w:instrText xml:space="preserve"> TOC \o "1-3" \h \z \u </w:instrText>
      </w:r>
      <w:r>
        <w:rPr>
          <w:sz w:val="32"/>
          <w:szCs w:val="32"/>
          <w:highlight w:val="none"/>
        </w:rPr>
        <w:fldChar w:fldCharType="separate"/>
      </w:r>
      <w:r>
        <w:rPr>
          <w:highlight w:val="none"/>
        </w:rPr>
        <w:fldChar w:fldCharType="begin"/>
      </w:r>
      <w:r>
        <w:rPr>
          <w:highlight w:val="none"/>
        </w:rPr>
        <w:instrText xml:space="preserve"> HYPERLINK \l "_Toc27392" </w:instrText>
      </w:r>
      <w:r>
        <w:rPr>
          <w:highlight w:val="none"/>
        </w:rPr>
        <w:fldChar w:fldCharType="separate"/>
      </w:r>
      <w:r>
        <w:rPr>
          <w:rFonts w:hint="eastAsia"/>
          <w:sz w:val="32"/>
          <w:szCs w:val="32"/>
          <w:highlight w:val="none"/>
        </w:rPr>
        <w:t>第</w:t>
      </w:r>
      <w:r>
        <w:rPr>
          <w:rFonts w:hint="eastAsia"/>
          <w:sz w:val="32"/>
          <w:szCs w:val="32"/>
          <w:highlight w:val="none"/>
          <w:lang w:val="en-US" w:eastAsia="zh-CN"/>
        </w:rPr>
        <w:t>1</w:t>
      </w:r>
      <w:r>
        <w:rPr>
          <w:rFonts w:hint="eastAsia"/>
          <w:sz w:val="32"/>
          <w:szCs w:val="32"/>
          <w:highlight w:val="none"/>
        </w:rPr>
        <w:t>章  招标公告</w:t>
      </w:r>
      <w:r>
        <w:rPr>
          <w:sz w:val="32"/>
          <w:szCs w:val="32"/>
          <w:highlight w:val="none"/>
        </w:rPr>
        <w:tab/>
      </w:r>
      <w:r>
        <w:rPr>
          <w:sz w:val="32"/>
          <w:szCs w:val="32"/>
          <w:highlight w:val="none"/>
        </w:rPr>
        <w:fldChar w:fldCharType="begin"/>
      </w:r>
      <w:r>
        <w:rPr>
          <w:sz w:val="32"/>
          <w:szCs w:val="32"/>
          <w:highlight w:val="none"/>
        </w:rPr>
        <w:instrText xml:space="preserve"> PAGEREF _Toc27392 \h </w:instrText>
      </w:r>
      <w:r>
        <w:rPr>
          <w:sz w:val="32"/>
          <w:szCs w:val="32"/>
          <w:highlight w:val="none"/>
        </w:rPr>
        <w:fldChar w:fldCharType="separate"/>
      </w:r>
      <w:r>
        <w:rPr>
          <w:sz w:val="32"/>
          <w:szCs w:val="32"/>
          <w:highlight w:val="none"/>
        </w:rPr>
        <w:t>3</w:t>
      </w:r>
      <w:r>
        <w:rPr>
          <w:sz w:val="32"/>
          <w:szCs w:val="32"/>
          <w:highlight w:val="none"/>
        </w:rPr>
        <w:fldChar w:fldCharType="end"/>
      </w:r>
      <w:r>
        <w:rPr>
          <w:sz w:val="32"/>
          <w:szCs w:val="32"/>
          <w:highlight w:val="none"/>
        </w:rPr>
        <w:fldChar w:fldCharType="end"/>
      </w:r>
    </w:p>
    <w:p>
      <w:pPr>
        <w:pStyle w:val="16"/>
        <w:tabs>
          <w:tab w:val="right" w:leader="dot" w:pos="9071"/>
        </w:tabs>
        <w:rPr>
          <w:sz w:val="32"/>
          <w:szCs w:val="32"/>
          <w:highlight w:val="none"/>
        </w:rPr>
      </w:pPr>
      <w:r>
        <w:rPr>
          <w:highlight w:val="none"/>
        </w:rPr>
        <w:fldChar w:fldCharType="begin"/>
      </w:r>
      <w:r>
        <w:rPr>
          <w:highlight w:val="none"/>
        </w:rPr>
        <w:instrText xml:space="preserve"> HYPERLINK \l "_Toc25195" </w:instrText>
      </w:r>
      <w:r>
        <w:rPr>
          <w:highlight w:val="none"/>
        </w:rPr>
        <w:fldChar w:fldCharType="separate"/>
      </w:r>
      <w:r>
        <w:rPr>
          <w:rFonts w:hint="eastAsia"/>
          <w:sz w:val="32"/>
          <w:szCs w:val="32"/>
          <w:highlight w:val="none"/>
        </w:rPr>
        <w:t>第</w:t>
      </w:r>
      <w:r>
        <w:rPr>
          <w:rFonts w:hint="eastAsia"/>
          <w:sz w:val="32"/>
          <w:szCs w:val="32"/>
          <w:highlight w:val="none"/>
          <w:lang w:val="en-US" w:eastAsia="zh-CN"/>
        </w:rPr>
        <w:t>2</w:t>
      </w:r>
      <w:r>
        <w:rPr>
          <w:rFonts w:hint="eastAsia"/>
          <w:sz w:val="32"/>
          <w:szCs w:val="32"/>
          <w:highlight w:val="none"/>
        </w:rPr>
        <w:t xml:space="preserve">章 </w:t>
      </w:r>
      <w:r>
        <w:rPr>
          <w:rFonts w:hint="eastAsia"/>
          <w:sz w:val="32"/>
          <w:szCs w:val="32"/>
          <w:highlight w:val="none"/>
          <w:lang w:val="en-US" w:eastAsia="zh-CN"/>
        </w:rPr>
        <w:t xml:space="preserve"> </w:t>
      </w:r>
      <w:r>
        <w:rPr>
          <w:rFonts w:hint="eastAsia"/>
          <w:sz w:val="32"/>
          <w:szCs w:val="32"/>
          <w:highlight w:val="none"/>
        </w:rPr>
        <w:t>投标方须知</w:t>
      </w:r>
      <w:r>
        <w:rPr>
          <w:sz w:val="32"/>
          <w:szCs w:val="32"/>
          <w:highlight w:val="none"/>
        </w:rPr>
        <w:tab/>
      </w:r>
      <w:r>
        <w:rPr>
          <w:sz w:val="32"/>
          <w:szCs w:val="32"/>
          <w:highlight w:val="none"/>
        </w:rPr>
        <w:fldChar w:fldCharType="begin"/>
      </w:r>
      <w:r>
        <w:rPr>
          <w:sz w:val="32"/>
          <w:szCs w:val="32"/>
          <w:highlight w:val="none"/>
        </w:rPr>
        <w:instrText xml:space="preserve"> PAGEREF _Toc25195 \h </w:instrText>
      </w:r>
      <w:r>
        <w:rPr>
          <w:sz w:val="32"/>
          <w:szCs w:val="32"/>
          <w:highlight w:val="none"/>
        </w:rPr>
        <w:fldChar w:fldCharType="separate"/>
      </w:r>
      <w:r>
        <w:rPr>
          <w:sz w:val="32"/>
          <w:szCs w:val="32"/>
          <w:highlight w:val="none"/>
        </w:rPr>
        <w:t>5</w:t>
      </w:r>
      <w:r>
        <w:rPr>
          <w:sz w:val="32"/>
          <w:szCs w:val="32"/>
          <w:highlight w:val="none"/>
        </w:rPr>
        <w:fldChar w:fldCharType="end"/>
      </w:r>
      <w:r>
        <w:rPr>
          <w:sz w:val="32"/>
          <w:szCs w:val="32"/>
          <w:highlight w:val="none"/>
        </w:rPr>
        <w:fldChar w:fldCharType="end"/>
      </w:r>
    </w:p>
    <w:p>
      <w:pPr>
        <w:pStyle w:val="16"/>
        <w:tabs>
          <w:tab w:val="right" w:leader="dot" w:pos="9071"/>
        </w:tabs>
        <w:rPr>
          <w:sz w:val="32"/>
          <w:szCs w:val="32"/>
          <w:highlight w:val="none"/>
        </w:rPr>
      </w:pPr>
      <w:r>
        <w:rPr>
          <w:highlight w:val="none"/>
        </w:rPr>
        <w:fldChar w:fldCharType="begin"/>
      </w:r>
      <w:r>
        <w:rPr>
          <w:highlight w:val="none"/>
        </w:rPr>
        <w:instrText xml:space="preserve"> HYPERLINK \l "_Toc23639" </w:instrText>
      </w:r>
      <w:r>
        <w:rPr>
          <w:highlight w:val="none"/>
        </w:rPr>
        <w:fldChar w:fldCharType="separate"/>
      </w:r>
      <w:r>
        <w:rPr>
          <w:rFonts w:hint="eastAsia"/>
          <w:sz w:val="32"/>
          <w:szCs w:val="32"/>
          <w:highlight w:val="none"/>
        </w:rPr>
        <w:t>第</w:t>
      </w:r>
      <w:r>
        <w:rPr>
          <w:rFonts w:hint="eastAsia"/>
          <w:sz w:val="32"/>
          <w:szCs w:val="32"/>
          <w:highlight w:val="none"/>
          <w:lang w:val="en-US" w:eastAsia="zh-CN"/>
        </w:rPr>
        <w:t>3</w:t>
      </w:r>
      <w:r>
        <w:rPr>
          <w:rFonts w:hint="eastAsia"/>
          <w:sz w:val="32"/>
          <w:szCs w:val="32"/>
          <w:highlight w:val="none"/>
        </w:rPr>
        <w:t xml:space="preserve">章  </w:t>
      </w:r>
      <w:r>
        <w:rPr>
          <w:sz w:val="32"/>
          <w:szCs w:val="32"/>
          <w:highlight w:val="none"/>
        </w:rPr>
        <w:t>评标方法</w:t>
      </w:r>
      <w:r>
        <w:rPr>
          <w:sz w:val="32"/>
          <w:szCs w:val="32"/>
          <w:highlight w:val="none"/>
        </w:rPr>
        <w:tab/>
      </w:r>
      <w:r>
        <w:rPr>
          <w:sz w:val="32"/>
          <w:szCs w:val="32"/>
          <w:highlight w:val="none"/>
        </w:rPr>
        <w:fldChar w:fldCharType="begin"/>
      </w:r>
      <w:r>
        <w:rPr>
          <w:sz w:val="32"/>
          <w:szCs w:val="32"/>
          <w:highlight w:val="none"/>
        </w:rPr>
        <w:instrText xml:space="preserve"> PAGEREF _Toc23639 \h </w:instrText>
      </w:r>
      <w:r>
        <w:rPr>
          <w:sz w:val="32"/>
          <w:szCs w:val="32"/>
          <w:highlight w:val="none"/>
        </w:rPr>
        <w:fldChar w:fldCharType="separate"/>
      </w:r>
      <w:r>
        <w:rPr>
          <w:sz w:val="32"/>
          <w:szCs w:val="32"/>
          <w:highlight w:val="none"/>
        </w:rPr>
        <w:t>8</w:t>
      </w:r>
      <w:r>
        <w:rPr>
          <w:sz w:val="32"/>
          <w:szCs w:val="32"/>
          <w:highlight w:val="none"/>
        </w:rPr>
        <w:fldChar w:fldCharType="end"/>
      </w:r>
      <w:r>
        <w:rPr>
          <w:sz w:val="32"/>
          <w:szCs w:val="32"/>
          <w:highlight w:val="none"/>
        </w:rPr>
        <w:fldChar w:fldCharType="end"/>
      </w:r>
    </w:p>
    <w:p>
      <w:pPr>
        <w:pStyle w:val="16"/>
        <w:tabs>
          <w:tab w:val="right" w:leader="dot" w:pos="9071"/>
        </w:tabs>
        <w:rPr>
          <w:rFonts w:hint="eastAsia" w:eastAsia="宋体"/>
          <w:sz w:val="32"/>
          <w:szCs w:val="32"/>
          <w:highlight w:val="none"/>
          <w:lang w:eastAsia="zh-CN"/>
        </w:rPr>
      </w:pPr>
      <w:r>
        <w:rPr>
          <w:highlight w:val="none"/>
        </w:rPr>
        <w:fldChar w:fldCharType="begin"/>
      </w:r>
      <w:r>
        <w:rPr>
          <w:highlight w:val="none"/>
        </w:rPr>
        <w:instrText xml:space="preserve"> HYPERLINK \l "_Toc16141" </w:instrText>
      </w:r>
      <w:r>
        <w:rPr>
          <w:highlight w:val="none"/>
        </w:rPr>
        <w:fldChar w:fldCharType="separate"/>
      </w:r>
      <w:r>
        <w:rPr>
          <w:rFonts w:hint="eastAsia"/>
          <w:sz w:val="32"/>
          <w:szCs w:val="32"/>
          <w:highlight w:val="none"/>
        </w:rPr>
        <w:t>投标文件</w:t>
      </w:r>
      <w:r>
        <w:rPr>
          <w:sz w:val="32"/>
          <w:szCs w:val="32"/>
          <w:highlight w:val="none"/>
        </w:rPr>
        <w:tab/>
      </w:r>
      <w:r>
        <w:rPr>
          <w:sz w:val="32"/>
          <w:szCs w:val="32"/>
          <w:highlight w:val="none"/>
        </w:rPr>
        <w:fldChar w:fldCharType="end"/>
      </w:r>
      <w:r>
        <w:rPr>
          <w:rFonts w:hint="eastAsia"/>
          <w:sz w:val="32"/>
          <w:szCs w:val="32"/>
          <w:highlight w:val="none"/>
          <w:lang w:eastAsia="zh-CN"/>
        </w:rPr>
        <w:t>。</w:t>
      </w:r>
    </w:p>
    <w:p>
      <w:pPr>
        <w:widowControl/>
        <w:adjustRightInd w:val="0"/>
        <w:snapToGrid w:val="0"/>
        <w:spacing w:line="520" w:lineRule="exact"/>
        <w:ind w:firstLine="4800" w:firstLineChars="1500"/>
        <w:rPr>
          <w:b/>
          <w:bCs/>
          <w:sz w:val="28"/>
          <w:szCs w:val="28"/>
          <w:highlight w:val="none"/>
          <w:lang w:val="zh-CN"/>
        </w:rPr>
      </w:pPr>
      <w:r>
        <w:rPr>
          <w:bCs/>
          <w:sz w:val="32"/>
          <w:szCs w:val="32"/>
          <w:highlight w:val="none"/>
          <w:lang w:val="zh-CN"/>
        </w:rPr>
        <w:fldChar w:fldCharType="end"/>
      </w:r>
    </w:p>
    <w:p>
      <w:pPr>
        <w:pStyle w:val="7"/>
        <w:ind w:firstLine="562"/>
        <w:rPr>
          <w:b/>
          <w:bCs/>
          <w:sz w:val="28"/>
          <w:szCs w:val="28"/>
          <w:highlight w:val="none"/>
          <w:lang w:val="zh-CN"/>
        </w:rPr>
      </w:pPr>
    </w:p>
    <w:p>
      <w:pPr>
        <w:rPr>
          <w:b/>
          <w:bCs/>
          <w:sz w:val="28"/>
          <w:szCs w:val="28"/>
          <w:highlight w:val="none"/>
          <w:lang w:val="zh-CN"/>
        </w:rPr>
      </w:pPr>
    </w:p>
    <w:p>
      <w:pPr>
        <w:pStyle w:val="7"/>
        <w:rPr>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rPr>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2"/>
        <w:rPr>
          <w:lang w:val="zh-CN"/>
        </w:rPr>
      </w:pPr>
    </w:p>
    <w:p>
      <w:pPr>
        <w:pStyle w:val="7"/>
        <w:ind w:firstLine="562"/>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3"/>
        <w:rPr>
          <w:highlight w:val="none"/>
        </w:rPr>
      </w:pPr>
    </w:p>
    <w:p>
      <w:pPr>
        <w:pStyle w:val="3"/>
        <w:rPr>
          <w:highlight w:val="none"/>
        </w:rPr>
      </w:pPr>
    </w:p>
    <w:p>
      <w:pPr>
        <w:rPr>
          <w:highlight w:val="none"/>
        </w:rPr>
      </w:pPr>
    </w:p>
    <w:p>
      <w:pPr>
        <w:pStyle w:val="7"/>
        <w:rPr>
          <w:highlight w:val="none"/>
        </w:rPr>
      </w:pPr>
    </w:p>
    <w:p>
      <w:pPr>
        <w:rPr>
          <w:highlight w:val="none"/>
        </w:rPr>
      </w:pPr>
    </w:p>
    <w:p>
      <w:pPr>
        <w:pStyle w:val="3"/>
        <w:rPr>
          <w:highlight w:val="none"/>
        </w:rPr>
      </w:pPr>
    </w:p>
    <w:p>
      <w:pPr>
        <w:pStyle w:val="3"/>
        <w:rPr>
          <w:highlight w:val="none"/>
        </w:rPr>
      </w:pPr>
    </w:p>
    <w:p>
      <w:pPr>
        <w:pStyle w:val="3"/>
        <w:rPr>
          <w:highlight w:val="none"/>
        </w:rPr>
      </w:pPr>
    </w:p>
    <w:p>
      <w:pPr>
        <w:pStyle w:val="4"/>
        <w:numPr>
          <w:ilvl w:val="0"/>
          <w:numId w:val="1"/>
        </w:numPr>
        <w:ind w:firstLine="1446" w:firstLineChars="400"/>
        <w:jc w:val="center"/>
      </w:pPr>
      <w:bookmarkStart w:id="0" w:name="_Toc37421050"/>
      <w:bookmarkStart w:id="1" w:name="_Toc27392"/>
      <w:bookmarkStart w:id="2" w:name="_Toc37421123"/>
      <w:r>
        <w:rPr>
          <w:rFonts w:hint="eastAsia"/>
          <w:highlight w:val="none"/>
        </w:rPr>
        <w:t>招标公告</w:t>
      </w:r>
      <w:bookmarkEnd w:id="0"/>
      <w:bookmarkEnd w:id="1"/>
      <w:bookmarkEnd w:id="2"/>
    </w:p>
    <w:p/>
    <w:p>
      <w:pPr>
        <w:pageBreakBefore w:val="0"/>
        <w:widowControl w:val="0"/>
        <w:kinsoku/>
        <w:wordWrap/>
        <w:overflowPunct/>
        <w:topLinePunct w:val="0"/>
        <w:bidi w:val="0"/>
        <w:snapToGrid/>
        <w:spacing w:line="360" w:lineRule="auto"/>
        <w:ind w:firstLine="562" w:firstLineChars="200"/>
        <w:textAlignment w:val="auto"/>
        <w:rPr>
          <w:rFonts w:hint="default" w:ascii="仿宋" w:hAnsi="仿宋" w:eastAsia="仿宋" w:cs="仿宋"/>
          <w:b/>
          <w:sz w:val="28"/>
          <w:szCs w:val="28"/>
          <w:lang w:val="en-US" w:eastAsia="zh-CN"/>
        </w:rPr>
      </w:pPr>
      <w:r>
        <w:rPr>
          <w:rFonts w:hint="eastAsia" w:ascii="仿宋" w:hAnsi="仿宋" w:eastAsia="仿宋" w:cs="仿宋"/>
          <w:b/>
          <w:sz w:val="28"/>
          <w:szCs w:val="28"/>
          <w:lang w:val="en-US" w:eastAsia="zh-CN"/>
        </w:rPr>
        <w:t>一、</w:t>
      </w:r>
      <w:r>
        <w:rPr>
          <w:rFonts w:hint="eastAsia" w:ascii="仿宋" w:hAnsi="仿宋" w:eastAsia="仿宋" w:cs="仿宋"/>
          <w:b/>
          <w:sz w:val="28"/>
          <w:szCs w:val="28"/>
        </w:rPr>
        <w:t>项目名称</w:t>
      </w:r>
      <w:r>
        <w:rPr>
          <w:rFonts w:hint="eastAsia" w:ascii="仿宋" w:hAnsi="仿宋" w:eastAsia="仿宋" w:cs="仿宋"/>
          <w:b/>
          <w:sz w:val="28"/>
          <w:szCs w:val="28"/>
          <w:lang w:val="en-US" w:eastAsia="zh-CN"/>
        </w:rPr>
        <w:t>及内容</w:t>
      </w:r>
    </w:p>
    <w:p>
      <w:pPr>
        <w:pStyle w:val="3"/>
        <w:pageBreakBefore w:val="0"/>
        <w:widowControl w:val="0"/>
        <w:kinsoku/>
        <w:wordWrap/>
        <w:overflowPunct/>
        <w:topLinePunct w:val="0"/>
        <w:bidi w:val="0"/>
        <w:snapToGrid/>
        <w:ind w:firstLine="560" w:firstLineChars="200"/>
        <w:textAlignment w:val="auto"/>
        <w:rPr>
          <w:rFonts w:hint="eastAsia" w:ascii="仿宋" w:hAnsi="仿宋" w:eastAsia="仿宋" w:cs="仿宋"/>
          <w:color w:val="auto"/>
          <w:spacing w:val="-13"/>
          <w:kern w:val="2"/>
          <w:sz w:val="28"/>
          <w:szCs w:val="28"/>
          <w:lang w:val="en-US" w:eastAsia="zh-CN" w:bidi="ar-SA"/>
        </w:rPr>
      </w:pP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项目名称：</w:t>
      </w:r>
      <w:r>
        <w:rPr>
          <w:rFonts w:hint="eastAsia" w:ascii="仿宋" w:hAnsi="仿宋" w:eastAsia="仿宋" w:cs="仿宋"/>
          <w:color w:val="auto"/>
          <w:spacing w:val="-13"/>
          <w:kern w:val="2"/>
          <w:sz w:val="28"/>
          <w:szCs w:val="28"/>
          <w:lang w:val="en-US" w:eastAsia="zh-CN" w:bidi="ar-SA"/>
        </w:rPr>
        <w:t>济南专用车公司一般固废处置项目</w:t>
      </w:r>
    </w:p>
    <w:p>
      <w:pPr>
        <w:pageBreakBefore w:val="0"/>
        <w:widowControl w:val="0"/>
        <w:numPr>
          <w:ilvl w:val="0"/>
          <w:numId w:val="0"/>
        </w:numPr>
        <w:kinsoku/>
        <w:wordWrap/>
        <w:overflowPunct/>
        <w:topLinePunct w:val="0"/>
        <w:bidi w:val="0"/>
        <w:snapToGrid/>
        <w:spacing w:line="240" w:lineRule="auto"/>
        <w:ind w:firstLine="560" w:firstLineChars="200"/>
        <w:textAlignment w:val="auto"/>
        <w:rPr>
          <w:rFonts w:hint="eastAsia" w:ascii="仿宋" w:hAnsi="仿宋" w:eastAsia="仿宋" w:cs="仿宋"/>
          <w:color w:val="auto"/>
          <w:spacing w:val="4"/>
          <w:sz w:val="28"/>
          <w:szCs w:val="28"/>
        </w:rPr>
      </w:pPr>
      <w:r>
        <w:rPr>
          <w:rFonts w:hint="eastAsia" w:ascii="仿宋" w:hAnsi="仿宋" w:eastAsia="仿宋" w:cs="仿宋"/>
          <w:b w:val="0"/>
          <w:bCs/>
          <w:color w:val="000000"/>
          <w:sz w:val="28"/>
          <w:szCs w:val="28"/>
          <w:highlight w:val="none"/>
          <w:lang w:val="en-US" w:eastAsia="zh-CN"/>
        </w:rPr>
        <w:t>2、</w:t>
      </w:r>
      <w:r>
        <w:rPr>
          <w:rFonts w:hint="eastAsia" w:ascii="仿宋" w:hAnsi="仿宋" w:eastAsia="仿宋" w:cs="仿宋"/>
          <w:b w:val="0"/>
          <w:bCs/>
          <w:color w:val="000000"/>
          <w:sz w:val="28"/>
          <w:szCs w:val="28"/>
          <w:highlight w:val="none"/>
        </w:rPr>
        <w:t>招标内容：</w:t>
      </w:r>
      <w:bookmarkStart w:id="3" w:name="_Toc116872027"/>
      <w:r>
        <w:rPr>
          <w:rFonts w:hint="eastAsia" w:ascii="仿宋" w:hAnsi="仿宋" w:eastAsia="仿宋" w:cs="仿宋"/>
          <w:color w:val="auto"/>
          <w:spacing w:val="4"/>
          <w:sz w:val="28"/>
          <w:szCs w:val="28"/>
          <w:lang w:eastAsia="zh-CN"/>
        </w:rPr>
        <w:t>固体废物</w:t>
      </w:r>
      <w:r>
        <w:rPr>
          <w:rFonts w:hint="eastAsia" w:ascii="仿宋" w:hAnsi="仿宋" w:eastAsia="仿宋" w:cs="仿宋"/>
          <w:color w:val="auto"/>
          <w:spacing w:val="4"/>
          <w:sz w:val="28"/>
          <w:szCs w:val="28"/>
          <w:lang w:val="en-US" w:eastAsia="zh-CN"/>
        </w:rPr>
        <w:t>是指</w:t>
      </w:r>
      <w:r>
        <w:rPr>
          <w:rFonts w:hint="eastAsia" w:ascii="仿宋" w:hAnsi="仿宋" w:eastAsia="仿宋" w:cs="仿宋"/>
          <w:color w:val="auto"/>
          <w:spacing w:val="-13"/>
          <w:sz w:val="28"/>
          <w:szCs w:val="28"/>
          <w:lang w:eastAsia="zh-CN"/>
        </w:rPr>
        <w:t>除通过公开招标确定可回收利用废旧物资以外的一般工业固废垃圾</w:t>
      </w:r>
      <w:r>
        <w:rPr>
          <w:rFonts w:hint="eastAsia" w:ascii="仿宋" w:hAnsi="仿宋" w:eastAsia="仿宋" w:cs="仿宋"/>
          <w:color w:val="auto"/>
          <w:spacing w:val="4"/>
          <w:sz w:val="28"/>
          <w:szCs w:val="28"/>
        </w:rPr>
        <w:t>。中标方按要求到指定区域对</w:t>
      </w:r>
      <w:r>
        <w:rPr>
          <w:rFonts w:hint="eastAsia" w:ascii="仿宋" w:hAnsi="仿宋" w:eastAsia="仿宋" w:cs="仿宋"/>
          <w:color w:val="auto"/>
          <w:spacing w:val="4"/>
          <w:sz w:val="28"/>
          <w:szCs w:val="28"/>
          <w:lang w:eastAsia="zh-CN"/>
        </w:rPr>
        <w:t>固体废物</w:t>
      </w:r>
      <w:r>
        <w:rPr>
          <w:rFonts w:hint="eastAsia" w:ascii="仿宋" w:hAnsi="仿宋" w:eastAsia="仿宋" w:cs="仿宋"/>
          <w:color w:val="auto"/>
          <w:spacing w:val="4"/>
          <w:sz w:val="28"/>
          <w:szCs w:val="28"/>
        </w:rPr>
        <w:t>进行收集清理、自行装车清运，并负责按国家环保等相关要求清运。同时负责将垃圾存放区域卫生按照要求整理，达到</w:t>
      </w:r>
      <w:r>
        <w:rPr>
          <w:rFonts w:hint="eastAsia" w:ascii="仿宋" w:hAnsi="仿宋" w:eastAsia="仿宋" w:cs="仿宋"/>
          <w:color w:val="auto"/>
          <w:spacing w:val="4"/>
          <w:sz w:val="28"/>
          <w:szCs w:val="28"/>
          <w:lang w:val="en-US" w:eastAsia="zh-CN"/>
        </w:rPr>
        <w:t>现场管理</w:t>
      </w:r>
      <w:r>
        <w:rPr>
          <w:rFonts w:hint="eastAsia" w:ascii="仿宋" w:hAnsi="仿宋" w:eastAsia="仿宋" w:cs="仿宋"/>
          <w:color w:val="auto"/>
          <w:spacing w:val="4"/>
          <w:sz w:val="28"/>
          <w:szCs w:val="28"/>
        </w:rPr>
        <w:t>要求。</w:t>
      </w:r>
    </w:p>
    <w:p>
      <w:pPr>
        <w:pageBreakBefore w:val="0"/>
        <w:widowControl w:val="0"/>
        <w:numPr>
          <w:ilvl w:val="0"/>
          <w:numId w:val="0"/>
        </w:numPr>
        <w:kinsoku/>
        <w:wordWrap/>
        <w:overflowPunct/>
        <w:topLinePunct w:val="0"/>
        <w:bidi w:val="0"/>
        <w:snapToGrid/>
        <w:spacing w:line="240" w:lineRule="auto"/>
        <w:ind w:firstLine="562" w:firstLineChars="200"/>
        <w:textAlignment w:val="auto"/>
        <w:rPr>
          <w:rFonts w:hint="eastAsia" w:ascii="仿宋" w:hAnsi="仿宋" w:eastAsia="仿宋" w:cs="仿宋"/>
          <w:color w:val="000000"/>
          <w:sz w:val="28"/>
          <w:szCs w:val="28"/>
          <w:highlight w:val="none"/>
        </w:rPr>
      </w:pPr>
      <w:r>
        <w:rPr>
          <w:rFonts w:hint="eastAsia" w:ascii="仿宋" w:hAnsi="仿宋" w:eastAsia="仿宋" w:cs="仿宋"/>
          <w:b/>
          <w:color w:val="000000"/>
          <w:sz w:val="28"/>
          <w:szCs w:val="28"/>
          <w:highlight w:val="none"/>
          <w:lang w:val="en-US" w:eastAsia="zh-CN"/>
        </w:rPr>
        <w:t>二</w:t>
      </w:r>
      <w:r>
        <w:rPr>
          <w:rFonts w:hint="eastAsia" w:ascii="仿宋" w:hAnsi="仿宋" w:eastAsia="仿宋" w:cs="仿宋"/>
          <w:b/>
          <w:color w:val="000000"/>
          <w:sz w:val="28"/>
          <w:szCs w:val="28"/>
          <w:highlight w:val="none"/>
        </w:rPr>
        <w:t>、有关说明：</w:t>
      </w:r>
      <w:bookmarkEnd w:id="3"/>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投标人必须是在中华人民共和国境内注册的独立法人机构，</w:t>
      </w:r>
      <w:r>
        <w:rPr>
          <w:rFonts w:hint="eastAsia" w:ascii="仿宋" w:hAnsi="仿宋" w:eastAsia="仿宋" w:cs="仿宋"/>
          <w:color w:val="000000" w:themeColor="text1"/>
          <w:sz w:val="28"/>
          <w:szCs w:val="28"/>
          <w:highlight w:val="none"/>
          <w14:textFill>
            <w14:solidFill>
              <w14:schemeClr w14:val="tx1"/>
            </w14:solidFill>
          </w14:textFill>
        </w:rPr>
        <w:t>注册资本≥</w:t>
      </w:r>
      <w:r>
        <w:rPr>
          <w:rFonts w:hint="eastAsia" w:ascii="仿宋" w:hAnsi="仿宋" w:eastAsia="仿宋" w:cs="仿宋"/>
          <w:color w:val="000000" w:themeColor="text1"/>
          <w:sz w:val="28"/>
          <w:szCs w:val="28"/>
          <w:highlight w:val="none"/>
          <w:lang w:val="en-US" w:eastAsia="zh-CN"/>
          <w14:textFill>
            <w14:solidFill>
              <w14:schemeClr w14:val="tx1"/>
            </w14:solidFill>
          </w14:textFill>
        </w:rPr>
        <w:t>100</w:t>
      </w:r>
      <w:r>
        <w:rPr>
          <w:rFonts w:hint="eastAsia" w:ascii="仿宋" w:hAnsi="仿宋" w:eastAsia="仿宋" w:cs="仿宋"/>
          <w:sz w:val="28"/>
          <w:szCs w:val="28"/>
          <w:highlight w:val="none"/>
        </w:rPr>
        <w:t>万</w:t>
      </w:r>
      <w:r>
        <w:rPr>
          <w:rFonts w:hint="eastAsia" w:ascii="仿宋" w:hAnsi="仿宋" w:eastAsia="仿宋" w:cs="仿宋"/>
          <w:sz w:val="28"/>
          <w:szCs w:val="28"/>
        </w:rPr>
        <w:t>，具有独立承担民事责任能力，具有相应的</w:t>
      </w:r>
      <w:r>
        <w:rPr>
          <w:rFonts w:hint="eastAsia" w:ascii="仿宋" w:hAnsi="仿宋" w:eastAsia="仿宋" w:cs="仿宋"/>
          <w:sz w:val="28"/>
          <w:szCs w:val="28"/>
          <w:lang w:val="en-US" w:eastAsia="zh-CN"/>
        </w:rPr>
        <w:t>资质及</w:t>
      </w:r>
      <w:r>
        <w:rPr>
          <w:rFonts w:hint="eastAsia" w:ascii="仿宋" w:hAnsi="仿宋" w:eastAsia="仿宋" w:cs="仿宋"/>
          <w:sz w:val="28"/>
          <w:szCs w:val="28"/>
        </w:rPr>
        <w:t>能力。</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2、</w:t>
      </w:r>
      <w:r>
        <w:rPr>
          <w:rFonts w:hint="eastAsia" w:ascii="仿宋" w:hAnsi="仿宋" w:eastAsia="仿宋" w:cs="仿宋"/>
          <w:sz w:val="28"/>
          <w:szCs w:val="28"/>
        </w:rPr>
        <w:t>投标项目应在投标人营业执照经营范围内。</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3、投标人公司信誉良好，无违法违规等不良行为，在“信用中国”中未列入联合惩戒失信人名单。</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rPr>
        <w:t>4、法律法规对合格投标人的其他要求、规定。</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5、本项目不允许代理商投标。</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sz w:val="28"/>
          <w:szCs w:val="28"/>
          <w:highlight w:val="none"/>
        </w:rPr>
        <w:t>6、本项目不接受联合体投标。</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b w:val="0"/>
          <w:bCs/>
          <w:sz w:val="28"/>
          <w:szCs w:val="28"/>
        </w:rPr>
      </w:pPr>
      <w:bookmarkStart w:id="4" w:name="_Toc116872028"/>
      <w:r>
        <w:rPr>
          <w:rFonts w:hint="eastAsia" w:ascii="仿宋" w:hAnsi="仿宋" w:eastAsia="仿宋" w:cs="仿宋"/>
          <w:color w:val="000000"/>
          <w:sz w:val="28"/>
          <w:szCs w:val="28"/>
          <w:highlight w:val="none"/>
          <w:lang w:val="en-US" w:eastAsia="zh-CN"/>
        </w:rPr>
        <w:t>7、</w:t>
      </w:r>
      <w:r>
        <w:rPr>
          <w:rFonts w:hint="eastAsia" w:ascii="仿宋" w:hAnsi="仿宋" w:eastAsia="仿宋" w:cs="仿宋"/>
          <w:b w:val="0"/>
          <w:bCs/>
          <w:sz w:val="28"/>
          <w:szCs w:val="28"/>
        </w:rPr>
        <w:t>付款条件</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b w:val="0"/>
          <w:bCs/>
          <w:kern w:val="0"/>
          <w:sz w:val="28"/>
          <w:szCs w:val="28"/>
        </w:rPr>
      </w:pPr>
      <w:r>
        <w:rPr>
          <w:rFonts w:hint="eastAsia" w:ascii="仿宋" w:hAnsi="仿宋" w:eastAsia="仿宋" w:cs="仿宋"/>
          <w:b w:val="0"/>
          <w:bCs/>
          <w:color w:val="000000" w:themeColor="text1"/>
          <w:sz w:val="28"/>
          <w:szCs w:val="28"/>
          <w:lang w:val="en-US" w:eastAsia="zh-CN"/>
          <w14:textFill>
            <w14:solidFill>
              <w14:schemeClr w14:val="tx1"/>
            </w14:solidFill>
          </w14:textFill>
        </w:rPr>
        <w:t>7.1</w:t>
      </w:r>
      <w:r>
        <w:rPr>
          <w:rFonts w:hint="eastAsia" w:ascii="仿宋" w:hAnsi="仿宋" w:eastAsia="仿宋" w:cs="仿宋"/>
          <w:b w:val="0"/>
          <w:bCs/>
          <w:color w:val="000000" w:themeColor="text1"/>
          <w:sz w:val="28"/>
          <w:szCs w:val="28"/>
          <w14:textFill>
            <w14:solidFill>
              <w14:schemeClr w14:val="tx1"/>
            </w14:solidFill>
          </w14:textFill>
        </w:rPr>
        <w:t>月度根据合同要求及业务发生情况进行费用核算</w:t>
      </w:r>
      <w:r>
        <w:rPr>
          <w:rFonts w:hint="eastAsia" w:ascii="仿宋" w:hAnsi="仿宋" w:eastAsia="仿宋" w:cs="仿宋"/>
          <w:b w:val="0"/>
          <w:bCs/>
          <w:kern w:val="0"/>
          <w:sz w:val="28"/>
          <w:szCs w:val="28"/>
        </w:rPr>
        <w:t>。</w:t>
      </w:r>
      <w:r>
        <w:rPr>
          <w:rFonts w:hint="eastAsia" w:ascii="仿宋" w:hAnsi="仿宋" w:eastAsia="仿宋" w:cs="仿宋"/>
          <w:b w:val="0"/>
          <w:bCs/>
          <w:color w:val="000000" w:themeColor="text1"/>
          <w:sz w:val="28"/>
          <w:szCs w:val="28"/>
          <w14:textFill>
            <w14:solidFill>
              <w14:schemeClr w14:val="tx1"/>
            </w14:solidFill>
          </w14:textFill>
        </w:rPr>
        <w:t>开据增值税</w:t>
      </w:r>
      <w:r>
        <w:rPr>
          <w:rFonts w:hint="eastAsia" w:ascii="仿宋" w:hAnsi="仿宋" w:eastAsia="仿宋" w:cs="仿宋"/>
          <w:b w:val="0"/>
          <w:bCs/>
          <w:color w:val="000000" w:themeColor="text1"/>
          <w:sz w:val="28"/>
          <w:szCs w:val="28"/>
          <w:lang w:val="en-US" w:eastAsia="zh-CN"/>
          <w14:textFill>
            <w14:solidFill>
              <w14:schemeClr w14:val="tx1"/>
            </w14:solidFill>
          </w14:textFill>
        </w:rPr>
        <w:t>专用</w:t>
      </w:r>
      <w:r>
        <w:rPr>
          <w:rFonts w:hint="eastAsia" w:ascii="仿宋" w:hAnsi="仿宋" w:eastAsia="仿宋" w:cs="仿宋"/>
          <w:b w:val="0"/>
          <w:bCs/>
          <w:color w:val="000000" w:themeColor="text1"/>
          <w:sz w:val="28"/>
          <w:szCs w:val="28"/>
          <w14:textFill>
            <w14:solidFill>
              <w14:schemeClr w14:val="tx1"/>
            </w14:solidFill>
          </w14:textFill>
        </w:rPr>
        <w:t>发票后进行挂账结算。</w:t>
      </w:r>
    </w:p>
    <w:p>
      <w:pPr>
        <w:pStyle w:val="2"/>
        <w:pageBreakBefore w:val="0"/>
        <w:widowControl w:val="0"/>
        <w:kinsoku/>
        <w:wordWrap/>
        <w:overflowPunct/>
        <w:topLinePunct w:val="0"/>
        <w:bidi w:val="0"/>
        <w:snapToGrid/>
        <w:ind w:firstLine="560" w:firstLineChars="200"/>
        <w:textAlignment w:val="auto"/>
        <w:rPr>
          <w:rFonts w:hint="default" w:eastAsia="仿宋"/>
          <w:sz w:val="28"/>
          <w:szCs w:val="28"/>
          <w:lang w:val="en-US" w:eastAsia="zh-CN"/>
        </w:rPr>
      </w:pPr>
      <w:r>
        <w:rPr>
          <w:rFonts w:hint="eastAsia" w:ascii="仿宋" w:hAnsi="仿宋" w:eastAsia="仿宋" w:cs="仿宋"/>
          <w:b w:val="0"/>
          <w:bCs/>
          <w:kern w:val="0"/>
          <w:sz w:val="28"/>
          <w:szCs w:val="28"/>
          <w:lang w:val="en-US" w:eastAsia="zh-CN"/>
        </w:rPr>
        <w:t>7.2</w:t>
      </w:r>
      <w:r>
        <w:rPr>
          <w:rFonts w:hint="eastAsia" w:ascii="仿宋" w:hAnsi="仿宋" w:eastAsia="仿宋" w:cs="仿宋"/>
          <w:b w:val="0"/>
          <w:bCs/>
          <w:kern w:val="0"/>
          <w:sz w:val="28"/>
          <w:szCs w:val="28"/>
        </w:rPr>
        <w:t>支付方式：挂账次月以半年期商业汇票（包括银行承兑汇票和商承承兑汇票）支付</w:t>
      </w:r>
      <w:r>
        <w:rPr>
          <w:rFonts w:hint="eastAsia" w:ascii="仿宋" w:hAnsi="仿宋" w:eastAsia="仿宋" w:cs="仿宋"/>
          <w:b w:val="0"/>
          <w:bCs/>
          <w:kern w:val="0"/>
          <w:sz w:val="28"/>
          <w:szCs w:val="28"/>
          <w:lang w:eastAsia="zh-CN"/>
        </w:rPr>
        <w:t>。</w:t>
      </w:r>
    </w:p>
    <w:p>
      <w:pPr>
        <w:pStyle w:val="5"/>
        <w:pageBreakBefore w:val="0"/>
        <w:widowControl w:val="0"/>
        <w:numPr>
          <w:ilvl w:val="0"/>
          <w:numId w:val="0"/>
        </w:numPr>
        <w:kinsoku/>
        <w:wordWrap/>
        <w:overflowPunct/>
        <w:topLinePunct w:val="0"/>
        <w:bidi w:val="0"/>
        <w:snapToGrid/>
        <w:spacing w:line="240" w:lineRule="auto"/>
        <w:ind w:firstLine="562" w:firstLineChars="200"/>
        <w:textAlignment w:val="auto"/>
        <w:rPr>
          <w:rFonts w:hint="eastAsia" w:ascii="仿宋" w:hAnsi="仿宋" w:eastAsia="仿宋" w:cs="仿宋"/>
          <w:b/>
          <w:color w:val="000000"/>
          <w:kern w:val="2"/>
          <w:sz w:val="28"/>
          <w:szCs w:val="28"/>
          <w:highlight w:val="none"/>
          <w:lang w:val="en-US" w:eastAsia="zh-CN" w:bidi="ar-SA"/>
        </w:rPr>
      </w:pPr>
      <w:bookmarkStart w:id="5" w:name="_Toc26561"/>
      <w:r>
        <w:rPr>
          <w:rFonts w:hint="eastAsia" w:ascii="仿宋" w:hAnsi="仿宋" w:eastAsia="仿宋" w:cs="仿宋"/>
          <w:b/>
          <w:color w:val="000000"/>
          <w:kern w:val="2"/>
          <w:sz w:val="28"/>
          <w:szCs w:val="28"/>
          <w:highlight w:val="none"/>
          <w:lang w:val="en-US" w:eastAsia="zh-CN" w:bidi="ar-SA"/>
        </w:rPr>
        <w:t>三、招标形式</w:t>
      </w:r>
      <w:bookmarkEnd w:id="5"/>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招标形式：</w:t>
      </w:r>
      <w:r>
        <w:rPr>
          <w:rFonts w:hint="eastAsia" w:ascii="仿宋" w:hAnsi="仿宋" w:eastAsia="仿宋" w:cs="仿宋"/>
          <w:sz w:val="28"/>
          <w:szCs w:val="28"/>
          <w:highlight w:val="none"/>
          <w:lang w:eastAsia="zh-CN"/>
        </w:rPr>
        <w:t>公开</w:t>
      </w:r>
      <w:r>
        <w:rPr>
          <w:rFonts w:hint="eastAsia" w:ascii="仿宋" w:hAnsi="仿宋" w:eastAsia="仿宋" w:cs="仿宋"/>
          <w:sz w:val="28"/>
          <w:szCs w:val="28"/>
          <w:highlight w:val="none"/>
        </w:rPr>
        <w:t>招标</w:t>
      </w:r>
      <w:r>
        <w:rPr>
          <w:rFonts w:hint="eastAsia" w:ascii="仿宋" w:hAnsi="仿宋" w:eastAsia="仿宋" w:cs="仿宋"/>
          <w:sz w:val="28"/>
          <w:szCs w:val="28"/>
          <w:highlight w:val="none"/>
          <w:lang w:eastAsia="zh-CN"/>
        </w:rPr>
        <w:t>。</w:t>
      </w:r>
      <w:bookmarkStart w:id="6" w:name="_Toc31798"/>
    </w:p>
    <w:p>
      <w:pPr>
        <w:pStyle w:val="11"/>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b/>
          <w:bCs/>
          <w:sz w:val="28"/>
          <w:szCs w:val="28"/>
        </w:rPr>
      </w:pPr>
      <w:r>
        <w:rPr>
          <w:rFonts w:hint="eastAsia" w:ascii="仿宋" w:hAnsi="仿宋" w:eastAsia="仿宋" w:cs="仿宋"/>
          <w:b/>
          <w:color w:val="000000"/>
          <w:kern w:val="2"/>
          <w:sz w:val="28"/>
          <w:szCs w:val="28"/>
          <w:highlight w:val="none"/>
          <w:lang w:val="en-US" w:eastAsia="zh-CN" w:bidi="ar-SA"/>
        </w:rPr>
        <w:t>四、</w:t>
      </w:r>
      <w:bookmarkEnd w:id="6"/>
      <w:r>
        <w:rPr>
          <w:rFonts w:hint="eastAsia" w:ascii="仿宋" w:hAnsi="仿宋" w:eastAsia="仿宋" w:cs="仿宋"/>
          <w:b/>
          <w:bCs/>
          <w:sz w:val="28"/>
          <w:szCs w:val="28"/>
        </w:rPr>
        <w:t>报名方式</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highlight w:val="none"/>
        </w:rPr>
      </w:pPr>
      <w:r>
        <w:rPr>
          <w:rFonts w:hint="eastAsia" w:ascii="仿宋" w:hAnsi="仿宋" w:eastAsia="仿宋" w:cs="仿宋"/>
          <w:sz w:val="28"/>
          <w:szCs w:val="28"/>
        </w:rPr>
        <w:t>1.时间：</w:t>
      </w:r>
      <w:r>
        <w:rPr>
          <w:rFonts w:hint="eastAsia" w:ascii="仿宋" w:hAnsi="仿宋" w:eastAsia="仿宋" w:cs="仿宋"/>
          <w:color w:val="auto"/>
          <w:sz w:val="28"/>
          <w:szCs w:val="28"/>
          <w:highlight w:val="none"/>
        </w:rPr>
        <w:t>202</w:t>
      </w:r>
      <w:r>
        <w:rPr>
          <w:rFonts w:hint="eastAsia" w:ascii="仿宋" w:hAnsi="仿宋" w:eastAsia="仿宋" w:cs="仿宋"/>
          <w:color w:val="auto"/>
          <w:sz w:val="28"/>
          <w:szCs w:val="28"/>
          <w:highlight w:val="none"/>
          <w:lang w:val="en-US" w:eastAsia="zh-CN"/>
        </w:rPr>
        <w:t>6</w:t>
      </w:r>
      <w:r>
        <w:rPr>
          <w:rFonts w:hint="eastAsia" w:ascii="仿宋" w:hAnsi="仿宋" w:eastAsia="仿宋" w:cs="仿宋"/>
          <w:color w:val="auto"/>
          <w:sz w:val="28"/>
          <w:szCs w:val="28"/>
          <w:highlight w:val="none"/>
        </w:rPr>
        <w:t>年</w:t>
      </w:r>
      <w:r>
        <w:rPr>
          <w:rFonts w:hint="eastAsia" w:ascii="仿宋" w:hAnsi="仿宋" w:eastAsia="仿宋" w:cs="仿宋"/>
          <w:color w:val="auto"/>
          <w:sz w:val="28"/>
          <w:szCs w:val="28"/>
          <w:highlight w:val="none"/>
          <w:lang w:val="en-US" w:eastAsia="zh-CN"/>
        </w:rPr>
        <w:t>1</w:t>
      </w:r>
      <w:r>
        <w:rPr>
          <w:rFonts w:hint="eastAsia" w:ascii="仿宋" w:hAnsi="仿宋" w:eastAsia="仿宋" w:cs="仿宋"/>
          <w:color w:val="auto"/>
          <w:sz w:val="28"/>
          <w:szCs w:val="28"/>
          <w:highlight w:val="none"/>
        </w:rPr>
        <w:t>月</w:t>
      </w:r>
      <w:r>
        <w:rPr>
          <w:rFonts w:hint="eastAsia" w:ascii="仿宋" w:hAnsi="仿宋" w:eastAsia="仿宋" w:cs="仿宋"/>
          <w:color w:val="auto"/>
          <w:sz w:val="28"/>
          <w:szCs w:val="28"/>
          <w:highlight w:val="none"/>
          <w:lang w:val="en-US" w:eastAsia="zh-CN"/>
        </w:rPr>
        <w:t>12</w:t>
      </w:r>
      <w:r>
        <w:rPr>
          <w:rFonts w:hint="eastAsia" w:ascii="仿宋" w:hAnsi="仿宋" w:eastAsia="仿宋" w:cs="仿宋"/>
          <w:color w:val="auto"/>
          <w:sz w:val="28"/>
          <w:szCs w:val="28"/>
          <w:highlight w:val="none"/>
        </w:rPr>
        <w:t>日</w:t>
      </w:r>
      <w:r>
        <w:rPr>
          <w:rFonts w:hint="eastAsia" w:ascii="仿宋" w:hAnsi="仿宋" w:eastAsia="仿宋" w:cs="仿宋"/>
          <w:color w:val="auto"/>
          <w:sz w:val="28"/>
          <w:szCs w:val="28"/>
          <w:highlight w:val="none"/>
          <w:lang w:val="en-US" w:eastAsia="zh-CN"/>
        </w:rPr>
        <w:t>17</w:t>
      </w:r>
      <w:r>
        <w:rPr>
          <w:rFonts w:hint="eastAsia" w:ascii="仿宋" w:hAnsi="仿宋" w:eastAsia="仿宋" w:cs="仿宋"/>
          <w:color w:val="auto"/>
          <w:sz w:val="28"/>
          <w:szCs w:val="28"/>
          <w:highlight w:val="none"/>
        </w:rPr>
        <w:t>点前。</w:t>
      </w:r>
    </w:p>
    <w:p>
      <w:pPr>
        <w:pStyle w:val="3"/>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rPr>
        <w:t>2.方式：招标人首先对投标报名单位进行资格审核，对于资格审核通过的投标人，招标人将本项目招标书电子版，以电子邮件的形式发送至邮箱（zhangwenbin@sinotruk.com），招标人不对投标人能否通过电子邮箱正确或及时接收相关邮件负责，招标人邮件发出即视为送达。</w:t>
      </w:r>
    </w:p>
    <w:p>
      <w:pPr>
        <w:pStyle w:val="11"/>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b/>
          <w:color w:val="000000"/>
          <w:sz w:val="28"/>
          <w:szCs w:val="28"/>
          <w:highlight w:val="none"/>
        </w:rPr>
      </w:pPr>
      <w:r>
        <w:rPr>
          <w:rFonts w:hint="eastAsia" w:ascii="仿宋" w:hAnsi="仿宋" w:eastAsia="仿宋" w:cs="仿宋"/>
          <w:b/>
          <w:color w:val="000000"/>
          <w:sz w:val="28"/>
          <w:szCs w:val="28"/>
          <w:highlight w:val="none"/>
          <w:lang w:val="en-US" w:eastAsia="zh-CN"/>
        </w:rPr>
        <w:t>五、</w:t>
      </w:r>
      <w:r>
        <w:rPr>
          <w:rFonts w:hint="eastAsia" w:ascii="仿宋" w:hAnsi="仿宋" w:eastAsia="仿宋" w:cs="仿宋"/>
          <w:b/>
          <w:color w:val="000000"/>
          <w:sz w:val="28"/>
          <w:szCs w:val="28"/>
          <w:highlight w:val="none"/>
        </w:rPr>
        <w:t>议程安排:</w:t>
      </w:r>
      <w:bookmarkEnd w:id="4"/>
      <w:bookmarkStart w:id="7" w:name="_Toc116872029"/>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rPr>
        <w:t>1</w:t>
      </w:r>
      <w:r>
        <w:rPr>
          <w:rFonts w:hint="eastAsia" w:ascii="仿宋" w:hAnsi="仿宋" w:eastAsia="仿宋" w:cs="仿宋"/>
          <w:color w:val="000000"/>
          <w:sz w:val="28"/>
          <w:szCs w:val="28"/>
          <w:highlight w:val="none"/>
          <w:lang w:eastAsia="zh-CN"/>
        </w:rPr>
        <w:t>、</w:t>
      </w:r>
      <w:r>
        <w:rPr>
          <w:rFonts w:hint="eastAsia" w:ascii="仿宋" w:hAnsi="仿宋" w:eastAsia="仿宋" w:cs="仿宋"/>
          <w:color w:val="000000"/>
          <w:sz w:val="28"/>
          <w:szCs w:val="28"/>
          <w:highlight w:val="none"/>
        </w:rPr>
        <w:t>发标时间： 202</w:t>
      </w: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12</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30</w:t>
      </w:r>
      <w:r>
        <w:rPr>
          <w:rFonts w:hint="eastAsia" w:ascii="仿宋" w:hAnsi="仿宋" w:eastAsia="仿宋" w:cs="仿宋"/>
          <w:color w:val="000000"/>
          <w:sz w:val="28"/>
          <w:szCs w:val="28"/>
          <w:highlight w:val="none"/>
        </w:rPr>
        <w:t>日</w:t>
      </w:r>
      <w:bookmarkEnd w:id="7"/>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2、</w:t>
      </w:r>
      <w:r>
        <w:rPr>
          <w:rFonts w:hint="eastAsia" w:ascii="仿宋" w:hAnsi="仿宋" w:eastAsia="仿宋" w:cs="仿宋"/>
          <w:color w:val="000000"/>
          <w:sz w:val="28"/>
          <w:szCs w:val="28"/>
          <w:highlight w:val="none"/>
        </w:rPr>
        <w:t>发标地点： 中国重</w:t>
      </w:r>
      <w:bookmarkStart w:id="52" w:name="_GoBack"/>
      <w:bookmarkEnd w:id="52"/>
      <w:r>
        <w:rPr>
          <w:rFonts w:hint="eastAsia" w:ascii="仿宋" w:hAnsi="仿宋" w:eastAsia="仿宋" w:cs="仿宋"/>
          <w:color w:val="000000"/>
          <w:sz w:val="28"/>
          <w:szCs w:val="28"/>
          <w:highlight w:val="none"/>
        </w:rPr>
        <w:t>汽集团济南专用车有限公司</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u w:val="single"/>
        </w:rPr>
      </w:pPr>
      <w:r>
        <w:rPr>
          <w:rFonts w:hint="eastAsia" w:ascii="仿宋" w:hAnsi="仿宋" w:eastAsia="仿宋" w:cs="仿宋"/>
          <w:color w:val="000000"/>
          <w:sz w:val="28"/>
          <w:szCs w:val="28"/>
          <w:highlight w:val="none"/>
          <w:lang w:val="en-US" w:eastAsia="zh-CN"/>
        </w:rPr>
        <w:t>3、</w:t>
      </w:r>
      <w:r>
        <w:rPr>
          <w:rFonts w:hint="eastAsia" w:ascii="仿宋" w:hAnsi="仿宋" w:eastAsia="仿宋" w:cs="仿宋"/>
          <w:color w:val="000000"/>
          <w:sz w:val="28"/>
          <w:szCs w:val="28"/>
          <w:highlight w:val="none"/>
        </w:rPr>
        <w:t>答疑时间：自发标之日起至202</w:t>
      </w:r>
      <w:r>
        <w:rPr>
          <w:rFonts w:hint="eastAsia" w:ascii="仿宋" w:hAnsi="仿宋" w:eastAsia="仿宋" w:cs="仿宋"/>
          <w:color w:val="000000"/>
          <w:sz w:val="28"/>
          <w:szCs w:val="28"/>
          <w:highlight w:val="none"/>
          <w:lang w:val="en-US" w:eastAsia="zh-CN"/>
        </w:rPr>
        <w:t>6</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13</w:t>
      </w:r>
      <w:r>
        <w:rPr>
          <w:rFonts w:hint="eastAsia" w:ascii="仿宋" w:hAnsi="仿宋" w:eastAsia="仿宋" w:cs="仿宋"/>
          <w:color w:val="000000"/>
          <w:sz w:val="28"/>
          <w:szCs w:val="28"/>
          <w:highlight w:val="none"/>
        </w:rPr>
        <w:t>日止</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4、</w:t>
      </w:r>
      <w:r>
        <w:rPr>
          <w:rFonts w:hint="eastAsia" w:ascii="仿宋" w:hAnsi="仿宋" w:eastAsia="仿宋" w:cs="仿宋"/>
          <w:color w:val="000000"/>
          <w:sz w:val="28"/>
          <w:szCs w:val="28"/>
          <w:highlight w:val="none"/>
        </w:rPr>
        <w:t>标书送达截止时间：202</w:t>
      </w:r>
      <w:r>
        <w:rPr>
          <w:rFonts w:hint="eastAsia" w:ascii="仿宋" w:hAnsi="仿宋" w:eastAsia="仿宋" w:cs="仿宋"/>
          <w:color w:val="000000"/>
          <w:sz w:val="28"/>
          <w:szCs w:val="28"/>
          <w:highlight w:val="none"/>
          <w:lang w:val="en-US" w:eastAsia="zh-CN"/>
        </w:rPr>
        <w:t>6</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14</w:t>
      </w:r>
      <w:r>
        <w:rPr>
          <w:rFonts w:hint="eastAsia" w:ascii="仿宋" w:hAnsi="仿宋" w:eastAsia="仿宋" w:cs="仿宋"/>
          <w:color w:val="000000"/>
          <w:sz w:val="28"/>
          <w:szCs w:val="28"/>
          <w:highlight w:val="none"/>
        </w:rPr>
        <w:t>日上午</w:t>
      </w:r>
      <w:r>
        <w:rPr>
          <w:rFonts w:hint="eastAsia" w:ascii="仿宋" w:hAnsi="仿宋" w:eastAsia="仿宋" w:cs="仿宋"/>
          <w:color w:val="000000"/>
          <w:sz w:val="28"/>
          <w:szCs w:val="28"/>
          <w:highlight w:val="none"/>
          <w:lang w:val="en-US" w:eastAsia="zh-CN"/>
        </w:rPr>
        <w:t>8</w:t>
      </w:r>
      <w:r>
        <w:rPr>
          <w:rFonts w:hint="eastAsia" w:ascii="仿宋" w:hAnsi="仿宋" w:eastAsia="仿宋" w:cs="仿宋"/>
          <w:color w:val="000000"/>
          <w:sz w:val="28"/>
          <w:szCs w:val="28"/>
          <w:highlight w:val="none"/>
        </w:rPr>
        <w:t>：30，对于逾期的投标文件招标人将不予受理。</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开标、谈判时间及地点： 202</w:t>
      </w:r>
      <w:r>
        <w:rPr>
          <w:rFonts w:hint="eastAsia" w:ascii="仿宋" w:hAnsi="仿宋" w:eastAsia="仿宋" w:cs="仿宋"/>
          <w:color w:val="000000"/>
          <w:sz w:val="28"/>
          <w:szCs w:val="28"/>
          <w:highlight w:val="none"/>
          <w:lang w:val="en-US" w:eastAsia="zh-CN"/>
        </w:rPr>
        <w:t>6</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14</w:t>
      </w:r>
      <w:r>
        <w:rPr>
          <w:rFonts w:hint="eastAsia" w:ascii="仿宋" w:hAnsi="仿宋" w:eastAsia="仿宋" w:cs="仿宋"/>
          <w:color w:val="000000"/>
          <w:sz w:val="28"/>
          <w:szCs w:val="28"/>
          <w:highlight w:val="none"/>
        </w:rPr>
        <w:t>日</w:t>
      </w:r>
      <w:r>
        <w:rPr>
          <w:rFonts w:hint="eastAsia" w:ascii="仿宋" w:hAnsi="仿宋" w:eastAsia="仿宋" w:cs="仿宋"/>
          <w:color w:val="000000"/>
          <w:sz w:val="28"/>
          <w:szCs w:val="28"/>
          <w:highlight w:val="none"/>
          <w:lang w:val="en-US" w:eastAsia="zh-CN"/>
        </w:rPr>
        <w:t>上</w:t>
      </w:r>
      <w:r>
        <w:rPr>
          <w:rFonts w:hint="eastAsia" w:ascii="仿宋" w:hAnsi="仿宋" w:eastAsia="仿宋" w:cs="仿宋"/>
          <w:color w:val="000000"/>
          <w:sz w:val="28"/>
          <w:szCs w:val="28"/>
          <w:highlight w:val="none"/>
        </w:rPr>
        <w:t>午</w:t>
      </w:r>
      <w:r>
        <w:rPr>
          <w:rFonts w:hint="eastAsia" w:ascii="仿宋" w:hAnsi="仿宋" w:eastAsia="仿宋" w:cs="仿宋"/>
          <w:color w:val="000000"/>
          <w:sz w:val="28"/>
          <w:szCs w:val="28"/>
          <w:highlight w:val="none"/>
          <w:lang w:val="en-US" w:eastAsia="zh-CN"/>
        </w:rPr>
        <w:t>9</w:t>
      </w:r>
      <w:r>
        <w:rPr>
          <w:rFonts w:hint="eastAsia" w:ascii="仿宋" w:hAnsi="仿宋" w:eastAsia="仿宋" w:cs="仿宋"/>
          <w:color w:val="000000"/>
          <w:sz w:val="28"/>
          <w:szCs w:val="28"/>
          <w:highlight w:val="none"/>
        </w:rPr>
        <w:t>：</w:t>
      </w:r>
      <w:r>
        <w:rPr>
          <w:rFonts w:hint="eastAsia" w:ascii="仿宋" w:hAnsi="仿宋" w:eastAsia="仿宋" w:cs="仿宋"/>
          <w:color w:val="000000"/>
          <w:sz w:val="28"/>
          <w:szCs w:val="28"/>
          <w:highlight w:val="none"/>
          <w:lang w:val="en-US" w:eastAsia="zh-CN"/>
        </w:rPr>
        <w:t>0</w:t>
      </w:r>
      <w:r>
        <w:rPr>
          <w:rFonts w:hint="eastAsia" w:ascii="仿宋" w:hAnsi="仿宋" w:eastAsia="仿宋" w:cs="仿宋"/>
          <w:color w:val="000000"/>
          <w:sz w:val="28"/>
          <w:szCs w:val="28"/>
          <w:highlight w:val="none"/>
        </w:rPr>
        <w:t>0，中国重</w:t>
      </w:r>
      <w:r>
        <w:rPr>
          <w:rFonts w:hint="eastAsia" w:ascii="仿宋" w:hAnsi="仿宋" w:eastAsia="仿宋" w:cs="仿宋"/>
          <w:color w:val="000000"/>
          <w:sz w:val="28"/>
          <w:szCs w:val="28"/>
        </w:rPr>
        <w:t>汽集团济南专用车有限公司</w:t>
      </w:r>
      <w:r>
        <w:rPr>
          <w:rFonts w:hint="eastAsia" w:ascii="仿宋" w:hAnsi="仿宋" w:eastAsia="仿宋" w:cs="仿宋"/>
          <w:color w:val="auto"/>
          <w:sz w:val="28"/>
          <w:szCs w:val="28"/>
          <w:lang w:val="en-US" w:eastAsia="zh-CN"/>
        </w:rPr>
        <w:t>106</w:t>
      </w:r>
      <w:r>
        <w:rPr>
          <w:rFonts w:hint="eastAsia" w:ascii="仿宋" w:hAnsi="仿宋" w:eastAsia="仿宋" w:cs="仿宋"/>
          <w:color w:val="auto"/>
          <w:sz w:val="28"/>
          <w:szCs w:val="28"/>
        </w:rPr>
        <w:t>会议室（办公楼</w:t>
      </w:r>
      <w:r>
        <w:rPr>
          <w:rFonts w:hint="eastAsia" w:ascii="仿宋" w:hAnsi="仿宋" w:eastAsia="仿宋" w:cs="仿宋"/>
          <w:color w:val="auto"/>
          <w:sz w:val="28"/>
          <w:szCs w:val="28"/>
          <w:lang w:val="en-US" w:eastAsia="zh-CN"/>
        </w:rPr>
        <w:t>二</w:t>
      </w:r>
      <w:r>
        <w:rPr>
          <w:rFonts w:hint="eastAsia" w:ascii="仿宋" w:hAnsi="仿宋" w:eastAsia="仿宋" w:cs="仿宋"/>
          <w:color w:val="auto"/>
          <w:sz w:val="28"/>
          <w:szCs w:val="28"/>
        </w:rPr>
        <w:t>楼）。</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    址： 济南市章丘区枣园街道潘王路17668号</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电    话： 0531-58064393</w:t>
      </w:r>
    </w:p>
    <w:p>
      <w:pPr>
        <w:pStyle w:val="4"/>
        <w:jc w:val="both"/>
        <w:rPr>
          <w:rFonts w:hint="eastAsia"/>
        </w:rPr>
      </w:pPr>
      <w:bookmarkStart w:id="8" w:name="_Toc37421124"/>
      <w:bookmarkStart w:id="9" w:name="_Toc37421051"/>
      <w:bookmarkStart w:id="10" w:name="_Toc25195"/>
    </w:p>
    <w:p>
      <w:pPr>
        <w:pStyle w:val="4"/>
        <w:rPr>
          <w:rFonts w:hint="eastAsia"/>
        </w:rPr>
      </w:pPr>
    </w:p>
    <w:p>
      <w:pPr>
        <w:pStyle w:val="4"/>
        <w:rPr>
          <w:color w:val="000000"/>
          <w:szCs w:val="36"/>
        </w:rPr>
      </w:pPr>
      <w:r>
        <w:rPr>
          <w:rFonts w:hint="eastAsia"/>
        </w:rPr>
        <w:t>第</w:t>
      </w:r>
      <w:r>
        <w:rPr>
          <w:rFonts w:hint="eastAsia"/>
          <w:lang w:val="en-US" w:eastAsia="zh-CN"/>
        </w:rPr>
        <w:t>2</w:t>
      </w:r>
      <w:r>
        <w:rPr>
          <w:rFonts w:hint="eastAsia"/>
        </w:rPr>
        <w:t>章 投标方须知</w:t>
      </w:r>
      <w:bookmarkEnd w:id="8"/>
      <w:bookmarkEnd w:id="9"/>
      <w:bookmarkEnd w:id="10"/>
      <w:bookmarkStart w:id="11" w:name="_Toc509284557"/>
      <w:bookmarkStart w:id="12" w:name="_Toc508095324"/>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b/>
          <w:color w:val="000000"/>
          <w:sz w:val="30"/>
          <w:szCs w:val="30"/>
        </w:rPr>
      </w:pPr>
      <w:r>
        <w:rPr>
          <w:rFonts w:hint="eastAsia" w:ascii="仿宋" w:hAnsi="仿宋" w:eastAsia="仿宋" w:cs="仿宋"/>
          <w:color w:val="000000"/>
          <w:sz w:val="30"/>
          <w:szCs w:val="30"/>
        </w:rPr>
        <w:t>1、投标方应详细阅读招标文件的全部内容，未按招标文件要求提供投标文件和资料，招标方将拒绝投标方的投标。</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2、投标书的组成</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highlight w:val="none"/>
        </w:rPr>
      </w:pPr>
      <w:r>
        <w:rPr>
          <w:rFonts w:hint="eastAsia" w:ascii="仿宋" w:hAnsi="仿宋" w:eastAsia="仿宋" w:cs="仿宋"/>
          <w:b/>
          <w:bCs/>
          <w:sz w:val="30"/>
          <w:szCs w:val="30"/>
        </w:rPr>
        <w:t>投标人的投标文件由资格证明文件、</w:t>
      </w:r>
      <w:r>
        <w:rPr>
          <w:rFonts w:hint="eastAsia" w:ascii="仿宋" w:hAnsi="仿宋" w:eastAsia="仿宋" w:cs="仿宋"/>
          <w:b/>
          <w:bCs/>
          <w:sz w:val="30"/>
          <w:szCs w:val="30"/>
          <w:lang w:val="en-US" w:eastAsia="zh-CN"/>
        </w:rPr>
        <w:t>技术标、</w:t>
      </w:r>
      <w:r>
        <w:rPr>
          <w:rFonts w:hint="eastAsia" w:ascii="仿宋" w:hAnsi="仿宋" w:eastAsia="仿宋" w:cs="仿宋"/>
          <w:b/>
          <w:bCs/>
          <w:sz w:val="30"/>
          <w:szCs w:val="30"/>
          <w:highlight w:val="none"/>
        </w:rPr>
        <w:t>商务标</w:t>
      </w:r>
      <w:r>
        <w:rPr>
          <w:rFonts w:hint="eastAsia" w:ascii="仿宋" w:hAnsi="仿宋" w:eastAsia="仿宋" w:cs="仿宋"/>
          <w:b/>
          <w:bCs/>
          <w:sz w:val="30"/>
          <w:szCs w:val="30"/>
          <w:highlight w:val="none"/>
          <w:lang w:val="en-US" w:eastAsia="zh-CN"/>
        </w:rPr>
        <w:t>标书</w:t>
      </w:r>
      <w:r>
        <w:rPr>
          <w:rFonts w:hint="eastAsia" w:ascii="仿宋" w:hAnsi="仿宋" w:eastAsia="仿宋" w:cs="仿宋"/>
          <w:b/>
          <w:bCs/>
          <w:sz w:val="30"/>
          <w:szCs w:val="30"/>
          <w:highlight w:val="none"/>
        </w:rPr>
        <w:t>共</w:t>
      </w:r>
      <w:r>
        <w:rPr>
          <w:rFonts w:hint="eastAsia" w:ascii="仿宋" w:hAnsi="仿宋" w:eastAsia="仿宋" w:cs="仿宋"/>
          <w:b/>
          <w:bCs/>
          <w:sz w:val="30"/>
          <w:szCs w:val="30"/>
          <w:highlight w:val="none"/>
          <w:lang w:val="en-US" w:eastAsia="zh-CN"/>
        </w:rPr>
        <w:t>三</w:t>
      </w:r>
      <w:r>
        <w:rPr>
          <w:rFonts w:hint="eastAsia" w:ascii="仿宋" w:hAnsi="仿宋" w:eastAsia="仿宋" w:cs="仿宋"/>
          <w:b/>
          <w:bCs/>
          <w:sz w:val="30"/>
          <w:szCs w:val="30"/>
          <w:highlight w:val="none"/>
        </w:rPr>
        <w:t>部分构成：</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rPr>
      </w:pPr>
      <w:bookmarkStart w:id="13" w:name="_Toc212369516"/>
      <w:r>
        <w:rPr>
          <w:rFonts w:hint="eastAsia" w:ascii="仿宋" w:hAnsi="仿宋" w:eastAsia="仿宋" w:cs="仿宋"/>
          <w:b/>
          <w:bCs/>
          <w:sz w:val="30"/>
          <w:szCs w:val="30"/>
        </w:rPr>
        <w:t>2.1 资格证明文件（要求单独封装）包括：</w:t>
      </w:r>
      <w:bookmarkEnd w:id="13"/>
    </w:p>
    <w:p>
      <w:pPr>
        <w:keepNext w:val="0"/>
        <w:keepLines w:val="0"/>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sz w:val="30"/>
          <w:szCs w:val="30"/>
        </w:rPr>
      </w:pPr>
      <w:r>
        <w:rPr>
          <w:rFonts w:hint="eastAsia" w:ascii="仿宋" w:hAnsi="仿宋" w:eastAsia="仿宋" w:cs="仿宋"/>
          <w:b/>
          <w:bCs/>
          <w:sz w:val="28"/>
          <w:szCs w:val="28"/>
        </w:rPr>
        <w:t>*</w:t>
      </w:r>
      <w:r>
        <w:rPr>
          <w:rFonts w:hint="eastAsia" w:ascii="仿宋" w:hAnsi="仿宋" w:eastAsia="仿宋" w:cs="仿宋"/>
          <w:sz w:val="30"/>
          <w:szCs w:val="30"/>
        </w:rPr>
        <w:t>（1）营业执照副本；（加盖公章）（附件一）</w:t>
      </w:r>
    </w:p>
    <w:p>
      <w:pPr>
        <w:keepNext w:val="0"/>
        <w:keepLines w:val="0"/>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color w:val="auto"/>
          <w:sz w:val="30"/>
          <w:szCs w:val="30"/>
        </w:rPr>
      </w:pPr>
      <w:r>
        <w:rPr>
          <w:rFonts w:hint="eastAsia" w:ascii="仿宋" w:hAnsi="仿宋" w:eastAsia="仿宋" w:cs="仿宋"/>
          <w:b/>
          <w:bCs/>
          <w:color w:val="auto"/>
          <w:sz w:val="28"/>
          <w:szCs w:val="28"/>
        </w:rPr>
        <w:t>*</w:t>
      </w:r>
      <w:r>
        <w:rPr>
          <w:rFonts w:hint="eastAsia" w:ascii="仿宋" w:hAnsi="仿宋" w:eastAsia="仿宋" w:cs="仿宋"/>
          <w:color w:val="auto"/>
          <w:sz w:val="30"/>
          <w:szCs w:val="30"/>
        </w:rPr>
        <w:t>（2）投标文件签署授权委托书（加盖公章）（见附件二）；</w:t>
      </w:r>
    </w:p>
    <w:p>
      <w:pPr>
        <w:keepNext w:val="0"/>
        <w:keepLines w:val="0"/>
        <w:pageBreakBefore w:val="0"/>
        <w:widowControl w:val="0"/>
        <w:tabs>
          <w:tab w:val="left" w:pos="6313"/>
        </w:tabs>
        <w:kinsoku/>
        <w:wordWrap/>
        <w:overflowPunct/>
        <w:topLinePunct w:val="0"/>
        <w:bidi w:val="0"/>
        <w:snapToGrid/>
        <w:spacing w:line="240" w:lineRule="auto"/>
        <w:ind w:firstLine="562" w:firstLineChars="200"/>
        <w:textAlignment w:val="auto"/>
        <w:rPr>
          <w:rFonts w:hint="eastAsia" w:ascii="仿宋" w:hAnsi="仿宋" w:eastAsia="仿宋" w:cs="仿宋"/>
          <w:color w:val="auto"/>
          <w:sz w:val="30"/>
          <w:szCs w:val="30"/>
        </w:rPr>
      </w:pPr>
      <w:r>
        <w:rPr>
          <w:rFonts w:hint="eastAsia" w:ascii="仿宋" w:hAnsi="仿宋" w:eastAsia="仿宋" w:cs="仿宋"/>
          <w:b/>
          <w:bCs/>
          <w:color w:val="auto"/>
          <w:sz w:val="28"/>
          <w:szCs w:val="28"/>
        </w:rPr>
        <w:t>*</w:t>
      </w:r>
      <w:r>
        <w:rPr>
          <w:rFonts w:hint="eastAsia" w:ascii="仿宋" w:hAnsi="仿宋" w:eastAsia="仿宋" w:cs="仿宋"/>
          <w:color w:val="auto"/>
          <w:sz w:val="30"/>
          <w:szCs w:val="30"/>
        </w:rPr>
        <w:t>（3）信用中国截图（加盖公章）；（附件三）</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sz w:val="30"/>
          <w:szCs w:val="30"/>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w:t>
      </w:r>
      <w:r>
        <w:rPr>
          <w:rFonts w:hint="eastAsia" w:ascii="仿宋" w:hAnsi="仿宋" w:eastAsia="仿宋" w:cs="仿宋"/>
          <w:color w:val="auto"/>
          <w:sz w:val="30"/>
          <w:szCs w:val="30"/>
          <w:highlight w:val="none"/>
          <w:lang w:val="en-US" w:eastAsia="zh-CN"/>
        </w:rPr>
        <w:t>四</w:t>
      </w:r>
      <w:r>
        <w:rPr>
          <w:rFonts w:hint="eastAsia" w:ascii="仿宋" w:hAnsi="仿宋" w:eastAsia="仿宋" w:cs="仿宋"/>
          <w:color w:val="auto"/>
          <w:sz w:val="30"/>
          <w:szCs w:val="30"/>
          <w:highlight w:val="none"/>
        </w:rPr>
        <w:t>）；</w:t>
      </w:r>
      <w:r>
        <w:rPr>
          <w:rFonts w:hint="eastAsia" w:ascii="仿宋" w:hAnsi="仿宋" w:eastAsia="仿宋" w:cs="仿宋"/>
          <w:color w:val="auto"/>
          <w:sz w:val="30"/>
          <w:szCs w:val="30"/>
        </w:rPr>
        <w:t>（加盖公章）</w:t>
      </w:r>
      <w:r>
        <w:rPr>
          <w:rFonts w:hint="eastAsia" w:ascii="仿宋" w:hAnsi="仿宋" w:eastAsia="仿宋" w:cs="仿宋"/>
          <w:color w:val="auto"/>
          <w:sz w:val="30"/>
          <w:szCs w:val="30"/>
          <w:highlight w:val="none"/>
        </w:rPr>
        <w:br w:type="textWrapping"/>
      </w:r>
      <w:r>
        <w:rPr>
          <w:rFonts w:hint="eastAsia" w:ascii="仿宋" w:hAnsi="仿宋" w:eastAsia="仿宋" w:cs="仿宋"/>
          <w:color w:val="auto"/>
          <w:sz w:val="30"/>
          <w:szCs w:val="30"/>
          <w:highlight w:val="none"/>
          <w:lang w:val="en-US" w:eastAsia="zh-CN"/>
        </w:rPr>
        <w:t xml:space="preserve">    </w:t>
      </w:r>
      <w:r>
        <w:rPr>
          <w:rFonts w:hint="eastAsia" w:ascii="仿宋" w:hAnsi="仿宋" w:eastAsia="仿宋" w:cs="仿宋"/>
          <w:b/>
          <w:bCs/>
          <w:color w:val="auto"/>
          <w:sz w:val="28"/>
          <w:szCs w:val="28"/>
        </w:rPr>
        <w:t>*</w:t>
      </w:r>
      <w:r>
        <w:rPr>
          <w:rFonts w:hint="eastAsia" w:ascii="仿宋" w:hAnsi="仿宋" w:eastAsia="仿宋" w:cs="仿宋"/>
          <w:color w:val="auto"/>
          <w:sz w:val="30"/>
          <w:szCs w:val="30"/>
          <w:highlight w:val="none"/>
        </w:rPr>
        <w:t>（</w:t>
      </w:r>
      <w:r>
        <w:rPr>
          <w:rFonts w:hint="eastAsia" w:ascii="仿宋" w:hAnsi="仿宋" w:eastAsia="仿宋" w:cs="仿宋"/>
          <w:color w:val="auto"/>
          <w:sz w:val="30"/>
          <w:szCs w:val="30"/>
          <w:highlight w:val="none"/>
          <w:lang w:val="en-US" w:eastAsia="zh-CN"/>
        </w:rPr>
        <w:t>5</w:t>
      </w:r>
      <w:r>
        <w:rPr>
          <w:rFonts w:hint="eastAsia" w:ascii="仿宋" w:hAnsi="仿宋" w:eastAsia="仿宋" w:cs="仿宋"/>
          <w:color w:val="auto"/>
          <w:sz w:val="30"/>
          <w:szCs w:val="30"/>
          <w:highlight w:val="none"/>
        </w:rPr>
        <w:t>）</w:t>
      </w:r>
      <w:r>
        <w:rPr>
          <w:rFonts w:hint="eastAsia" w:ascii="仿宋" w:hAnsi="仿宋" w:eastAsia="仿宋" w:cs="仿宋"/>
          <w:color w:val="auto"/>
          <w:spacing w:val="4"/>
          <w:kern w:val="2"/>
          <w:sz w:val="28"/>
          <w:szCs w:val="28"/>
          <w:lang w:val="en-US" w:eastAsia="zh-CN" w:bidi="ar-SA"/>
        </w:rPr>
        <w:t>投标人具有固体废物处理资格或与具有固体废物处理资格单位签署《接收证明》及《处理协议或合同》</w:t>
      </w:r>
      <w:r>
        <w:rPr>
          <w:rFonts w:hint="eastAsia" w:ascii="仿宋" w:hAnsi="仿宋" w:eastAsia="仿宋" w:cs="仿宋"/>
          <w:color w:val="auto"/>
          <w:sz w:val="30"/>
          <w:szCs w:val="30"/>
          <w:highlight w:val="none"/>
        </w:rPr>
        <w:t>；</w:t>
      </w:r>
      <w:r>
        <w:rPr>
          <w:rFonts w:hint="eastAsia" w:ascii="仿宋" w:hAnsi="仿宋" w:eastAsia="仿宋" w:cs="仿宋"/>
          <w:color w:val="auto"/>
          <w:sz w:val="30"/>
          <w:szCs w:val="30"/>
        </w:rPr>
        <w:t>（加盖公章）（附件</w:t>
      </w:r>
      <w:r>
        <w:rPr>
          <w:rFonts w:hint="eastAsia" w:ascii="仿宋" w:hAnsi="仿宋" w:eastAsia="仿宋" w:cs="仿宋"/>
          <w:color w:val="auto"/>
          <w:sz w:val="30"/>
          <w:szCs w:val="30"/>
          <w:lang w:val="en-US" w:eastAsia="zh-CN"/>
        </w:rPr>
        <w:t>五</w:t>
      </w:r>
      <w:r>
        <w:rPr>
          <w:rFonts w:hint="eastAsia" w:ascii="仿宋" w:hAnsi="仿宋" w:eastAsia="仿宋" w:cs="仿宋"/>
          <w:color w:val="auto"/>
          <w:sz w:val="30"/>
          <w:szCs w:val="30"/>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2" w:firstLineChars="200"/>
        <w:textAlignment w:val="auto"/>
        <w:rPr>
          <w:rFonts w:hint="eastAsia" w:ascii="仿宋" w:hAnsi="仿宋" w:eastAsia="仿宋" w:cs="仿宋"/>
          <w:color w:val="auto"/>
          <w:sz w:val="30"/>
          <w:szCs w:val="30"/>
        </w:rPr>
      </w:pPr>
      <w:r>
        <w:rPr>
          <w:rFonts w:hint="eastAsia" w:ascii="仿宋" w:hAnsi="仿宋" w:eastAsia="仿宋" w:cs="仿宋"/>
          <w:b/>
          <w:bCs/>
          <w:color w:val="auto"/>
          <w:sz w:val="28"/>
          <w:szCs w:val="28"/>
        </w:rPr>
        <w:t>*</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）投标保证金回执截图、保证金收据（附件</w:t>
      </w:r>
      <w:r>
        <w:rPr>
          <w:rFonts w:hint="eastAsia" w:ascii="仿宋" w:hAnsi="仿宋" w:eastAsia="仿宋" w:cs="仿宋"/>
          <w:color w:val="auto"/>
          <w:sz w:val="30"/>
          <w:szCs w:val="30"/>
          <w:lang w:val="en-US" w:eastAsia="zh-CN"/>
        </w:rPr>
        <w:t>六</w:t>
      </w:r>
      <w:r>
        <w:rPr>
          <w:rFonts w:hint="eastAsia" w:ascii="仿宋" w:hAnsi="仿宋" w:eastAsia="仿宋" w:cs="仿宋"/>
          <w:color w:val="auto"/>
          <w:sz w:val="30"/>
          <w:szCs w:val="30"/>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2" w:firstLineChars="200"/>
        <w:textAlignment w:val="auto"/>
        <w:rPr>
          <w:rFonts w:hint="eastAsia" w:ascii="仿宋" w:hAnsi="仿宋" w:eastAsia="仿宋" w:cs="仿宋"/>
          <w:sz w:val="30"/>
          <w:szCs w:val="30"/>
        </w:rPr>
      </w:pPr>
      <w:r>
        <w:rPr>
          <w:rFonts w:hint="eastAsia" w:ascii="仿宋" w:hAnsi="仿宋" w:eastAsia="仿宋" w:cs="仿宋"/>
          <w:b/>
          <w:bCs/>
          <w:color w:val="auto"/>
          <w:sz w:val="28"/>
          <w:szCs w:val="28"/>
        </w:rPr>
        <w:t>*</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7</w:t>
      </w:r>
      <w:r>
        <w:rPr>
          <w:rFonts w:hint="eastAsia" w:ascii="仿宋" w:hAnsi="仿宋" w:eastAsia="仿宋" w:cs="仿宋"/>
          <w:color w:val="auto"/>
          <w:sz w:val="30"/>
          <w:szCs w:val="30"/>
        </w:rPr>
        <w:t>）</w:t>
      </w:r>
      <w:r>
        <w:rPr>
          <w:rFonts w:hint="eastAsia" w:ascii="仿宋" w:hAnsi="仿宋" w:eastAsia="仿宋" w:cs="仿宋"/>
          <w:color w:val="auto"/>
          <w:sz w:val="30"/>
          <w:szCs w:val="30"/>
          <w:highlight w:val="none"/>
        </w:rPr>
        <w:t>企业对外担保说明（写明贵单位对外有无对外担保和质押业务，需加盖公章）</w:t>
      </w:r>
      <w:r>
        <w:rPr>
          <w:rFonts w:hint="eastAsia" w:ascii="仿宋" w:hAnsi="仿宋" w:eastAsia="仿宋" w:cs="仿宋"/>
          <w:color w:val="auto"/>
          <w:sz w:val="30"/>
          <w:szCs w:val="30"/>
        </w:rPr>
        <w:t>（附件</w:t>
      </w:r>
      <w:r>
        <w:rPr>
          <w:rFonts w:hint="eastAsia" w:ascii="仿宋" w:hAnsi="仿宋" w:eastAsia="仿宋" w:cs="仿宋"/>
          <w:color w:val="auto"/>
          <w:sz w:val="30"/>
          <w:szCs w:val="30"/>
          <w:lang w:val="en-US" w:eastAsia="zh-CN"/>
        </w:rPr>
        <w:t>七</w:t>
      </w:r>
      <w:r>
        <w:rPr>
          <w:rFonts w:hint="eastAsia" w:ascii="仿宋" w:hAnsi="仿宋" w:eastAsia="仿宋" w:cs="仿宋"/>
          <w:color w:val="auto"/>
          <w:sz w:val="30"/>
          <w:szCs w:val="30"/>
        </w:rPr>
        <w:t>）</w:t>
      </w:r>
      <w:r>
        <w:rPr>
          <w:rFonts w:hint="eastAsia" w:ascii="仿宋" w:hAnsi="仿宋" w:eastAsia="仿宋" w:cs="仿宋"/>
          <w:color w:val="FF0000"/>
          <w:sz w:val="30"/>
          <w:szCs w:val="30"/>
          <w:highlight w:val="none"/>
        </w:rPr>
        <w:br w:type="textWrapping"/>
      </w:r>
    </w:p>
    <w:p>
      <w:pPr>
        <w:pStyle w:val="2"/>
        <w:pageBreakBefore w:val="0"/>
        <w:widowControl w:val="0"/>
        <w:kinsoku/>
        <w:wordWrap/>
        <w:overflowPunct/>
        <w:topLinePunct w:val="0"/>
        <w:bidi w:val="0"/>
        <w:snapToGrid/>
        <w:ind w:firstLine="562" w:firstLineChars="200"/>
        <w:textAlignment w:val="auto"/>
        <w:rPr>
          <w:rFonts w:hint="eastAsia" w:ascii="仿宋" w:hAnsi="仿宋" w:eastAsia="仿宋" w:cs="仿宋"/>
          <w:b/>
          <w:bCs/>
          <w:sz w:val="28"/>
          <w:szCs w:val="28"/>
        </w:rPr>
      </w:pPr>
      <w:r>
        <w:rPr>
          <w:rFonts w:hint="eastAsia" w:ascii="仿宋" w:hAnsi="仿宋" w:eastAsia="仿宋" w:cs="仿宋"/>
          <w:b/>
          <w:bCs/>
          <w:sz w:val="28"/>
          <w:szCs w:val="28"/>
        </w:rPr>
        <w:t>注：上述带“*”项为必备的资格文件，缺项会按不响应招标文件或无效投标处理，由专家组评定扣分或废标处理。</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2.2技术标部分（独立封装在一个档案袋，一式五份，其中正本一份，副本四份）：</w:t>
      </w:r>
    </w:p>
    <w:p>
      <w:pPr>
        <w:pStyle w:val="2"/>
        <w:pageBreakBefore w:val="0"/>
        <w:widowControl w:val="0"/>
        <w:numPr>
          <w:ilvl w:val="0"/>
          <w:numId w:val="3"/>
        </w:numPr>
        <w:kinsoku/>
        <w:wordWrap/>
        <w:overflowPunct/>
        <w:topLinePunct w:val="0"/>
        <w:bidi w:val="0"/>
        <w:snapToGrid/>
        <w:ind w:firstLine="600" w:firstLineChars="200"/>
        <w:textAlignment w:val="auto"/>
        <w:rPr>
          <w:rFonts w:hint="eastAsia" w:ascii="仿宋" w:hAnsi="仿宋" w:eastAsia="仿宋" w:cs="仿宋"/>
          <w:sz w:val="30"/>
          <w:szCs w:val="30"/>
          <w:highlight w:val="none"/>
        </w:rPr>
      </w:pPr>
      <w:r>
        <w:rPr>
          <w:rFonts w:hint="eastAsia" w:ascii="仿宋" w:hAnsi="仿宋" w:eastAsia="仿宋" w:cs="仿宋"/>
          <w:sz w:val="30"/>
          <w:szCs w:val="30"/>
          <w:highlight w:val="none"/>
        </w:rPr>
        <w:t>近三年同类项目业绩一览表及完整、有效的合同复印件。近三年同类项目业绩一览表及完整、有效的合同复印件。</w:t>
      </w:r>
    </w:p>
    <w:p>
      <w:pPr>
        <w:pStyle w:val="2"/>
        <w:pageBreakBefore w:val="0"/>
        <w:widowControl w:val="0"/>
        <w:numPr>
          <w:ilvl w:val="0"/>
          <w:numId w:val="3"/>
        </w:numPr>
        <w:kinsoku/>
        <w:wordWrap/>
        <w:overflowPunct/>
        <w:topLinePunct w:val="0"/>
        <w:bidi w:val="0"/>
        <w:snapToGrid/>
        <w:ind w:firstLine="600" w:firstLineChars="200"/>
        <w:textAlignment w:val="auto"/>
        <w:rPr>
          <w:rFonts w:hint="default"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企业概况一览表：包括生产场地、人员、设备、处置能力、技术、专利、处置工艺等(附件十一)</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rPr>
      </w:pPr>
      <w:bookmarkStart w:id="14" w:name="_Toc212369514"/>
      <w:r>
        <w:rPr>
          <w:rFonts w:hint="eastAsia" w:ascii="仿宋" w:hAnsi="仿宋" w:eastAsia="仿宋" w:cs="仿宋"/>
          <w:b/>
          <w:bCs/>
          <w:sz w:val="30"/>
          <w:szCs w:val="30"/>
        </w:rPr>
        <w:t>2.</w:t>
      </w:r>
      <w:r>
        <w:rPr>
          <w:rFonts w:hint="eastAsia" w:ascii="仿宋" w:hAnsi="仿宋" w:eastAsia="仿宋" w:cs="仿宋"/>
          <w:b/>
          <w:bCs/>
          <w:sz w:val="30"/>
          <w:szCs w:val="30"/>
          <w:lang w:val="en-US" w:eastAsia="zh-CN"/>
        </w:rPr>
        <w:t>3</w:t>
      </w:r>
      <w:r>
        <w:rPr>
          <w:rFonts w:hint="eastAsia" w:ascii="仿宋" w:hAnsi="仿宋" w:eastAsia="仿宋" w:cs="仿宋"/>
          <w:b/>
          <w:bCs/>
          <w:sz w:val="30"/>
          <w:szCs w:val="30"/>
        </w:rPr>
        <w:t>商务标部分（均独立封装在一个档案袋，一式五份，其中正本一份，副本四份）：</w:t>
      </w:r>
      <w:bookmarkEnd w:id="14"/>
    </w:p>
    <w:p>
      <w:pPr>
        <w:keepNext w:val="0"/>
        <w:keepLines w:val="0"/>
        <w:pageBreakBefore w:val="0"/>
        <w:widowControl w:val="0"/>
        <w:numPr>
          <w:ilvl w:val="0"/>
          <w:numId w:val="4"/>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投标函；（附件</w:t>
      </w:r>
      <w:r>
        <w:rPr>
          <w:rFonts w:hint="eastAsia" w:ascii="仿宋" w:hAnsi="仿宋" w:eastAsia="仿宋" w:cs="仿宋"/>
          <w:sz w:val="30"/>
          <w:szCs w:val="30"/>
          <w:lang w:val="en-US" w:eastAsia="zh-CN"/>
        </w:rPr>
        <w:t>八</w:t>
      </w:r>
      <w:r>
        <w:rPr>
          <w:rFonts w:hint="eastAsia" w:ascii="仿宋" w:hAnsi="仿宋" w:eastAsia="仿宋" w:cs="仿宋"/>
          <w:sz w:val="30"/>
          <w:szCs w:val="30"/>
        </w:rPr>
        <w:t>）</w:t>
      </w:r>
    </w:p>
    <w:p>
      <w:pPr>
        <w:keepNext w:val="0"/>
        <w:keepLines w:val="0"/>
        <w:pageBreakBefore w:val="0"/>
        <w:widowControl w:val="0"/>
        <w:numPr>
          <w:ilvl w:val="0"/>
          <w:numId w:val="4"/>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投标报价单；（附件</w:t>
      </w:r>
      <w:r>
        <w:rPr>
          <w:rFonts w:hint="eastAsia" w:ascii="仿宋" w:hAnsi="仿宋" w:eastAsia="仿宋" w:cs="仿宋"/>
          <w:sz w:val="30"/>
          <w:szCs w:val="30"/>
          <w:lang w:val="en-US" w:eastAsia="zh-CN"/>
        </w:rPr>
        <w:t>九</w:t>
      </w:r>
      <w:r>
        <w:rPr>
          <w:rFonts w:hint="eastAsia" w:ascii="仿宋" w:hAnsi="仿宋" w:eastAsia="仿宋" w:cs="仿宋"/>
          <w:sz w:val="30"/>
          <w:szCs w:val="30"/>
        </w:rPr>
        <w:t>）</w:t>
      </w:r>
    </w:p>
    <w:p>
      <w:pPr>
        <w:keepNext w:val="0"/>
        <w:keepLines w:val="0"/>
        <w:pageBreakBefore w:val="0"/>
        <w:widowControl w:val="0"/>
        <w:numPr>
          <w:ilvl w:val="0"/>
          <w:numId w:val="4"/>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承诺函；（附件</w:t>
      </w:r>
      <w:r>
        <w:rPr>
          <w:rFonts w:hint="eastAsia" w:ascii="仿宋" w:hAnsi="仿宋" w:eastAsia="仿宋" w:cs="仿宋"/>
          <w:sz w:val="30"/>
          <w:szCs w:val="30"/>
          <w:lang w:val="en-US" w:eastAsia="zh-CN"/>
        </w:rPr>
        <w:t>十</w:t>
      </w:r>
      <w:r>
        <w:rPr>
          <w:rFonts w:hint="eastAsia" w:ascii="仿宋" w:hAnsi="仿宋" w:eastAsia="仿宋" w:cs="仿宋"/>
          <w:sz w:val="30"/>
          <w:szCs w:val="30"/>
        </w:rPr>
        <w:t>）</w:t>
      </w:r>
    </w:p>
    <w:p>
      <w:pPr>
        <w:pStyle w:val="2"/>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sz w:val="30"/>
          <w:szCs w:val="30"/>
          <w:u w:val="single"/>
        </w:rPr>
      </w:pPr>
      <w:r>
        <w:rPr>
          <w:rFonts w:hint="eastAsia" w:ascii="仿宋" w:hAnsi="仿宋" w:eastAsia="仿宋" w:cs="仿宋"/>
          <w:b/>
          <w:sz w:val="30"/>
          <w:szCs w:val="30"/>
          <w:u w:val="single"/>
        </w:rPr>
        <w:t>注：招标文件给定格式的按给定的格式填写，未给定格式的，由投标人自行编制，但需包含以上内容。</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、投标保证金</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.1投标方交</w:t>
      </w:r>
      <w:r>
        <w:rPr>
          <w:rFonts w:hint="eastAsia" w:ascii="仿宋" w:hAnsi="仿宋" w:eastAsia="仿宋" w:cs="仿宋"/>
          <w:color w:val="000000"/>
          <w:sz w:val="30"/>
          <w:szCs w:val="30"/>
          <w:highlight w:val="none"/>
        </w:rPr>
        <w:t>纳</w:t>
      </w:r>
      <w:r>
        <w:rPr>
          <w:rFonts w:hint="eastAsia" w:ascii="仿宋" w:hAnsi="仿宋" w:eastAsia="仿宋" w:cs="仿宋"/>
          <w:color w:val="000000"/>
          <w:sz w:val="30"/>
          <w:szCs w:val="30"/>
          <w:highlight w:val="none"/>
          <w:lang w:val="en-US" w:eastAsia="zh-CN"/>
        </w:rPr>
        <w:t>五仟元</w:t>
      </w:r>
      <w:r>
        <w:rPr>
          <w:rFonts w:hint="eastAsia" w:ascii="仿宋" w:hAnsi="仿宋" w:eastAsia="仿宋" w:cs="仿宋"/>
          <w:color w:val="000000"/>
          <w:sz w:val="30"/>
          <w:szCs w:val="30"/>
        </w:rPr>
        <w:t>投标保证金，可采用电汇或网银支付。</w:t>
      </w:r>
    </w:p>
    <w:p>
      <w:pPr>
        <w:pStyle w:val="7"/>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kern w:val="2"/>
          <w:sz w:val="30"/>
          <w:szCs w:val="30"/>
        </w:rPr>
      </w:pPr>
      <w:r>
        <w:rPr>
          <w:rFonts w:hint="eastAsia" w:ascii="仿宋" w:hAnsi="仿宋" w:eastAsia="仿宋" w:cs="仿宋"/>
          <w:color w:val="000000"/>
          <w:kern w:val="2"/>
          <w:sz w:val="30"/>
          <w:szCs w:val="30"/>
        </w:rPr>
        <w:t>开户名称：中国重汽集团济南专用车有限公司</w:t>
      </w:r>
    </w:p>
    <w:p>
      <w:pPr>
        <w:pStyle w:val="7"/>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kern w:val="2"/>
          <w:sz w:val="30"/>
          <w:szCs w:val="30"/>
        </w:rPr>
      </w:pPr>
      <w:r>
        <w:rPr>
          <w:rFonts w:hint="eastAsia" w:ascii="仿宋" w:hAnsi="仿宋" w:eastAsia="仿宋" w:cs="仿宋"/>
          <w:color w:val="000000"/>
          <w:kern w:val="2"/>
          <w:sz w:val="30"/>
          <w:szCs w:val="30"/>
        </w:rPr>
        <w:t>账    号：227305574495</w:t>
      </w:r>
    </w:p>
    <w:p>
      <w:pPr>
        <w:pStyle w:val="7"/>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kern w:val="2"/>
          <w:sz w:val="30"/>
          <w:szCs w:val="30"/>
        </w:rPr>
      </w:pPr>
      <w:r>
        <w:rPr>
          <w:rFonts w:hint="eastAsia" w:ascii="仿宋" w:hAnsi="仿宋" w:eastAsia="仿宋" w:cs="仿宋"/>
          <w:color w:val="000000"/>
          <w:kern w:val="2"/>
          <w:sz w:val="30"/>
          <w:szCs w:val="30"/>
        </w:rPr>
        <w:t>开 户 行：中国银行章丘支行</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.2保证金截止时间</w:t>
      </w:r>
      <w:r>
        <w:rPr>
          <w:rFonts w:hint="eastAsia" w:ascii="仿宋" w:hAnsi="仿宋" w:eastAsia="仿宋" w:cs="仿宋"/>
          <w:color w:val="000000"/>
          <w:sz w:val="30"/>
          <w:szCs w:val="30"/>
          <w:highlight w:val="none"/>
        </w:rPr>
        <w:t>：202</w:t>
      </w:r>
      <w:r>
        <w:rPr>
          <w:rFonts w:hint="eastAsia" w:ascii="仿宋" w:hAnsi="仿宋" w:eastAsia="仿宋" w:cs="仿宋"/>
          <w:color w:val="000000"/>
          <w:sz w:val="30"/>
          <w:szCs w:val="30"/>
          <w:highlight w:val="none"/>
          <w:lang w:val="en-US" w:eastAsia="zh-CN"/>
        </w:rPr>
        <w:t>6</w:t>
      </w:r>
      <w:r>
        <w:rPr>
          <w:rFonts w:hint="eastAsia" w:ascii="仿宋" w:hAnsi="仿宋" w:eastAsia="仿宋" w:cs="仿宋"/>
          <w:color w:val="000000"/>
          <w:sz w:val="30"/>
          <w:szCs w:val="30"/>
          <w:highlight w:val="none"/>
        </w:rPr>
        <w:t>年</w:t>
      </w:r>
      <w:r>
        <w:rPr>
          <w:rFonts w:hint="eastAsia" w:ascii="仿宋" w:hAnsi="仿宋" w:eastAsia="仿宋" w:cs="仿宋"/>
          <w:color w:val="000000"/>
          <w:sz w:val="30"/>
          <w:szCs w:val="30"/>
          <w:highlight w:val="none"/>
          <w:lang w:val="en-US" w:eastAsia="zh-CN"/>
        </w:rPr>
        <w:t>1</w:t>
      </w:r>
      <w:r>
        <w:rPr>
          <w:rFonts w:hint="eastAsia" w:ascii="仿宋" w:hAnsi="仿宋" w:eastAsia="仿宋" w:cs="仿宋"/>
          <w:color w:val="000000"/>
          <w:sz w:val="30"/>
          <w:szCs w:val="30"/>
          <w:highlight w:val="none"/>
        </w:rPr>
        <w:t>月</w:t>
      </w:r>
      <w:r>
        <w:rPr>
          <w:rFonts w:hint="eastAsia" w:ascii="仿宋" w:hAnsi="仿宋" w:eastAsia="仿宋" w:cs="仿宋"/>
          <w:color w:val="000000"/>
          <w:sz w:val="30"/>
          <w:szCs w:val="30"/>
          <w:highlight w:val="none"/>
          <w:lang w:val="en-US" w:eastAsia="zh-CN"/>
        </w:rPr>
        <w:t>12</w:t>
      </w:r>
      <w:r>
        <w:rPr>
          <w:rFonts w:hint="eastAsia" w:ascii="仿宋" w:hAnsi="仿宋" w:eastAsia="仿宋" w:cs="仿宋"/>
          <w:color w:val="000000"/>
          <w:sz w:val="30"/>
          <w:szCs w:val="30"/>
          <w:highlight w:val="none"/>
        </w:rPr>
        <w:t>日</w:t>
      </w:r>
      <w:r>
        <w:rPr>
          <w:rFonts w:hint="eastAsia" w:ascii="仿宋" w:hAnsi="仿宋" w:eastAsia="仿宋" w:cs="仿宋"/>
          <w:color w:val="000000"/>
          <w:sz w:val="30"/>
          <w:szCs w:val="30"/>
          <w:highlight w:val="none"/>
          <w:lang w:val="en-US" w:eastAsia="zh-CN"/>
        </w:rPr>
        <w:t>17</w:t>
      </w:r>
      <w:r>
        <w:rPr>
          <w:rFonts w:hint="eastAsia" w:ascii="仿宋" w:hAnsi="仿宋" w:eastAsia="仿宋" w:cs="仿宋"/>
          <w:color w:val="000000"/>
          <w:sz w:val="30"/>
          <w:szCs w:val="30"/>
          <w:highlight w:val="none"/>
        </w:rPr>
        <w:t>时00分前。</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.3中标方的投标保证金在招标方与中标方签订合同后自行转为质量保证金。</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.4</w:t>
      </w:r>
      <w:r>
        <w:rPr>
          <w:rFonts w:hint="eastAsia" w:ascii="仿宋" w:hAnsi="仿宋" w:eastAsia="仿宋" w:cs="仿宋"/>
          <w:sz w:val="30"/>
          <w:szCs w:val="30"/>
        </w:rPr>
        <w:t>落标方的投标保证金将在定标后</w:t>
      </w:r>
      <w:r>
        <w:rPr>
          <w:rFonts w:hint="eastAsia" w:ascii="仿宋" w:hAnsi="仿宋" w:eastAsia="仿宋" w:cs="仿宋"/>
          <w:sz w:val="30"/>
          <w:szCs w:val="30"/>
          <w:lang w:val="en-US" w:eastAsia="zh-CN"/>
        </w:rPr>
        <w:t>一个</w:t>
      </w:r>
      <w:r>
        <w:rPr>
          <w:rFonts w:hint="eastAsia" w:ascii="仿宋" w:hAnsi="仿宋" w:eastAsia="仿宋" w:cs="仿宋"/>
          <w:sz w:val="30"/>
          <w:szCs w:val="30"/>
        </w:rPr>
        <w:t>月内无息返还</w:t>
      </w:r>
      <w:r>
        <w:rPr>
          <w:rFonts w:hint="eastAsia" w:ascii="仿宋" w:hAnsi="仿宋" w:eastAsia="仿宋" w:cs="仿宋"/>
          <w:color w:val="000000"/>
          <w:sz w:val="30"/>
          <w:szCs w:val="30"/>
        </w:rPr>
        <w:t>。</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.5发生下列情况之一的投标保证金不予返还：</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.5.1谈判评审期间，投标方干扰评审活动造成严重影响和后果的；</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.5.2开标后，尚在谈判评审期间，投标方撤回投标书的；</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4.5.3中标方未按规定的时间、地点与招标方签订合同。</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、投标文件的递交</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.1投标方将投</w:t>
      </w:r>
      <w:r>
        <w:rPr>
          <w:rFonts w:hint="eastAsia" w:ascii="仿宋" w:hAnsi="仿宋" w:eastAsia="仿宋" w:cs="仿宋"/>
          <w:color w:val="auto"/>
          <w:sz w:val="30"/>
          <w:szCs w:val="30"/>
        </w:rPr>
        <w:t>标书正本一份、副本肆份（报价</w:t>
      </w:r>
      <w:r>
        <w:rPr>
          <w:rFonts w:hint="eastAsia" w:ascii="仿宋" w:hAnsi="仿宋" w:eastAsia="仿宋" w:cs="仿宋"/>
          <w:color w:val="000000"/>
          <w:sz w:val="30"/>
          <w:szCs w:val="30"/>
        </w:rPr>
        <w:t>表封存在正本中）装入袋内密封，封口处应有投标全权代表的签字和投标单位的公章，封皮上注明投标项目名称、投标单位名称。</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.2投标文件必须在标书送达截止时间前，派人送达招标方指定的地点。</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.3在标书送达截止时间以后送达的投标文件，招标方拒绝接受。</w:t>
      </w:r>
    </w:p>
    <w:p>
      <w:pPr>
        <w:keepNext w:val="0"/>
        <w:keepLines w:val="0"/>
        <w:pageBreakBefore w:val="0"/>
        <w:widowControl w:val="0"/>
        <w:numPr>
          <w:ilvl w:val="0"/>
          <w:numId w:val="0"/>
        </w:numPr>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5、</w:t>
      </w:r>
      <w:r>
        <w:rPr>
          <w:rFonts w:hint="eastAsia" w:ascii="仿宋" w:hAnsi="仿宋" w:eastAsia="仿宋" w:cs="仿宋"/>
          <w:color w:val="000000"/>
          <w:sz w:val="30"/>
          <w:szCs w:val="30"/>
        </w:rPr>
        <w:t>开标</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招标方将在招标方指定的时间和地点组织招标会议，投标方必须在招标方指定时间派全权代表到达指定地点，并参加招标。开标时，由投标方授权的代表和招标单位工作人员共同检查投标文件的密封情况，经确认无误后，由招标方进行开封开标。</w:t>
      </w:r>
    </w:p>
    <w:p>
      <w:pPr>
        <w:pStyle w:val="3"/>
        <w:keepNext w:val="0"/>
        <w:keepLines w:val="0"/>
        <w:pageBreakBefore w:val="0"/>
        <w:widowControl w:val="0"/>
        <w:numPr>
          <w:ilvl w:val="0"/>
          <w:numId w:val="0"/>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6、</w:t>
      </w:r>
      <w:r>
        <w:rPr>
          <w:rFonts w:hint="eastAsia" w:ascii="仿宋" w:hAnsi="仿宋" w:eastAsia="仿宋" w:cs="仿宋"/>
          <w:sz w:val="30"/>
          <w:szCs w:val="30"/>
        </w:rPr>
        <w:t>评标</w:t>
      </w:r>
    </w:p>
    <w:p>
      <w:pPr>
        <w:pStyle w:val="3"/>
        <w:keepNext w:val="0"/>
        <w:keepLines w:val="0"/>
        <w:pageBreakBefore w:val="0"/>
        <w:widowControl w:val="0"/>
        <w:kinsoku/>
        <w:wordWrap/>
        <w:overflowPunct/>
        <w:topLinePunct w:val="0"/>
        <w:bidi w:val="0"/>
        <w:snapToGrid/>
        <w:spacing w:line="240" w:lineRule="auto"/>
        <w:ind w:left="420" w:leftChars="200"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详见第</w:t>
      </w:r>
      <w:r>
        <w:rPr>
          <w:rFonts w:hint="eastAsia" w:ascii="仿宋" w:hAnsi="仿宋" w:eastAsia="仿宋" w:cs="仿宋"/>
          <w:sz w:val="30"/>
          <w:szCs w:val="30"/>
          <w:lang w:val="en-US" w:eastAsia="zh-CN"/>
        </w:rPr>
        <w:t>三</w:t>
      </w:r>
      <w:r>
        <w:rPr>
          <w:rFonts w:hint="eastAsia" w:ascii="仿宋" w:hAnsi="仿宋" w:eastAsia="仿宋" w:cs="仿宋"/>
          <w:sz w:val="30"/>
          <w:szCs w:val="30"/>
        </w:rPr>
        <w:t>章评标方法</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、合同签订</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sz w:val="30"/>
          <w:szCs w:val="30"/>
          <w:lang w:val="en-US" w:eastAsia="zh-CN"/>
        </w:rPr>
        <w:t>7</w:t>
      </w:r>
      <w:r>
        <w:rPr>
          <w:rFonts w:hint="eastAsia" w:ascii="仿宋" w:hAnsi="仿宋" w:eastAsia="仿宋" w:cs="仿宋"/>
          <w:color w:val="auto"/>
          <w:sz w:val="30"/>
          <w:szCs w:val="30"/>
        </w:rPr>
        <w:t>.1 中标后，投标方应在收到中标通知书一周内与发标方签订合同，预期不到作为自动放弃处理。</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.2 投标文件中，报价、技术要求、有关协议和承诺，均可作为合同附件，与合同具有同等法律效力。</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.3 签订合同时，中标方提出与投标书所列内容有相违的条款，招标方拒签合同。</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.4 中标单位在供货中应严格按投标时的各项承诺供货。</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8</w:t>
      </w:r>
      <w:r>
        <w:rPr>
          <w:rFonts w:hint="eastAsia" w:ascii="仿宋" w:hAnsi="仿宋" w:eastAsia="仿宋" w:cs="仿宋"/>
          <w:color w:val="000000"/>
          <w:sz w:val="30"/>
          <w:szCs w:val="30"/>
        </w:rPr>
        <w:t>、招标文件的澄清</w:t>
      </w:r>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End w:id="11"/>
      <w:bookmarkEnd w:id="12"/>
      <w:bookmarkStart w:id="15" w:name="_Toc508095332"/>
      <w:bookmarkStart w:id="16" w:name="_Toc116872040"/>
      <w:bookmarkStart w:id="17" w:name="_Toc509284565"/>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bCs/>
          <w:color w:val="000000"/>
          <w:sz w:val="30"/>
          <w:szCs w:val="30"/>
        </w:rPr>
      </w:pPr>
      <w:r>
        <w:rPr>
          <w:rFonts w:hint="eastAsia" w:ascii="仿宋" w:hAnsi="仿宋" w:eastAsia="仿宋" w:cs="仿宋"/>
          <w:bCs/>
          <w:color w:val="000000"/>
          <w:sz w:val="30"/>
          <w:szCs w:val="30"/>
          <w:lang w:val="en-US" w:eastAsia="zh-CN"/>
        </w:rPr>
        <w:t>9</w:t>
      </w:r>
      <w:r>
        <w:rPr>
          <w:rFonts w:hint="eastAsia" w:ascii="仿宋" w:hAnsi="仿宋" w:eastAsia="仿宋" w:cs="仿宋"/>
          <w:bCs/>
          <w:color w:val="000000"/>
          <w:sz w:val="30"/>
          <w:szCs w:val="30"/>
        </w:rPr>
        <w:t>、招标文件的修改</w:t>
      </w:r>
      <w:bookmarkEnd w:id="15"/>
      <w:bookmarkEnd w:id="16"/>
      <w:bookmarkEnd w:id="17"/>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9</w:t>
      </w:r>
      <w:r>
        <w:rPr>
          <w:rFonts w:hint="eastAsia" w:ascii="仿宋" w:hAnsi="仿宋" w:eastAsia="仿宋" w:cs="仿宋"/>
          <w:color w:val="000000"/>
          <w:sz w:val="30"/>
          <w:szCs w:val="30"/>
        </w:rPr>
        <w:t>.1在标书送达截止日期前，招标方可主动的或依据投标人要求澄清的问题而修改招标文件，并以书面形式通知所有投标方。对方在收到该通知后应立即以传真的形式予以确认。</w:t>
      </w:r>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9</w:t>
      </w:r>
      <w:r>
        <w:rPr>
          <w:rFonts w:hint="eastAsia" w:ascii="仿宋" w:hAnsi="仿宋" w:eastAsia="仿宋" w:cs="仿宋"/>
          <w:color w:val="000000"/>
          <w:sz w:val="30"/>
          <w:szCs w:val="30"/>
        </w:rPr>
        <w:t>.2为使投标人在准备投标文件时有合理的时间考虑其投标文件的修改，招标方可酌情推迟标书送达截止时间和开标时间，并以书面形式通知每一投标方。</w:t>
      </w:r>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9</w:t>
      </w:r>
      <w:r>
        <w:rPr>
          <w:rFonts w:hint="eastAsia" w:ascii="仿宋" w:hAnsi="仿宋" w:eastAsia="仿宋" w:cs="仿宋"/>
          <w:color w:val="000000"/>
          <w:sz w:val="30"/>
          <w:szCs w:val="30"/>
        </w:rPr>
        <w:t>.3招标文件的修改书将构成招标文件的一部分，对投标人具有同等的约束力。</w:t>
      </w:r>
    </w:p>
    <w:p>
      <w:pPr>
        <w:pStyle w:val="7"/>
        <w:pageBreakBefore w:val="0"/>
        <w:widowControl w:val="0"/>
        <w:kinsoku/>
        <w:wordWrap/>
        <w:overflowPunct/>
        <w:topLinePunct w:val="0"/>
        <w:bidi w:val="0"/>
        <w:snapToGrid/>
        <w:ind w:firstLine="420" w:firstLineChars="200"/>
        <w:textAlignment w:val="auto"/>
        <w:rPr>
          <w:rFonts w:hint="eastAsia"/>
        </w:rPr>
      </w:pPr>
      <w:r>
        <w:rPr>
          <w:rFonts w:hint="eastAsia" w:hAnsi="宋体"/>
          <w:color w:val="000000"/>
        </w:rPr>
        <w:t xml:space="preserve">               </w:t>
      </w:r>
      <w:bookmarkStart w:id="18" w:name="_Toc56676932"/>
      <w:bookmarkStart w:id="19" w:name="_Toc61506516"/>
      <w:bookmarkStart w:id="20" w:name="_Toc1939"/>
      <w:bookmarkStart w:id="21" w:name="_Toc23639"/>
    </w:p>
    <w:p>
      <w:pPr>
        <w:rPr>
          <w:rFonts w:hint="eastAsia"/>
        </w:rPr>
      </w:pPr>
    </w:p>
    <w:p>
      <w:pPr>
        <w:pStyle w:val="4"/>
        <w:tabs>
          <w:tab w:val="right" w:leader="dot" w:pos="9061"/>
        </w:tabs>
        <w:spacing w:before="240" w:after="240"/>
        <w:jc w:val="center"/>
      </w:pPr>
      <w:r>
        <w:rPr>
          <w:rFonts w:hint="eastAsia"/>
        </w:rPr>
        <w:t>第</w:t>
      </w:r>
      <w:r>
        <w:rPr>
          <w:rFonts w:hint="eastAsia"/>
          <w:lang w:val="en-US" w:eastAsia="zh-CN"/>
        </w:rPr>
        <w:t>3</w:t>
      </w:r>
      <w:r>
        <w:rPr>
          <w:rFonts w:hint="eastAsia"/>
        </w:rPr>
        <w:t xml:space="preserve">章  </w:t>
      </w:r>
      <w:r>
        <w:t>评标方法</w:t>
      </w:r>
      <w:bookmarkEnd w:id="18"/>
      <w:bookmarkEnd w:id="19"/>
      <w:bookmarkEnd w:id="20"/>
      <w:bookmarkEnd w:id="21"/>
    </w:p>
    <w:p>
      <w:pPr>
        <w:keepNext w:val="0"/>
        <w:keepLines w:val="0"/>
        <w:pageBreakBefore w:val="0"/>
        <w:widowControl w:val="0"/>
        <w:tabs>
          <w:tab w:val="left" w:pos="4111"/>
        </w:tabs>
        <w:kinsoku/>
        <w:wordWrap/>
        <w:overflowPunct/>
        <w:topLinePunct w:val="0"/>
        <w:autoSpaceDE/>
        <w:autoSpaceDN/>
        <w:bidi w:val="0"/>
        <w:adjustRightInd/>
        <w:snapToGrid/>
        <w:spacing w:line="500" w:lineRule="exact"/>
        <w:ind w:firstLine="600" w:firstLineChars="200"/>
        <w:textAlignment w:val="auto"/>
        <w:rPr>
          <w:rFonts w:hint="eastAsia" w:ascii="仿宋" w:hAnsi="仿宋" w:eastAsia="仿宋" w:cs="仿宋"/>
          <w:sz w:val="30"/>
          <w:szCs w:val="30"/>
        </w:rPr>
      </w:pPr>
      <w:bookmarkStart w:id="22" w:name="_Toc19965"/>
      <w:bookmarkStart w:id="23" w:name="_Toc15608"/>
      <w:bookmarkStart w:id="24" w:name="_Toc105"/>
      <w:bookmarkStart w:id="25" w:name="_Toc169605877"/>
      <w:r>
        <w:rPr>
          <w:rFonts w:hint="eastAsia" w:ascii="仿宋" w:hAnsi="仿宋" w:eastAsia="仿宋" w:cs="仿宋"/>
          <w:sz w:val="30"/>
          <w:szCs w:val="30"/>
        </w:rPr>
        <w:t>本次评标采用技术标和商务标分级开标的模式。首先进行技术标评审，由评标专家组对所有投标方的技术标部分综合评定和打分，技术标评审合格的投标方可以进入商务标评审环节，技术标评审不合格的投标方会面临淘汰。然后进行商务标的评标，招标人有权根据项目情况，采取多</w:t>
      </w:r>
      <w:r>
        <w:rPr>
          <w:rFonts w:hint="eastAsia" w:ascii="仿宋" w:hAnsi="仿宋" w:eastAsia="仿宋" w:cs="仿宋"/>
          <w:sz w:val="30"/>
          <w:szCs w:val="30"/>
          <w:lang w:val="en-US" w:eastAsia="zh-CN"/>
        </w:rPr>
        <w:t>轮</w:t>
      </w:r>
      <w:r>
        <w:rPr>
          <w:rFonts w:hint="eastAsia" w:ascii="仿宋" w:hAnsi="仿宋" w:eastAsia="仿宋" w:cs="仿宋"/>
          <w:sz w:val="30"/>
          <w:szCs w:val="30"/>
        </w:rPr>
        <w:t>评标模式，最终根据商务标的</w:t>
      </w:r>
      <w:r>
        <w:rPr>
          <w:rFonts w:hint="eastAsia" w:ascii="仿宋" w:hAnsi="仿宋" w:eastAsia="仿宋" w:cs="仿宋"/>
          <w:sz w:val="30"/>
          <w:szCs w:val="30"/>
          <w:lang w:val="en-US" w:eastAsia="zh-CN"/>
        </w:rPr>
        <w:t>报价情况</w:t>
      </w:r>
      <w:r>
        <w:rPr>
          <w:rFonts w:hint="eastAsia" w:ascii="仿宋" w:hAnsi="仿宋" w:eastAsia="仿宋" w:cs="仿宋"/>
          <w:sz w:val="30"/>
          <w:szCs w:val="30"/>
        </w:rPr>
        <w:t>确定中标人</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原则上为合理最低价中标</w:t>
      </w:r>
      <w:r>
        <w:rPr>
          <w:rFonts w:hint="eastAsia" w:ascii="仿宋" w:hAnsi="仿宋" w:eastAsia="仿宋" w:cs="仿宋"/>
          <w:sz w:val="30"/>
          <w:szCs w:val="30"/>
        </w:rPr>
        <w:t>。另外招标人有权根据情况取消招标，招标人不向投标方解释未中标原因。</w:t>
      </w:r>
      <w:bookmarkEnd w:id="22"/>
      <w:bookmarkEnd w:id="23"/>
      <w:bookmarkEnd w:id="24"/>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评标流程：</w:t>
      </w:r>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（1）资质审核：按标书要求，提供资质证明文件进行审核；</w:t>
      </w:r>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（2）技术标评议：按技术部分对投标方分项打分，技术分60分以上的合格者入围；</w:t>
      </w:r>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（3）商务评议：先公开唱标→商务条款相应确认→商务评议；</w:t>
      </w:r>
    </w:p>
    <w:p>
      <w:pPr>
        <w:pStyle w:val="2"/>
        <w:ind w:firstLine="900" w:firstLineChars="300"/>
        <w:rPr>
          <w:rFonts w:hint="eastAsia"/>
        </w:rPr>
      </w:pPr>
      <w:r>
        <w:rPr>
          <w:rFonts w:hint="eastAsia" w:ascii="仿宋" w:hAnsi="仿宋" w:eastAsia="仿宋" w:cs="仿宋"/>
          <w:kern w:val="2"/>
          <w:sz w:val="30"/>
          <w:szCs w:val="30"/>
          <w:lang w:val="en-US" w:eastAsia="zh-CN" w:bidi="ar-SA"/>
        </w:rPr>
        <w:t>⑷ 根据合理最低价并参考技术能力，择优选择中标人。</w:t>
      </w:r>
    </w:p>
    <w:p>
      <w:pPr>
        <w:jc w:val="center"/>
        <w:rPr>
          <w:rFonts w:hint="eastAsia" w:ascii="仿宋" w:hAnsi="仿宋" w:eastAsia="仿宋" w:cs="仿宋"/>
          <w:b/>
          <w:bCs/>
          <w:sz w:val="30"/>
          <w:szCs w:val="30"/>
        </w:rPr>
      </w:pPr>
      <w:r>
        <w:rPr>
          <w:rFonts w:hint="eastAsia" w:ascii="仿宋" w:hAnsi="仿宋" w:eastAsia="仿宋" w:cs="仿宋"/>
          <w:b/>
          <w:bCs/>
          <w:sz w:val="30"/>
          <w:szCs w:val="30"/>
          <w:lang w:val="en-US" w:eastAsia="zh-CN"/>
        </w:rPr>
        <w:t>技术标</w:t>
      </w:r>
      <w:r>
        <w:rPr>
          <w:rFonts w:hint="eastAsia" w:ascii="仿宋" w:hAnsi="仿宋" w:eastAsia="仿宋" w:cs="仿宋"/>
          <w:b/>
          <w:bCs/>
          <w:sz w:val="30"/>
          <w:szCs w:val="30"/>
        </w:rPr>
        <w:t>评分细则</w:t>
      </w:r>
    </w:p>
    <w:tbl>
      <w:tblPr>
        <w:tblStyle w:val="18"/>
        <w:tblW w:w="93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360"/>
        <w:gridCol w:w="1020"/>
        <w:gridCol w:w="6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3"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评审内容</w:t>
            </w:r>
          </w:p>
        </w:tc>
        <w:tc>
          <w:tcPr>
            <w:tcW w:w="102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分值</w:t>
            </w:r>
          </w:p>
        </w:tc>
        <w:tc>
          <w:tcPr>
            <w:tcW w:w="694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合作案例</w:t>
            </w:r>
          </w:p>
        </w:tc>
        <w:tc>
          <w:tcPr>
            <w:tcW w:w="1020" w:type="dxa"/>
            <w:noWrap w:val="0"/>
            <w:tcMar>
              <w:top w:w="12" w:type="dxa"/>
              <w:left w:w="12" w:type="dxa"/>
              <w:bottom w:w="0" w:type="dxa"/>
              <w:right w:w="12" w:type="dxa"/>
            </w:tcMar>
            <w:vAlign w:val="center"/>
          </w:tcPr>
          <w:p>
            <w:pPr>
              <w:pStyle w:val="11"/>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pPr>
              <w:pStyle w:val="11"/>
              <w:spacing w:line="360" w:lineRule="auto"/>
              <w:jc w:val="left"/>
              <w:rPr>
                <w:rFonts w:hint="eastAsia" w:ascii="仿宋" w:hAnsi="仿宋" w:eastAsia="仿宋" w:cs="仿宋"/>
                <w:sz w:val="24"/>
                <w:szCs w:val="24"/>
              </w:rPr>
            </w:pPr>
            <w:r>
              <w:rPr>
                <w:rFonts w:hint="eastAsia" w:ascii="仿宋" w:hAnsi="仿宋" w:eastAsia="仿宋" w:cs="仿宋"/>
                <w:sz w:val="24"/>
                <w:szCs w:val="24"/>
              </w:rPr>
              <w:t>2年内行业影响力合作案例，以提供合同有效页复印件为准，一个案例得</w:t>
            </w:r>
            <w:r>
              <w:rPr>
                <w:rFonts w:hint="eastAsia" w:ascii="仿宋" w:hAnsi="仿宋" w:eastAsia="仿宋" w:cs="仿宋"/>
                <w:sz w:val="24"/>
                <w:szCs w:val="24"/>
                <w:lang w:val="en-US" w:eastAsia="zh-CN"/>
              </w:rPr>
              <w:t>10</w:t>
            </w:r>
            <w:r>
              <w:rPr>
                <w:rFonts w:hint="eastAsia" w:ascii="仿宋" w:hAnsi="仿宋" w:eastAsia="仿宋" w:cs="仿宋"/>
                <w:sz w:val="24"/>
                <w:szCs w:val="24"/>
              </w:rPr>
              <w:t>分，最高不超过</w:t>
            </w:r>
            <w:r>
              <w:rPr>
                <w:rFonts w:hint="eastAsia" w:ascii="仿宋" w:hAnsi="仿宋" w:eastAsia="仿宋" w:cs="仿宋"/>
                <w:sz w:val="24"/>
                <w:szCs w:val="24"/>
                <w:lang w:val="en-US" w:eastAsia="zh-CN"/>
              </w:rPr>
              <w:t>30</w:t>
            </w:r>
            <w:r>
              <w:rPr>
                <w:rFonts w:hint="eastAsia" w:ascii="仿宋" w:hAnsi="仿宋" w:eastAsia="仿宋" w:cs="仿宋"/>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9"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回收、利用、处置</w:t>
            </w:r>
            <w:r>
              <w:rPr>
                <w:rFonts w:hint="eastAsia" w:ascii="仿宋" w:hAnsi="仿宋" w:eastAsia="仿宋" w:cs="仿宋"/>
                <w:sz w:val="24"/>
                <w:szCs w:val="24"/>
                <w:lang w:val="en-US" w:eastAsia="zh-CN"/>
              </w:rPr>
              <w:t>人员、</w:t>
            </w:r>
            <w:r>
              <w:rPr>
                <w:rFonts w:hint="eastAsia" w:ascii="仿宋" w:hAnsi="仿宋" w:eastAsia="仿宋" w:cs="仿宋"/>
                <w:sz w:val="24"/>
                <w:szCs w:val="24"/>
              </w:rPr>
              <w:t>设备</w:t>
            </w:r>
          </w:p>
        </w:tc>
        <w:tc>
          <w:tcPr>
            <w:tcW w:w="1020" w:type="dxa"/>
            <w:noWrap w:val="0"/>
            <w:tcMar>
              <w:top w:w="12" w:type="dxa"/>
              <w:left w:w="12" w:type="dxa"/>
              <w:bottom w:w="0" w:type="dxa"/>
              <w:right w:w="12" w:type="dxa"/>
            </w:tcMar>
            <w:vAlign w:val="center"/>
          </w:tcPr>
          <w:p>
            <w:pPr>
              <w:pStyle w:val="11"/>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pPr>
              <w:pStyle w:val="11"/>
              <w:spacing w:line="360" w:lineRule="auto"/>
              <w:jc w:val="left"/>
              <w:rPr>
                <w:rFonts w:hint="default" w:ascii="仿宋" w:hAnsi="仿宋" w:eastAsia="仿宋" w:cs="仿宋"/>
                <w:sz w:val="24"/>
                <w:szCs w:val="24"/>
                <w:lang w:val="en-US" w:eastAsia="zh-CN"/>
              </w:rPr>
            </w:pPr>
            <w:r>
              <w:rPr>
                <w:rFonts w:hint="eastAsia" w:ascii="仿宋" w:hAnsi="仿宋" w:eastAsia="仿宋" w:cs="仿宋"/>
                <w:sz w:val="24"/>
                <w:szCs w:val="24"/>
              </w:rPr>
              <w:t>具有相应人员、</w:t>
            </w:r>
            <w:r>
              <w:rPr>
                <w:rFonts w:hint="eastAsia" w:ascii="仿宋" w:hAnsi="仿宋" w:eastAsia="仿宋" w:cs="仿宋"/>
                <w:sz w:val="24"/>
                <w:szCs w:val="24"/>
                <w:lang w:val="en-US" w:eastAsia="zh-CN"/>
              </w:rPr>
              <w:t>装载、运输</w:t>
            </w:r>
            <w:r>
              <w:rPr>
                <w:rFonts w:hint="eastAsia" w:ascii="仿宋" w:hAnsi="仿宋" w:eastAsia="仿宋" w:cs="仿宋"/>
                <w:sz w:val="24"/>
                <w:szCs w:val="24"/>
              </w:rPr>
              <w:t>设备，得</w:t>
            </w:r>
            <w:r>
              <w:rPr>
                <w:rFonts w:hint="eastAsia" w:ascii="仿宋" w:hAnsi="仿宋" w:eastAsia="仿宋" w:cs="仿宋"/>
                <w:sz w:val="24"/>
                <w:szCs w:val="24"/>
                <w:lang w:val="en-US" w:eastAsia="zh-CN"/>
              </w:rPr>
              <w:t>20</w:t>
            </w:r>
            <w:r>
              <w:rPr>
                <w:rFonts w:hint="eastAsia" w:ascii="仿宋" w:hAnsi="仿宋" w:eastAsia="仿宋" w:cs="仿宋"/>
                <w:sz w:val="24"/>
                <w:szCs w:val="24"/>
              </w:rPr>
              <w:t>分，</w:t>
            </w:r>
            <w:r>
              <w:rPr>
                <w:rFonts w:hint="eastAsia" w:ascii="仿宋" w:hAnsi="仿宋" w:eastAsia="仿宋" w:cs="仿宋"/>
                <w:sz w:val="24"/>
                <w:szCs w:val="24"/>
                <w:lang w:val="en-US" w:eastAsia="zh-CN"/>
              </w:rPr>
              <w:t>可以及时相应招标方提出应急要求如增加运输车辆、频次得10分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6"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固体废物回收、利用、处置工艺</w:t>
            </w:r>
          </w:p>
        </w:tc>
        <w:tc>
          <w:tcPr>
            <w:tcW w:w="1020" w:type="dxa"/>
            <w:noWrap w:val="0"/>
            <w:tcMar>
              <w:top w:w="12" w:type="dxa"/>
              <w:left w:w="12" w:type="dxa"/>
              <w:bottom w:w="0" w:type="dxa"/>
              <w:right w:w="12" w:type="dxa"/>
            </w:tcMar>
            <w:vAlign w:val="center"/>
          </w:tcPr>
          <w:p>
            <w:pPr>
              <w:pStyle w:val="11"/>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pPr>
              <w:pStyle w:val="11"/>
              <w:spacing w:line="360" w:lineRule="auto"/>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具备处置固体废物工艺得20分，工艺水平先进得10分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6"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企业所通过的体系认证情况</w:t>
            </w:r>
          </w:p>
        </w:tc>
        <w:tc>
          <w:tcPr>
            <w:tcW w:w="102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10</w:t>
            </w:r>
          </w:p>
        </w:tc>
        <w:tc>
          <w:tcPr>
            <w:tcW w:w="6940" w:type="dxa"/>
            <w:noWrap w:val="0"/>
            <w:tcMar>
              <w:top w:w="12" w:type="dxa"/>
              <w:left w:w="12" w:type="dxa"/>
              <w:bottom w:w="0" w:type="dxa"/>
              <w:right w:w="12" w:type="dxa"/>
            </w:tcMar>
            <w:vAlign w:val="center"/>
          </w:tcPr>
          <w:p>
            <w:pPr>
              <w:pStyle w:val="11"/>
              <w:spacing w:line="360" w:lineRule="auto"/>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每个体系认证得2分</w:t>
            </w:r>
          </w:p>
        </w:tc>
      </w:tr>
    </w:tbl>
    <w:p>
      <w:pPr>
        <w:pStyle w:val="3"/>
        <w:rPr>
          <w:rFonts w:hint="eastAsia" w:ascii="仿宋" w:hAnsi="仿宋" w:eastAsia="仿宋" w:cs="仿宋"/>
          <w:sz w:val="30"/>
          <w:szCs w:val="30"/>
        </w:rPr>
      </w:pPr>
    </w:p>
    <w:p>
      <w:pPr>
        <w:keepNext w:val="0"/>
        <w:keepLines w:val="0"/>
        <w:pageBreakBefore w:val="0"/>
        <w:widowControl w:val="0"/>
        <w:kinsoku/>
        <w:wordWrap/>
        <w:overflowPunct/>
        <w:topLinePunct w:val="0"/>
        <w:bidi w:val="0"/>
        <w:snapToGrid/>
        <w:spacing w:before="120" w:beforeLines="50"/>
        <w:ind w:firstLine="600" w:firstLineChars="200"/>
        <w:textAlignment w:val="auto"/>
        <w:rPr>
          <w:rFonts w:hint="eastAsia" w:ascii="仿宋" w:hAnsi="仿宋" w:eastAsia="仿宋" w:cs="仿宋"/>
          <w:bCs/>
          <w:sz w:val="30"/>
          <w:szCs w:val="30"/>
        </w:rPr>
      </w:pPr>
    </w:p>
    <w:p>
      <w:pPr>
        <w:keepNext w:val="0"/>
        <w:keepLines w:val="0"/>
        <w:pageBreakBefore w:val="0"/>
        <w:widowControl w:val="0"/>
        <w:tabs>
          <w:tab w:val="left" w:pos="4111"/>
        </w:tabs>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w:t>
      </w:r>
      <w:r>
        <w:rPr>
          <w:rFonts w:hint="eastAsia" w:ascii="仿宋" w:hAnsi="仿宋" w:eastAsia="仿宋" w:cs="仿宋"/>
          <w:sz w:val="30"/>
          <w:szCs w:val="30"/>
        </w:rPr>
        <w:t xml:space="preserve">. 投标文件有下列情形之一的，由评标委员会按不响应招标文件有权拒绝或无效投标处理： </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1）不满足招标文件规定的；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2）无法定代表人签字或盖章的，签字人无法定代表人有效授权的，应加盖投标人公章而未盖章的；未按照招标文件要求密封的；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3）未按规定格式密封或填写，内容不全或者关键内容字迹模糊，无法辨认的；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4）投标人递交两份或多份内容不同的报价文件，或者在一份报价文件中对同一采购项目报有两个或多个报价，且未声明哪一个有效，按招标文件规定提交备选方案的除外；</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5）投标人名称或组织结构与资格审查不一致的；不具备招标文件规定的资格条件及未按招标文件规定的要求提供资格证明文件的；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6）投标人未按照招标文件的要求提供投标保证金的；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7）不同投标人的投标文件内容存在非正常一致的；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8）不同投标人的投标文件相互混装的；不同投标人投标文件中的项目相关人员出现同一人的；不同投标人的投标文件内容出现非正常一致的；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9）不同投标人委托同一人投标的；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10）不同投标人使用同一个人或者企业资金交纳投标保证金的；</w:t>
      </w:r>
    </w:p>
    <w:p>
      <w:pPr>
        <w:keepNext w:val="0"/>
        <w:keepLines w:val="0"/>
        <w:pageBreakBefore w:val="0"/>
        <w:widowControl w:val="0"/>
        <w:numPr>
          <w:ilvl w:val="0"/>
          <w:numId w:val="5"/>
        </w:numPr>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不响应招标文件供货时间、质量要求、技术要求中带“*”的技术内容、质保期等实质性内容的；</w:t>
      </w:r>
    </w:p>
    <w:p>
      <w:pPr>
        <w:keepNext w:val="0"/>
        <w:keepLines w:val="0"/>
        <w:pageBreakBefore w:val="0"/>
        <w:widowControl w:val="0"/>
        <w:numPr>
          <w:ilvl w:val="0"/>
          <w:numId w:val="0"/>
        </w:numPr>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 xml:space="preserve">12）提供虚假材料谋取中标的； </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13）其他任何有企图影响招标结果公正性的活动。</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14）故意哄抬价格或压价等其他恶意串通投标的；有损害招标方和用户利益的规定的。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w:t>
      </w:r>
      <w:r>
        <w:rPr>
          <w:rFonts w:hint="eastAsia" w:ascii="仿宋" w:hAnsi="仿宋" w:eastAsia="仿宋" w:cs="仿宋"/>
          <w:sz w:val="30"/>
          <w:szCs w:val="30"/>
          <w:lang w:val="en-US" w:eastAsia="zh-CN"/>
        </w:rPr>
        <w:t>5</w:t>
      </w:r>
      <w:r>
        <w:rPr>
          <w:rFonts w:hint="eastAsia" w:ascii="仿宋" w:hAnsi="仿宋" w:eastAsia="仿宋" w:cs="仿宋"/>
          <w:sz w:val="30"/>
          <w:szCs w:val="30"/>
        </w:rPr>
        <w:t>）其他未对招标文件实质性要求和条件作出响应的。</w:t>
      </w:r>
    </w:p>
    <w:p>
      <w:pPr>
        <w:pStyle w:val="3"/>
        <w:keepNext w:val="0"/>
        <w:keepLines w:val="0"/>
        <w:pageBreakBefore w:val="0"/>
        <w:widowControl w:val="0"/>
        <w:kinsoku/>
        <w:wordWrap/>
        <w:overflowPunct/>
        <w:topLinePunct w:val="0"/>
        <w:bidi w:val="0"/>
        <w:snapToGrid/>
        <w:ind w:firstLine="480" w:firstLineChars="200"/>
        <w:textAlignment w:val="auto"/>
      </w:pPr>
    </w:p>
    <w:bookmarkEnd w:id="25"/>
    <w:p>
      <w:pPr>
        <w:keepNext w:val="0"/>
        <w:keepLines w:val="0"/>
        <w:pageBreakBefore w:val="0"/>
        <w:widowControl w:val="0"/>
        <w:kinsoku/>
        <w:wordWrap/>
        <w:overflowPunct/>
        <w:topLinePunct w:val="0"/>
        <w:bidi w:val="0"/>
        <w:snapToGrid/>
        <w:ind w:firstLine="420" w:firstLineChars="200"/>
        <w:textAlignment w:val="auto"/>
        <w:rPr>
          <w:rFonts w:hint="eastAsia"/>
          <w:highlight w:val="none"/>
        </w:rPr>
      </w:pPr>
      <w:bookmarkStart w:id="26" w:name="_Toc8987"/>
    </w:p>
    <w:p>
      <w:pPr>
        <w:rPr>
          <w:rFonts w:hint="eastAsia"/>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both"/>
        <w:rPr>
          <w:rFonts w:hint="eastAsia" w:ascii="宋体" w:hAnsi="宋体" w:eastAsia="宋体" w:cs="宋体"/>
          <w:b/>
          <w:bCs/>
          <w:sz w:val="36"/>
          <w:szCs w:val="36"/>
          <w:highlight w:val="none"/>
        </w:rPr>
      </w:pPr>
    </w:p>
    <w:bookmarkEnd w:id="26"/>
    <w:p>
      <w:pPr>
        <w:spacing w:line="360" w:lineRule="auto"/>
        <w:jc w:val="center"/>
        <w:rPr>
          <w:rFonts w:hint="eastAsia" w:ascii="楷体_GB2312" w:hAnsi="宋体" w:eastAsia="楷体_GB2312"/>
          <w:b/>
          <w:bCs/>
          <w:sz w:val="72"/>
          <w:szCs w:val="72"/>
          <w:highlight w:val="none"/>
        </w:rPr>
      </w:pPr>
    </w:p>
    <w:p>
      <w:pPr>
        <w:spacing w:line="360" w:lineRule="auto"/>
        <w:jc w:val="center"/>
        <w:rPr>
          <w:rFonts w:hint="eastAsia" w:ascii="楷体_GB2312" w:hAnsi="宋体" w:eastAsia="楷体_GB2312"/>
          <w:b/>
          <w:bCs/>
          <w:sz w:val="72"/>
          <w:szCs w:val="72"/>
          <w:highlight w:val="none"/>
        </w:rPr>
      </w:pPr>
    </w:p>
    <w:p>
      <w:pPr>
        <w:spacing w:line="360" w:lineRule="auto"/>
        <w:jc w:val="center"/>
        <w:rPr>
          <w:rFonts w:hint="eastAsia" w:ascii="楷体_GB2312" w:hAnsi="宋体" w:eastAsia="楷体_GB2312"/>
          <w:b/>
          <w:bCs/>
          <w:sz w:val="72"/>
          <w:szCs w:val="72"/>
          <w:highlight w:val="none"/>
        </w:rPr>
      </w:pPr>
      <w:r>
        <w:rPr>
          <w:rFonts w:hint="eastAsia" w:ascii="楷体_GB2312" w:hAnsi="宋体" w:eastAsia="楷体_GB2312"/>
          <w:b/>
          <w:bCs/>
          <w:sz w:val="72"/>
          <w:szCs w:val="72"/>
          <w:highlight w:val="none"/>
        </w:rPr>
        <w:t>投标文件</w:t>
      </w:r>
    </w:p>
    <w:p>
      <w:pPr>
        <w:pStyle w:val="2"/>
        <w:rPr>
          <w:rFonts w:hint="eastAsia" w:ascii="楷体_GB2312" w:hAnsi="宋体" w:eastAsia="楷体_GB2312"/>
          <w:b/>
          <w:bCs/>
          <w:sz w:val="72"/>
          <w:szCs w:val="72"/>
          <w:highlight w:val="none"/>
        </w:rPr>
      </w:pPr>
    </w:p>
    <w:p>
      <w:pPr>
        <w:pStyle w:val="2"/>
        <w:rPr>
          <w:rFonts w:hint="eastAsia" w:ascii="楷体_GB2312" w:hAnsi="宋体" w:eastAsia="楷体_GB2312"/>
          <w:b/>
          <w:bCs/>
          <w:sz w:val="72"/>
          <w:szCs w:val="72"/>
          <w:highlight w:val="none"/>
        </w:rPr>
      </w:pPr>
    </w:p>
    <w:p>
      <w:pPr>
        <w:pStyle w:val="2"/>
        <w:ind w:firstLine="643" w:firstLineChars="200"/>
        <w:rPr>
          <w:rFonts w:hint="eastAsia" w:ascii="宋体" w:hAnsi="宋体" w:eastAsia="宋体" w:cs="宋体"/>
          <w:b/>
          <w:bCs/>
          <w:i w:val="0"/>
          <w:iCs w:val="0"/>
          <w:caps w:val="0"/>
          <w:color w:val="000000"/>
          <w:spacing w:val="0"/>
          <w:sz w:val="32"/>
          <w:szCs w:val="32"/>
          <w:shd w:val="clear" w:fill="FCFCFC"/>
          <w:lang w:val="en-US" w:eastAsia="zh-CN"/>
        </w:rPr>
      </w:pPr>
      <w:r>
        <w:rPr>
          <w:rFonts w:hint="eastAsia" w:ascii="宋体" w:hAnsi="宋体" w:cs="宋体"/>
          <w:b/>
          <w:bCs/>
          <w:i w:val="0"/>
          <w:iCs w:val="0"/>
          <w:caps w:val="0"/>
          <w:color w:val="000000"/>
          <w:spacing w:val="0"/>
          <w:sz w:val="32"/>
          <w:szCs w:val="32"/>
          <w:shd w:val="clear" w:fill="FCFCFC"/>
          <w:lang w:val="en-US" w:eastAsia="zh-CN"/>
        </w:rPr>
        <w:t>项目名称：</w:t>
      </w:r>
      <w:r>
        <w:rPr>
          <w:rFonts w:hint="eastAsia" w:ascii="宋体" w:hAnsi="宋体" w:eastAsia="宋体" w:cs="宋体"/>
          <w:b/>
          <w:bCs/>
          <w:i w:val="0"/>
          <w:iCs w:val="0"/>
          <w:caps w:val="0"/>
          <w:color w:val="000000"/>
          <w:spacing w:val="0"/>
          <w:sz w:val="32"/>
          <w:szCs w:val="32"/>
          <w:shd w:val="clear" w:fill="FCFCFC"/>
          <w:lang w:val="en-US" w:eastAsia="zh-CN"/>
        </w:rPr>
        <w:t>济南专用车公司一般固废处置项目</w:t>
      </w:r>
    </w:p>
    <w:p>
      <w:pPr>
        <w:widowControl/>
        <w:spacing w:line="360" w:lineRule="auto"/>
        <w:jc w:val="center"/>
        <w:rPr>
          <w:rFonts w:ascii="宋体" w:hAnsi="宋体" w:cs="宋体"/>
          <w:b/>
          <w:bCs/>
          <w:sz w:val="32"/>
          <w:szCs w:val="32"/>
        </w:rPr>
      </w:pPr>
    </w:p>
    <w:p>
      <w:pPr>
        <w:widowControl/>
        <w:spacing w:line="360" w:lineRule="auto"/>
        <w:jc w:val="center"/>
        <w:rPr>
          <w:rFonts w:ascii="宋体" w:hAnsi="宋体" w:cs="宋体"/>
          <w:b/>
          <w:bCs/>
          <w:kern w:val="0"/>
          <w:sz w:val="40"/>
          <w:szCs w:val="40"/>
        </w:rPr>
      </w:pPr>
    </w:p>
    <w:p>
      <w:pPr>
        <w:widowControl/>
        <w:spacing w:line="360" w:lineRule="auto"/>
        <w:jc w:val="left"/>
        <w:rPr>
          <w:rFonts w:ascii="宋体" w:hAnsi="宋体" w:cs="宋体"/>
          <w:b/>
          <w:bCs/>
          <w:kern w:val="0"/>
          <w:sz w:val="32"/>
          <w:szCs w:val="32"/>
        </w:rPr>
      </w:pPr>
    </w:p>
    <w:p>
      <w:pPr>
        <w:widowControl/>
        <w:spacing w:line="360" w:lineRule="auto"/>
        <w:jc w:val="left"/>
        <w:rPr>
          <w:rFonts w:ascii="宋体" w:hAnsi="宋体" w:cs="宋体"/>
          <w:b/>
          <w:bCs/>
          <w:kern w:val="0"/>
          <w:sz w:val="32"/>
          <w:szCs w:val="32"/>
        </w:rPr>
      </w:pPr>
    </w:p>
    <w:p>
      <w:pPr>
        <w:rPr>
          <w:rFonts w:ascii="宋体" w:hAnsi="宋体" w:cs="宋体"/>
          <w:b/>
          <w:bCs/>
          <w:kern w:val="0"/>
          <w:sz w:val="32"/>
          <w:szCs w:val="32"/>
        </w:rPr>
      </w:pPr>
    </w:p>
    <w:p>
      <w:pPr>
        <w:pStyle w:val="7"/>
        <w:ind w:firstLine="643"/>
        <w:rPr>
          <w:rFonts w:ascii="宋体" w:hAnsi="宋体" w:cs="宋体"/>
          <w:b/>
          <w:bCs/>
          <w:sz w:val="32"/>
          <w:szCs w:val="32"/>
        </w:rPr>
      </w:pPr>
    </w:p>
    <w:p/>
    <w:p>
      <w:pPr>
        <w:widowControl/>
        <w:spacing w:line="360" w:lineRule="auto"/>
        <w:ind w:firstLine="1590" w:firstLineChars="495"/>
        <w:rPr>
          <w:rFonts w:ascii="宋体" w:hAnsi="宋体" w:cs="宋体"/>
          <w:b/>
          <w:bCs/>
          <w:kern w:val="0"/>
          <w:sz w:val="32"/>
          <w:szCs w:val="32"/>
          <w:u w:val="single"/>
        </w:rPr>
      </w:pPr>
    </w:p>
    <w:p>
      <w:pPr>
        <w:widowControl/>
        <w:spacing w:line="360" w:lineRule="auto"/>
        <w:jc w:val="center"/>
        <w:rPr>
          <w:rFonts w:ascii="宋体" w:hAnsi="宋体" w:cs="宋体"/>
          <w:b/>
          <w:bCs/>
          <w:kern w:val="0"/>
          <w:sz w:val="32"/>
          <w:szCs w:val="32"/>
        </w:rPr>
      </w:pPr>
    </w:p>
    <w:p>
      <w:pPr>
        <w:widowControl/>
        <w:spacing w:line="360" w:lineRule="auto"/>
        <w:jc w:val="left"/>
        <w:rPr>
          <w:rFonts w:ascii="宋体" w:hAnsi="宋体" w:cs="宋体"/>
          <w:b/>
          <w:bCs/>
          <w:sz w:val="24"/>
        </w:rPr>
      </w:pPr>
    </w:p>
    <w:p>
      <w:pPr>
        <w:widowControl/>
        <w:spacing w:line="360" w:lineRule="auto"/>
        <w:jc w:val="center"/>
        <w:rPr>
          <w:rFonts w:ascii="宋体" w:hAnsi="宋体" w:cs="宋体"/>
          <w:b/>
          <w:bCs/>
          <w:sz w:val="30"/>
          <w:szCs w:val="30"/>
          <w:u w:val="single"/>
        </w:rPr>
      </w:pPr>
      <w:r>
        <w:rPr>
          <w:rFonts w:hint="eastAsia" w:ascii="宋体" w:hAnsi="宋体" w:cs="宋体"/>
          <w:b/>
          <w:bCs/>
          <w:sz w:val="30"/>
          <w:szCs w:val="30"/>
        </w:rPr>
        <w:t>投 标 人：</w:t>
      </w:r>
      <w:r>
        <w:rPr>
          <w:rFonts w:hint="eastAsia" w:ascii="宋体" w:hAnsi="宋体" w:cs="宋体"/>
          <w:b/>
          <w:bCs/>
          <w:sz w:val="30"/>
          <w:szCs w:val="30"/>
          <w:u w:val="single"/>
        </w:rPr>
        <w:t xml:space="preserve">                    公司</w:t>
      </w:r>
    </w:p>
    <w:p>
      <w:pPr>
        <w:widowControl/>
        <w:spacing w:line="360" w:lineRule="auto"/>
        <w:jc w:val="center"/>
        <w:rPr>
          <w:rFonts w:ascii="宋体" w:hAnsi="宋体" w:cs="宋体"/>
          <w:b/>
          <w:bCs/>
          <w:sz w:val="30"/>
          <w:szCs w:val="30"/>
          <w:highlight w:val="none"/>
        </w:rPr>
      </w:pPr>
      <w:r>
        <w:rPr>
          <w:rFonts w:hint="eastAsia" w:ascii="宋体" w:hAnsi="宋体" w:cs="宋体"/>
          <w:b/>
          <w:bCs/>
          <w:sz w:val="30"/>
          <w:szCs w:val="30"/>
          <w:highlight w:val="none"/>
        </w:rPr>
        <w:t>202</w:t>
      </w:r>
      <w:r>
        <w:rPr>
          <w:rFonts w:hint="eastAsia" w:ascii="宋体" w:hAnsi="宋体" w:cs="宋体"/>
          <w:b/>
          <w:bCs/>
          <w:sz w:val="30"/>
          <w:szCs w:val="30"/>
          <w:highlight w:val="none"/>
          <w:lang w:val="en-US" w:eastAsia="zh-CN"/>
        </w:rPr>
        <w:t>6</w:t>
      </w:r>
      <w:r>
        <w:rPr>
          <w:rFonts w:hint="eastAsia" w:ascii="宋体" w:hAnsi="宋体" w:cs="宋体"/>
          <w:b/>
          <w:bCs/>
          <w:sz w:val="30"/>
          <w:szCs w:val="30"/>
          <w:highlight w:val="none"/>
        </w:rPr>
        <w:t>年</w:t>
      </w:r>
      <w:r>
        <w:rPr>
          <w:rFonts w:hint="eastAsia" w:ascii="宋体" w:hAnsi="宋体" w:cs="宋体"/>
          <w:b/>
          <w:bCs/>
          <w:sz w:val="30"/>
          <w:szCs w:val="30"/>
          <w:highlight w:val="none"/>
          <w:u w:val="single"/>
        </w:rPr>
        <w:t xml:space="preserve"> </w:t>
      </w:r>
      <w:r>
        <w:rPr>
          <w:rFonts w:hint="eastAsia" w:ascii="宋体" w:hAnsi="宋体" w:cs="宋体"/>
          <w:b/>
          <w:bCs/>
          <w:sz w:val="30"/>
          <w:szCs w:val="30"/>
          <w:highlight w:val="none"/>
          <w:u w:val="single"/>
          <w:lang w:val="en-US" w:eastAsia="zh-CN"/>
        </w:rPr>
        <w:t xml:space="preserve">  </w:t>
      </w:r>
      <w:r>
        <w:rPr>
          <w:rFonts w:hint="eastAsia" w:ascii="宋体" w:hAnsi="宋体" w:cs="宋体"/>
          <w:b/>
          <w:bCs/>
          <w:sz w:val="30"/>
          <w:szCs w:val="30"/>
          <w:highlight w:val="none"/>
          <w:u w:val="single"/>
        </w:rPr>
        <w:t xml:space="preserve"> </w:t>
      </w:r>
      <w:r>
        <w:rPr>
          <w:rFonts w:hint="eastAsia" w:ascii="宋体" w:hAnsi="宋体" w:cs="宋体"/>
          <w:b/>
          <w:bCs/>
          <w:sz w:val="30"/>
          <w:szCs w:val="30"/>
          <w:highlight w:val="none"/>
        </w:rPr>
        <w:t>月</w:t>
      </w:r>
    </w:p>
    <w:p>
      <w:pPr>
        <w:pStyle w:val="7"/>
      </w:pPr>
    </w:p>
    <w:p/>
    <w:p>
      <w:pPr>
        <w:jc w:val="both"/>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ascii="宋体" w:hAnsi="宋体" w:cs="宋体"/>
          <w:sz w:val="32"/>
          <w:szCs w:val="32"/>
        </w:rPr>
      </w:pPr>
      <w:r>
        <w:rPr>
          <w:rFonts w:hint="eastAsia" w:ascii="宋体" w:hAnsi="宋体" w:cs="宋体"/>
          <w:b/>
          <w:bCs/>
          <w:sz w:val="32"/>
          <w:szCs w:val="32"/>
        </w:rPr>
        <w:t>资质证明文件</w:t>
      </w:r>
    </w:p>
    <w:p>
      <w:pPr>
        <w:pStyle w:val="6"/>
        <w:spacing w:before="120" w:after="120" w:line="360" w:lineRule="exact"/>
        <w:rPr>
          <w:rFonts w:ascii="宋体" w:hAnsi="宋体" w:cs="宋体"/>
          <w:sz w:val="24"/>
          <w:szCs w:val="24"/>
        </w:rPr>
      </w:pPr>
      <w:bookmarkStart w:id="27" w:name="_Toc3285"/>
      <w:bookmarkStart w:id="28" w:name="_Toc8929"/>
      <w:r>
        <w:rPr>
          <w:rFonts w:hint="eastAsia" w:ascii="宋体" w:hAnsi="宋体" w:cs="宋体"/>
          <w:sz w:val="24"/>
          <w:szCs w:val="24"/>
        </w:rPr>
        <w:t>附件一、营业执照副本</w:t>
      </w:r>
      <w:bookmarkEnd w:id="27"/>
      <w:bookmarkEnd w:id="28"/>
      <w:r>
        <w:rPr>
          <w:rFonts w:hint="eastAsia" w:ascii="仿宋" w:hAnsi="仿宋" w:eastAsia="仿宋" w:cs="仿宋"/>
          <w:sz w:val="30"/>
          <w:szCs w:val="30"/>
        </w:rPr>
        <w:t>（加盖公章）</w:t>
      </w:r>
    </w:p>
    <w:p>
      <w:pPr>
        <w:pStyle w:val="6"/>
        <w:spacing w:before="120" w:after="120" w:line="360" w:lineRule="exact"/>
        <w:rPr>
          <w:rFonts w:ascii="宋体" w:hAnsi="宋体" w:cs="宋体"/>
          <w:sz w:val="24"/>
          <w:szCs w:val="24"/>
        </w:rPr>
      </w:pPr>
    </w:p>
    <w:p/>
    <w:p>
      <w:pPr>
        <w:pStyle w:val="6"/>
        <w:spacing w:before="120" w:after="120" w:line="360" w:lineRule="exact"/>
        <w:rPr>
          <w:rFonts w:ascii="宋体" w:hAnsi="宋体" w:cs="宋体"/>
          <w:sz w:val="24"/>
          <w:szCs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
      <w:pPr>
        <w:pStyle w:val="6"/>
        <w:spacing w:before="120" w:after="120" w:line="360" w:lineRule="exact"/>
        <w:rPr>
          <w:rFonts w:ascii="宋体" w:hAnsi="宋体"/>
          <w:b w:val="0"/>
          <w:bCs w:val="0"/>
          <w:sz w:val="24"/>
          <w:szCs w:val="24"/>
        </w:rPr>
      </w:pPr>
      <w:bookmarkStart w:id="29" w:name="_Toc453709582"/>
      <w:bookmarkStart w:id="30" w:name="_Toc22676"/>
      <w:bookmarkStart w:id="31" w:name="_Toc7529"/>
      <w:r>
        <w:rPr>
          <w:rFonts w:hint="eastAsia" w:ascii="宋体" w:hAnsi="宋体" w:cs="宋体"/>
          <w:sz w:val="24"/>
          <w:szCs w:val="24"/>
        </w:rPr>
        <w:t>附件二、授权委托书</w:t>
      </w:r>
      <w:bookmarkEnd w:id="29"/>
      <w:bookmarkEnd w:id="30"/>
      <w:bookmarkEnd w:id="31"/>
      <w:r>
        <w:rPr>
          <w:rFonts w:hint="eastAsia" w:ascii="仿宋" w:hAnsi="仿宋" w:eastAsia="仿宋" w:cs="仿宋"/>
          <w:sz w:val="30"/>
          <w:szCs w:val="30"/>
        </w:rPr>
        <w:t>（加盖公章）</w:t>
      </w:r>
    </w:p>
    <w:p>
      <w:pPr>
        <w:pStyle w:val="2"/>
        <w:spacing w:after="0"/>
        <w:rPr>
          <w:rFonts w:ascii="宋体" w:hAnsi="宋体"/>
        </w:rPr>
      </w:pPr>
    </w:p>
    <w:p>
      <w:pPr>
        <w:pStyle w:val="2"/>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pPr>
        <w:pStyle w:val="2"/>
        <w:spacing w:after="0" w:line="460" w:lineRule="exact"/>
        <w:jc w:val="center"/>
        <w:rPr>
          <w:rFonts w:ascii="宋体" w:hAnsi="宋体"/>
          <w:b/>
          <w:bCs/>
          <w:sz w:val="32"/>
          <w:szCs w:val="32"/>
        </w:rPr>
      </w:pPr>
    </w:p>
    <w:p>
      <w:pPr>
        <w:pStyle w:val="2"/>
        <w:spacing w:after="0" w:line="560" w:lineRule="exact"/>
        <w:rPr>
          <w:rFonts w:ascii="宋体" w:hAnsi="宋体"/>
          <w:sz w:val="24"/>
          <w:u w:val="single"/>
        </w:rPr>
      </w:pPr>
      <w:r>
        <w:rPr>
          <w:rFonts w:hint="eastAsia" w:ascii="宋体" w:hAnsi="宋体" w:cs="宋体"/>
          <w:sz w:val="24"/>
          <w:u w:val="single"/>
        </w:rPr>
        <w:t xml:space="preserve"> 中国重汽集团济南专用车有限公司 （招标人）：</w:t>
      </w:r>
    </w:p>
    <w:p>
      <w:pPr>
        <w:pStyle w:val="2"/>
        <w:spacing w:after="0" w:line="560" w:lineRule="exact"/>
        <w:ind w:firstLine="480"/>
        <w:rPr>
          <w:rFonts w:ascii="宋体" w:hAnsi="宋体"/>
          <w:sz w:val="24"/>
        </w:rPr>
      </w:pP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（投标人名称）法定代表人</w:t>
      </w:r>
      <w:r>
        <w:rPr>
          <w:rFonts w:ascii="宋体" w:hAnsi="宋体" w:cs="宋体"/>
          <w:sz w:val="24"/>
          <w:u w:val="single"/>
        </w:rPr>
        <w:t xml:space="preserve"> </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rPr>
        <w:t>授权我公司</w:t>
      </w:r>
      <w:r>
        <w:rPr>
          <w:rFonts w:ascii="宋体" w:hAnsi="宋体" w:cs="宋体"/>
          <w:sz w:val="24"/>
          <w:u w:val="single"/>
        </w:rPr>
        <w:t xml:space="preserve">               </w:t>
      </w:r>
      <w:r>
        <w:rPr>
          <w:rFonts w:hint="eastAsia" w:ascii="宋体" w:hAnsi="宋体" w:cs="宋体"/>
          <w:sz w:val="24"/>
        </w:rPr>
        <w:t>（职务或职称）</w:t>
      </w:r>
      <w:r>
        <w:rPr>
          <w:rFonts w:ascii="宋体" w:hAnsi="宋体" w:cs="宋体"/>
          <w:sz w:val="24"/>
          <w:u w:val="single"/>
        </w:rPr>
        <w:t xml:space="preserve">            </w:t>
      </w:r>
      <w:r>
        <w:rPr>
          <w:rFonts w:hint="eastAsia" w:ascii="宋体" w:hAnsi="宋体" w:cs="宋体"/>
          <w:sz w:val="24"/>
        </w:rPr>
        <w:t>（姓名）为我单位本次投标授权代理人，全权处理此次招标项目（项目名称：</w:t>
      </w:r>
      <w:r>
        <w:rPr>
          <w:rFonts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rPr>
        <w:t>）投标活动的一切事宜。</w:t>
      </w:r>
    </w:p>
    <w:p>
      <w:pPr>
        <w:adjustRightInd w:val="0"/>
        <w:snapToGrid w:val="0"/>
        <w:spacing w:before="72" w:beforeLines="30" w:line="360" w:lineRule="auto"/>
        <w:ind w:firstLine="480" w:firstLineChars="200"/>
        <w:rPr>
          <w:rFonts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pPr>
        <w:adjustRightInd w:val="0"/>
        <w:snapToGrid w:val="0"/>
        <w:spacing w:before="72" w:beforeLines="30" w:line="312" w:lineRule="auto"/>
        <w:ind w:firstLine="480" w:firstLineChars="200"/>
        <w:rPr>
          <w:rFonts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DcXHf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oMQygw3/9fX7&#10;zx/fyDJpM3ioMeTO34bZAzQT0bENJv2RAhmznqeznnKMhOPm6qq6fn1dUcLxbFlVqwodxCkervsA&#10;8YN0hiSjoQEblnVkx48Qp9A/ISkbOK3ETmmdndDt3+lAjgybu8vfjP4kTFsyNPQtZsdCGE5si5OC&#10;pvHIGmyX8z25AY+By/z9CzgVtmXQTwVkhBTGaqOiDNnqJRPvrSDx5FFZiw+KpmKMFJRoie8vWTky&#10;MqUviUTttEUJU2emXiQrjvsRYZK5d+KELT34oLoeJc19zOE4Qln7edzTjD72M+jDE9/8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lR/LYAAAACQEAAA8AAAAAAAAAAQAgAAAAIgAAAGRycy9kb3du&#10;cmV2LnhtbFBLAQIUABQAAAAIAIdO4kCQNxcd/wEAACoEAAAOAAAAAAAAAAEAIAAAACcBAABkcnMv&#10;ZTJvRG9jLnhtbFBLBQYAAAAABgAGAFkBAACYBQAAAAA=&#10;">
                <v:fill on="t" focussize="0,0"/>
                <v:stroke color="#000000" joinstyle="miter"/>
                <v:imagedata o:title=""/>
                <o:lock v:ext="edit" aspectratio="f"/>
                <v:textbo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p>
                          <w:p>
                            <w:pPr>
                              <w:jc w:val="center"/>
                            </w:pPr>
                          </w:p>
                          <w:p>
                            <w:pPr>
                              <w:jc w:val="center"/>
                            </w:pPr>
                          </w:p>
                          <w:p>
                            <w:pPr>
                              <w:jc w:val="center"/>
                            </w:pPr>
                            <w:r>
                              <w:rPr>
                                <w:rFonts w:hint="eastAsia"/>
                              </w:rPr>
                              <w:t>法定代表人身份证复印件（反面）</w:t>
                            </w:r>
                          </w:p>
                          <w:p>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pPr>
                        <w:jc w:val="center"/>
                      </w:pPr>
                    </w:p>
                    <w:p>
                      <w:pPr>
                        <w:jc w:val="center"/>
                      </w:pPr>
                    </w:p>
                    <w:p>
                      <w:pPr>
                        <w:jc w:val="center"/>
                      </w:pPr>
                    </w:p>
                    <w:p>
                      <w:pPr>
                        <w:jc w:val="center"/>
                      </w:pPr>
                      <w:r>
                        <w:rPr>
                          <w:rFonts w:hint="eastAsia"/>
                        </w:rPr>
                        <w:t>法定代表人身份证复印件（反面）</w:t>
                      </w:r>
                    </w:p>
                    <w:p>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6LA9vAAIAACoEAAAOAAAAAAAAAAEAIAAAACkBAABk&#10;cnMvZTJvRG9jLnhtbFBLBQYAAAAABgAGAFkBAACbBQAAAAA=&#10;">
                <v:fill on="t" focussize="0,0"/>
                <v:stroke color="#000000" joinstyle="miter"/>
                <v:imagedata o:title=""/>
                <o:lock v:ext="edit" aspectratio="f"/>
                <v:textbox>
                  <w:txbxContent>
                    <w:p>
                      <w:pPr>
                        <w:jc w:val="center"/>
                      </w:pPr>
                      <w:r>
                        <w:rPr>
                          <w:rFonts w:hint="eastAsia"/>
                        </w:rPr>
                        <w:t>授权代理人身份证复印件（反面）</w:t>
                      </w:r>
                    </w:p>
                  </w:txbxContent>
                </v:textbox>
              </v:rect>
            </w:pict>
          </mc:Fallback>
        </mc:AlternateContent>
      </w: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rPr>
          <w:rFonts w:ascii="宋体" w:hAnsi="宋体"/>
          <w:sz w:val="24"/>
        </w:rPr>
      </w:pPr>
    </w:p>
    <w:p>
      <w:pPr>
        <w:pStyle w:val="2"/>
        <w:spacing w:after="0" w:line="560" w:lineRule="exact"/>
        <w:rPr>
          <w:rFonts w:ascii="宋体" w:hAnsi="宋体"/>
          <w:sz w:val="24"/>
        </w:rPr>
      </w:pPr>
      <w:r>
        <w:rPr>
          <w:rFonts w:hint="eastAsia" w:ascii="宋体" w:hAnsi="宋体" w:cs="宋体"/>
          <w:sz w:val="24"/>
        </w:rPr>
        <w:t>单位名称（公章）：</w:t>
      </w:r>
      <w:r>
        <w:rPr>
          <w:rFonts w:ascii="宋体" w:hAnsi="宋体" w:cs="宋体"/>
          <w:sz w:val="24"/>
          <w:u w:val="single"/>
        </w:rPr>
        <w:t xml:space="preserve">                 </w:t>
      </w:r>
    </w:p>
    <w:p>
      <w:pPr>
        <w:pStyle w:val="2"/>
        <w:spacing w:after="0" w:line="560" w:lineRule="exact"/>
        <w:rPr>
          <w:rFonts w:ascii="宋体" w:hAnsi="宋体"/>
          <w:sz w:val="24"/>
        </w:rPr>
      </w:pPr>
      <w:r>
        <w:rPr>
          <w:rFonts w:hint="eastAsia" w:ascii="宋体" w:hAnsi="宋体" w:cs="宋体"/>
          <w:sz w:val="24"/>
        </w:rPr>
        <w:t>法定代表人签字：</w:t>
      </w:r>
      <w:r>
        <w:rPr>
          <w:rFonts w:ascii="宋体" w:hAnsi="宋体" w:cs="宋体"/>
          <w:sz w:val="24"/>
          <w:u w:val="single"/>
        </w:rPr>
        <w:t xml:space="preserve">                  </w:t>
      </w:r>
    </w:p>
    <w:p>
      <w:pPr>
        <w:pStyle w:val="2"/>
        <w:spacing w:after="0" w:line="560" w:lineRule="exact"/>
        <w:rPr>
          <w:rFonts w:ascii="宋体" w:hAnsi="宋体"/>
          <w:sz w:val="24"/>
        </w:rPr>
      </w:pPr>
      <w:r>
        <w:rPr>
          <w:rFonts w:hint="eastAsia" w:ascii="宋体" w:hAnsi="宋体" w:cs="宋体"/>
          <w:sz w:val="24"/>
        </w:rPr>
        <w:t>授权代理人签字：</w:t>
      </w:r>
      <w:r>
        <w:rPr>
          <w:rFonts w:ascii="宋体" w:hAnsi="宋体" w:cs="宋体"/>
          <w:sz w:val="24"/>
          <w:u w:val="single"/>
        </w:rPr>
        <w:t xml:space="preserve">                  </w:t>
      </w:r>
    </w:p>
    <w:p>
      <w:pPr>
        <w:pStyle w:val="2"/>
        <w:spacing w:after="0" w:line="560" w:lineRule="exact"/>
        <w:rPr>
          <w:rFonts w:ascii="宋体" w:hAnsi="宋体"/>
          <w:sz w:val="24"/>
        </w:rPr>
      </w:pPr>
    </w:p>
    <w:p>
      <w:pPr>
        <w:pStyle w:val="2"/>
        <w:spacing w:after="0" w:line="560" w:lineRule="exact"/>
        <w:ind w:left="5880" w:right="283" w:rightChars="135" w:firstLine="420"/>
        <w:jc w:val="right"/>
        <w:rPr>
          <w:rFonts w:ascii="宋体" w:hAnsi="宋体"/>
          <w:sz w:val="24"/>
        </w:rPr>
      </w:pPr>
      <w:r>
        <w:rPr>
          <w:rFonts w:hint="eastAsia" w:ascii="宋体" w:hAnsi="宋体" w:cs="宋体"/>
          <w:sz w:val="24"/>
        </w:rPr>
        <w:t>年</w:t>
      </w:r>
      <w:r>
        <w:rPr>
          <w:rFonts w:ascii="宋体" w:hAnsi="宋体" w:cs="宋体"/>
          <w:sz w:val="24"/>
        </w:rPr>
        <w:t xml:space="preserve">    </w:t>
      </w:r>
      <w:r>
        <w:rPr>
          <w:rFonts w:hint="eastAsia" w:ascii="宋体" w:hAnsi="宋体" w:cs="宋体"/>
          <w:sz w:val="24"/>
        </w:rPr>
        <w:t>月</w:t>
      </w:r>
      <w:r>
        <w:rPr>
          <w:rFonts w:ascii="宋体" w:hAnsi="宋体" w:cs="宋体"/>
          <w:sz w:val="24"/>
        </w:rPr>
        <w:t xml:space="preserve">    </w:t>
      </w:r>
      <w:r>
        <w:rPr>
          <w:rFonts w:hint="eastAsia" w:ascii="宋体" w:hAnsi="宋体" w:cs="宋体"/>
          <w:sz w:val="24"/>
        </w:rPr>
        <w:t>日</w:t>
      </w:r>
    </w:p>
    <w:p>
      <w:pPr>
        <w:tabs>
          <w:tab w:val="left" w:pos="6313"/>
        </w:tabs>
        <w:spacing w:line="460" w:lineRule="exact"/>
        <w:rPr>
          <w:rFonts w:ascii="宋体" w:hAnsi="宋体"/>
          <w:sz w:val="24"/>
        </w:rPr>
      </w:pPr>
    </w:p>
    <w:p>
      <w:pPr>
        <w:pStyle w:val="6"/>
        <w:spacing w:before="120" w:after="120" w:line="360" w:lineRule="exact"/>
        <w:rPr>
          <w:rFonts w:ascii="宋体" w:hAnsi="宋体" w:cs="宋体"/>
          <w:sz w:val="24"/>
          <w:szCs w:val="24"/>
        </w:rPr>
      </w:pPr>
      <w:bookmarkStart w:id="32" w:name="_Toc18498"/>
      <w:bookmarkStart w:id="33" w:name="_Toc16998"/>
      <w:r>
        <w:rPr>
          <w:rFonts w:hint="eastAsia" w:ascii="宋体" w:hAnsi="宋体" w:cs="宋体"/>
          <w:sz w:val="24"/>
          <w:szCs w:val="24"/>
        </w:rPr>
        <w:t>附件三、信用中国截图</w:t>
      </w:r>
      <w:bookmarkEnd w:id="32"/>
      <w:bookmarkEnd w:id="33"/>
    </w:p>
    <w:p>
      <w:pPr>
        <w:tabs>
          <w:tab w:val="left" w:pos="6313"/>
        </w:tabs>
        <w:spacing w:line="460" w:lineRule="exact"/>
        <w:ind w:firstLine="480" w:firstLineChars="200"/>
        <w:rPr>
          <w:rFonts w:ascii="宋体" w:hAnsi="宋体"/>
          <w:sz w:val="24"/>
        </w:rPr>
      </w:pPr>
      <w:r>
        <w:rPr>
          <w:rFonts w:hint="eastAsia" w:ascii="宋体" w:hAnsi="宋体"/>
          <w:sz w:val="24"/>
        </w:rPr>
        <w:t>报名当日内“信用中国”网站(www.creditchina.gov.cn）查询本单位未被列入联合惩戒失信人名单的网页截图，并加盖公章。</w:t>
      </w:r>
    </w:p>
    <w:p>
      <w:pPr>
        <w:pStyle w:val="6"/>
        <w:spacing w:before="120" w:after="120" w:line="360" w:lineRule="exact"/>
        <w:rPr>
          <w:rFonts w:ascii="宋体" w:hAnsi="宋体" w:cs="宋体"/>
          <w:sz w:val="24"/>
          <w:szCs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0" w:firstLineChars="0"/>
        <w:rPr>
          <w:rFonts w:ascii="宋体" w:hAnsi="宋体" w:cs="宋体"/>
          <w:b/>
          <w:bCs/>
          <w:sz w:val="24"/>
        </w:rPr>
      </w:pPr>
    </w:p>
    <w:p>
      <w:pPr>
        <w:pStyle w:val="3"/>
        <w:rPr>
          <w:rFonts w:hint="eastAsia" w:ascii="宋体" w:hAnsi="宋体" w:eastAsia="宋体" w:cs="宋体"/>
          <w:b/>
          <w:bCs/>
          <w:sz w:val="24"/>
          <w:szCs w:val="24"/>
          <w:highlight w:val="yellow"/>
        </w:rPr>
      </w:pPr>
      <w:bookmarkStart w:id="34" w:name="_Toc18660"/>
      <w:bookmarkStart w:id="35" w:name="_Toc27109"/>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3132" w:hangingChars="1300"/>
        <w:jc w:val="both"/>
        <w:textAlignment w:val="auto"/>
        <w:rPr>
          <w:rFonts w:hint="eastAsia" w:ascii="宋体" w:hAnsi="宋体" w:cs="宋体"/>
          <w:sz w:val="24"/>
          <w:szCs w:val="24"/>
          <w:highlight w:val="none"/>
        </w:rPr>
      </w:pP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3132" w:hangingChars="1300"/>
        <w:jc w:val="both"/>
        <w:textAlignment w:val="auto"/>
        <w:rPr>
          <w:rFonts w:hint="eastAsia" w:ascii="宋体" w:hAnsi="宋体" w:eastAsia="宋体" w:cs="宋体"/>
          <w:sz w:val="24"/>
          <w:szCs w:val="24"/>
          <w:highlight w:val="none"/>
          <w:lang w:eastAsia="zh-CN"/>
        </w:rPr>
      </w:pPr>
      <w:r>
        <w:rPr>
          <w:rFonts w:hint="eastAsia" w:ascii="宋体" w:hAnsi="宋体" w:cs="宋体"/>
          <w:sz w:val="24"/>
          <w:szCs w:val="24"/>
          <w:highlight w:val="none"/>
        </w:rPr>
        <w:t>附件</w:t>
      </w:r>
      <w:r>
        <w:rPr>
          <w:rFonts w:hint="eastAsia" w:ascii="宋体" w:hAnsi="宋体" w:cs="宋体"/>
          <w:sz w:val="24"/>
          <w:szCs w:val="24"/>
          <w:highlight w:val="none"/>
          <w:lang w:val="en-US" w:eastAsia="zh-CN"/>
        </w:rPr>
        <w:t>四</w:t>
      </w:r>
      <w:r>
        <w:rPr>
          <w:rFonts w:hint="eastAsia" w:ascii="宋体" w:hAnsi="宋体" w:cs="宋体"/>
          <w:sz w:val="24"/>
          <w:szCs w:val="24"/>
          <w:highlight w:val="none"/>
        </w:rPr>
        <w:t>、</w:t>
      </w:r>
      <w:r>
        <w:rPr>
          <w:rFonts w:ascii="宋体" w:hAnsi="宋体" w:eastAsia="宋体" w:cs="宋体"/>
          <w:sz w:val="24"/>
          <w:szCs w:val="24"/>
          <w:highlight w:val="none"/>
        </w:rPr>
        <w:t>中文版本的审计报告或财务报表</w:t>
      </w:r>
      <w:r>
        <w:rPr>
          <w:rFonts w:hint="eastAsia" w:ascii="仿宋" w:hAnsi="仿宋" w:eastAsia="仿宋" w:cs="仿宋"/>
          <w:sz w:val="30"/>
          <w:szCs w:val="30"/>
        </w:rPr>
        <w:t>（加盖公章）</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hint="eastAsia" w:ascii="宋体" w:hAnsi="宋体" w:cs="宋体"/>
          <w:b w:val="0"/>
          <w:bCs w:val="0"/>
          <w:sz w:val="22"/>
          <w:szCs w:val="22"/>
          <w:highlight w:val="none"/>
          <w:lang w:eastAsia="zh-CN"/>
        </w:rPr>
        <w:t>（</w:t>
      </w:r>
      <w:r>
        <w:rPr>
          <w:rFonts w:ascii="宋体" w:hAnsi="宋体" w:eastAsia="宋体" w:cs="宋体"/>
          <w:b w:val="0"/>
          <w:bCs w:val="0"/>
          <w:sz w:val="22"/>
          <w:szCs w:val="22"/>
          <w:highlight w:val="none"/>
        </w:rPr>
        <w:t>经会计师事务所审计且出具无保留意见的近三年的财务审计报告原件，并加盖公章，</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包括但不限于报告页、经审计的资产负债表、利润表、现金流量表及报表附注。如投标</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人公司没有经审计的财务报告，可提供加盖公章的近三年财务报表，包括但不限于资产</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hint="eastAsia" w:ascii="宋体" w:hAnsi="宋体" w:eastAsia="宋体" w:cs="宋体"/>
          <w:b w:val="0"/>
          <w:bCs w:val="0"/>
          <w:sz w:val="22"/>
          <w:szCs w:val="22"/>
          <w:highlight w:val="none"/>
          <w:lang w:val="en-US" w:eastAsia="zh-CN"/>
        </w:rPr>
      </w:pPr>
      <w:r>
        <w:rPr>
          <w:rFonts w:ascii="宋体" w:hAnsi="宋体" w:eastAsia="宋体" w:cs="宋体"/>
          <w:b w:val="0"/>
          <w:bCs w:val="0"/>
          <w:sz w:val="22"/>
          <w:szCs w:val="22"/>
          <w:highlight w:val="none"/>
        </w:rPr>
        <w:t>负债表、利润表、现金流量表。</w:t>
      </w:r>
      <w:r>
        <w:rPr>
          <w:rFonts w:hint="eastAsia" w:ascii="宋体" w:hAnsi="宋体" w:cs="宋体"/>
          <w:b w:val="0"/>
          <w:bCs w:val="0"/>
          <w:sz w:val="22"/>
          <w:szCs w:val="22"/>
          <w:highlight w:val="none"/>
          <w:lang w:val="en-US" w:eastAsia="zh-CN"/>
        </w:rPr>
        <w:t>)</w:t>
      </w: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b w:val="0"/>
          <w:bCs w:val="0"/>
          <w:sz w:val="22"/>
          <w:szCs w:val="22"/>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highlight w:val="none"/>
        </w:rPr>
      </w:pPr>
      <w:r>
        <w:rPr>
          <w:rFonts w:hint="eastAsia" w:ascii="宋体" w:hAnsi="宋体" w:cs="宋体"/>
          <w:sz w:val="24"/>
          <w:szCs w:val="24"/>
        </w:rPr>
        <w:t>附</w:t>
      </w:r>
      <w:r>
        <w:rPr>
          <w:rFonts w:hint="eastAsia" w:ascii="宋体" w:hAnsi="宋体" w:cs="宋体"/>
          <w:sz w:val="24"/>
          <w:szCs w:val="24"/>
          <w:highlight w:val="none"/>
        </w:rPr>
        <w:t>件</w:t>
      </w:r>
      <w:r>
        <w:rPr>
          <w:rFonts w:hint="eastAsia" w:ascii="宋体" w:hAnsi="宋体" w:cs="宋体"/>
          <w:sz w:val="24"/>
          <w:szCs w:val="24"/>
          <w:highlight w:val="none"/>
          <w:lang w:val="en-US" w:eastAsia="zh-CN"/>
        </w:rPr>
        <w:t>五</w:t>
      </w:r>
      <w:r>
        <w:rPr>
          <w:rFonts w:hint="eastAsia" w:ascii="宋体" w:hAnsi="宋体" w:cs="宋体"/>
          <w:sz w:val="24"/>
          <w:szCs w:val="24"/>
          <w:highlight w:val="none"/>
        </w:rPr>
        <w:t>、</w:t>
      </w:r>
      <w:r>
        <w:rPr>
          <w:rFonts w:hint="eastAsia" w:ascii="仿宋" w:hAnsi="仿宋" w:eastAsia="仿宋" w:cs="仿宋"/>
          <w:spacing w:val="4"/>
          <w:kern w:val="2"/>
          <w:sz w:val="28"/>
          <w:szCs w:val="28"/>
          <w:lang w:val="en-US" w:eastAsia="zh-CN" w:bidi="ar-SA"/>
        </w:rPr>
        <w:t>投标人具有固体废物处理资格或与具有固体废物处理资格单位签署《接收证明》及《处理协议或合同》</w:t>
      </w:r>
      <w:r>
        <w:rPr>
          <w:rFonts w:hint="eastAsia" w:ascii="宋体" w:hAnsi="宋体" w:eastAsia="宋体" w:cs="宋体"/>
          <w:i w:val="0"/>
          <w:iCs w:val="0"/>
          <w:caps w:val="0"/>
          <w:spacing w:val="0"/>
          <w:sz w:val="22"/>
          <w:szCs w:val="22"/>
          <w:highlight w:val="none"/>
          <w:shd w:val="clear" w:fill="FFFFFF"/>
        </w:rPr>
        <w:t>（需加盖公章）</w:t>
      </w: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sz w:val="24"/>
        </w:rPr>
      </w:pPr>
      <w:r>
        <w:rPr>
          <w:rFonts w:hint="eastAsia" w:ascii="宋体" w:hAnsi="宋体" w:cs="宋体"/>
          <w:sz w:val="24"/>
          <w:szCs w:val="24"/>
        </w:rPr>
        <w:t>附件</w:t>
      </w:r>
      <w:r>
        <w:rPr>
          <w:rFonts w:hint="eastAsia" w:ascii="宋体" w:hAnsi="宋体" w:cs="宋体"/>
          <w:sz w:val="24"/>
          <w:szCs w:val="24"/>
          <w:lang w:val="en-US" w:eastAsia="zh-CN"/>
        </w:rPr>
        <w:t>六</w:t>
      </w:r>
      <w:r>
        <w:rPr>
          <w:rFonts w:hint="eastAsia" w:ascii="宋体" w:hAnsi="宋体" w:cs="宋体"/>
          <w:sz w:val="24"/>
          <w:szCs w:val="24"/>
        </w:rPr>
        <w:t>、</w:t>
      </w:r>
      <w:r>
        <w:rPr>
          <w:rFonts w:hint="eastAsia" w:ascii="宋体" w:hAnsi="宋体"/>
          <w:sz w:val="24"/>
        </w:rPr>
        <w:t>投标保证金回执截图</w:t>
      </w:r>
      <w:bookmarkEnd w:id="34"/>
      <w:r>
        <w:rPr>
          <w:rFonts w:hint="eastAsia" w:ascii="宋体" w:hAnsi="宋体"/>
          <w:sz w:val="24"/>
        </w:rPr>
        <w:t>、保证金收据承诺函</w:t>
      </w:r>
      <w:bookmarkEnd w:id="35"/>
    </w:p>
    <w:p/>
    <w:p>
      <w:pPr>
        <w:rPr>
          <w:rFonts w:hint="eastAsia"/>
          <w:sz w:val="22"/>
          <w:szCs w:val="22"/>
        </w:rPr>
      </w:pPr>
      <w:r>
        <w:rPr>
          <w:rFonts w:hint="eastAsia"/>
          <w:sz w:val="22"/>
          <w:szCs w:val="22"/>
        </w:rPr>
        <w:t>（必须为公对公账户，电汇）</w:t>
      </w: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7"/>
      </w:pPr>
    </w:p>
    <w:p/>
    <w:p>
      <w:pPr>
        <w:pStyle w:val="7"/>
      </w:pPr>
    </w:p>
    <w:p/>
    <w:p>
      <w:pPr>
        <w:pStyle w:val="7"/>
      </w:pPr>
    </w:p>
    <w:p/>
    <w:p>
      <w:pPr>
        <w:pStyle w:val="7"/>
      </w:pPr>
    </w:p>
    <w:p>
      <w:r>
        <w:rPr>
          <w:rFonts w:hint="eastAsia" w:ascii="宋体" w:hAnsi="宋体" w:cs="宋体"/>
          <w:sz w:val="24"/>
          <w:szCs w:val="24"/>
        </w:rPr>
        <w:t>附件</w:t>
      </w:r>
      <w:r>
        <w:rPr>
          <w:rFonts w:hint="eastAsia" w:ascii="宋体" w:hAnsi="宋体" w:cs="宋体"/>
          <w:sz w:val="24"/>
          <w:szCs w:val="24"/>
          <w:lang w:val="en-US" w:eastAsia="zh-CN"/>
        </w:rPr>
        <w:t>七</w:t>
      </w:r>
      <w:r>
        <w:rPr>
          <w:rFonts w:hint="eastAsia" w:ascii="宋体" w:hAnsi="宋体" w:cs="宋体"/>
          <w:sz w:val="24"/>
          <w:szCs w:val="24"/>
        </w:rPr>
        <w:t>、</w:t>
      </w:r>
      <w:r>
        <w:rPr>
          <w:rFonts w:hint="eastAsia" w:ascii="仿宋" w:hAnsi="仿宋" w:eastAsia="仿宋" w:cs="仿宋"/>
          <w:sz w:val="30"/>
          <w:szCs w:val="30"/>
          <w:highlight w:val="none"/>
        </w:rPr>
        <w:t>企业对外担保说明（写明贵单位对外有无对外担保和质押业务，需加盖公章）</w:t>
      </w:r>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Pr>
        <w:pStyle w:val="7"/>
        <w:ind w:firstLine="0" w:firstLineChars="0"/>
      </w:pPr>
    </w:p>
    <w:p>
      <w:pPr>
        <w:jc w:val="center"/>
        <w:rPr>
          <w:rFonts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ascii="宋体" w:hAnsi="宋体" w:cs="宋体"/>
          <w:b/>
          <w:bCs/>
          <w:sz w:val="32"/>
          <w:szCs w:val="32"/>
        </w:rPr>
      </w:pPr>
      <w:r>
        <w:rPr>
          <w:rFonts w:hint="eastAsia" w:ascii="宋体" w:hAnsi="宋体" w:cs="宋体"/>
          <w:b/>
          <w:bCs/>
          <w:sz w:val="32"/>
          <w:szCs w:val="32"/>
        </w:rPr>
        <w:t>商务文件</w:t>
      </w:r>
    </w:p>
    <w:p>
      <w:pPr>
        <w:pStyle w:val="6"/>
        <w:spacing w:before="120" w:after="120" w:line="360" w:lineRule="exact"/>
        <w:rPr>
          <w:rFonts w:ascii="宋体" w:hAnsi="宋体" w:cs="宋体"/>
          <w:sz w:val="24"/>
          <w:szCs w:val="24"/>
        </w:rPr>
      </w:pPr>
      <w:bookmarkStart w:id="36" w:name="_Toc13989"/>
      <w:bookmarkStart w:id="37" w:name="_Toc31607"/>
      <w:r>
        <w:rPr>
          <w:rFonts w:hint="eastAsia" w:ascii="宋体" w:hAnsi="宋体" w:cs="宋体"/>
          <w:sz w:val="24"/>
          <w:szCs w:val="24"/>
        </w:rPr>
        <w:t>附件</w:t>
      </w:r>
      <w:r>
        <w:rPr>
          <w:rFonts w:hint="eastAsia" w:ascii="宋体" w:hAnsi="宋体" w:cs="宋体"/>
          <w:sz w:val="24"/>
          <w:szCs w:val="24"/>
          <w:lang w:val="en-US" w:eastAsia="zh-CN"/>
        </w:rPr>
        <w:t>八</w:t>
      </w:r>
      <w:r>
        <w:rPr>
          <w:rFonts w:hint="eastAsia" w:ascii="宋体" w:hAnsi="宋体" w:cs="宋体"/>
          <w:sz w:val="24"/>
          <w:szCs w:val="24"/>
        </w:rPr>
        <w:t>、投标函</w:t>
      </w:r>
      <w:bookmarkEnd w:id="36"/>
      <w:bookmarkEnd w:id="37"/>
    </w:p>
    <w:p>
      <w:pPr>
        <w:jc w:val="center"/>
        <w:rPr>
          <w:rFonts w:ascii="宋体" w:hAnsi="宋体"/>
          <w:b/>
          <w:bCs/>
          <w:sz w:val="36"/>
          <w:szCs w:val="36"/>
        </w:rPr>
      </w:pPr>
      <w:r>
        <w:rPr>
          <w:rFonts w:hint="eastAsia" w:ascii="宋体" w:hAnsi="宋体"/>
          <w:b/>
          <w:bCs/>
          <w:sz w:val="36"/>
          <w:szCs w:val="36"/>
        </w:rPr>
        <w:t>投标函</w:t>
      </w:r>
    </w:p>
    <w:p>
      <w:pPr>
        <w:pStyle w:val="12"/>
        <w:adjustRightInd w:val="0"/>
        <w:snapToGrid w:val="0"/>
        <w:spacing w:before="72" w:beforeLines="30" w:line="460" w:lineRule="exact"/>
        <w:ind w:left="0" w:leftChars="0"/>
        <w:rPr>
          <w:rFonts w:ascii="宋体" w:hAnsi="宋体"/>
          <w:i/>
          <w:iCs/>
          <w:sz w:val="24"/>
        </w:rPr>
      </w:pPr>
      <w:r>
        <w:rPr>
          <w:rFonts w:hint="eastAsia" w:ascii="宋体" w:hAnsi="宋体"/>
          <w:sz w:val="24"/>
          <w:u w:val="single"/>
        </w:rPr>
        <w:t xml:space="preserve"> 中国重汽集团济南专用车有限公司</w:t>
      </w:r>
      <w:r>
        <w:rPr>
          <w:rFonts w:hint="eastAsia" w:ascii="宋体" w:hAnsi="宋体"/>
          <w:i/>
          <w:iCs/>
          <w:sz w:val="24"/>
        </w:rPr>
        <w:t>（招标人全称）：</w:t>
      </w:r>
    </w:p>
    <w:p>
      <w:pPr>
        <w:spacing w:before="30" w:line="460" w:lineRule="exact"/>
        <w:ind w:firstLine="480" w:firstLineChars="200"/>
        <w:rPr>
          <w:rFonts w:ascii="宋体" w:hAnsi="宋体"/>
          <w:sz w:val="24"/>
        </w:rPr>
      </w:pPr>
      <w:r>
        <w:rPr>
          <w:rFonts w:hint="eastAsia" w:ascii="宋体" w:hAnsi="宋体"/>
          <w:sz w:val="24"/>
        </w:rPr>
        <w:t>按照《中华人民共和国招标投标法》等有关法律规定，我们根据编号为</w:t>
      </w:r>
      <w:r>
        <w:rPr>
          <w:rFonts w:hint="eastAsia" w:ascii="宋体" w:hAnsi="宋体"/>
          <w:sz w:val="24"/>
          <w:u w:val="single"/>
        </w:rPr>
        <w:t xml:space="preserve">          </w:t>
      </w:r>
      <w:r>
        <w:rPr>
          <w:rFonts w:hint="eastAsia" w:ascii="宋体" w:hAnsi="宋体"/>
          <w:sz w:val="24"/>
        </w:rPr>
        <w:t>招标文件的要求，对</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highlight w:val="none"/>
          <w:u w:val="single"/>
        </w:rPr>
        <w:t>（</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（姓名、职务）提交投标文件，并保证所提供的全部资料的真实性、准确性。</w:t>
      </w:r>
    </w:p>
    <w:p>
      <w:pPr>
        <w:tabs>
          <w:tab w:val="left" w:pos="105"/>
        </w:tabs>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pPr>
        <w:tabs>
          <w:tab w:val="left" w:pos="105"/>
        </w:tabs>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（3）我方已详细检查所有招标文件、附件以及所提供的参考文件等，因模糊和误解产生的一切后果，由我方自负。</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（5）我方同意招标人的要求，提供与递交投标文件有关的其他数据和资料。</w:t>
      </w:r>
    </w:p>
    <w:p>
      <w:pPr>
        <w:adjustRightInd w:val="0"/>
        <w:snapToGrid w:val="0"/>
        <w:spacing w:before="72" w:beforeLines="30" w:line="400" w:lineRule="atLeast"/>
        <w:ind w:firstLine="480" w:firstLineChars="200"/>
        <w:rPr>
          <w:rFonts w:ascii="宋体" w:hAnsi="宋体"/>
          <w:sz w:val="24"/>
        </w:rPr>
      </w:pPr>
      <w:r>
        <w:rPr>
          <w:rFonts w:hint="eastAsia" w:ascii="宋体" w:hAnsi="宋体"/>
          <w:bCs/>
          <w:sz w:val="24"/>
        </w:rPr>
        <w:t>（6）我方愿按《中华人民共和国合同法》履行自己的全部责任。</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（8）我方同意按招标文件规定交纳投标保证金，遵守贵机构有关招标的各项规定。</w:t>
      </w:r>
    </w:p>
    <w:p>
      <w:pPr>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w:t>
      </w:r>
      <w:r>
        <w:rPr>
          <w:rFonts w:hint="eastAsia" w:ascii="宋体" w:hAnsi="宋体"/>
          <w:bCs/>
          <w:sz w:val="24"/>
          <w:lang w:val="en-US" w:eastAsia="zh-CN"/>
        </w:rPr>
        <w:t>9</w:t>
      </w:r>
      <w:r>
        <w:rPr>
          <w:rFonts w:hint="eastAsia" w:ascii="宋体" w:hAnsi="宋体"/>
          <w:bCs/>
          <w:sz w:val="24"/>
        </w:rPr>
        <w:t>）我方承诺投标所报同类产品价格不高于供应国内其它公司的价格。</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（1</w:t>
      </w:r>
      <w:r>
        <w:rPr>
          <w:rFonts w:hint="eastAsia" w:ascii="宋体" w:hAnsi="宋体"/>
          <w:sz w:val="24"/>
          <w:lang w:val="en-US" w:eastAsia="zh-CN"/>
        </w:rPr>
        <w:t>0</w:t>
      </w:r>
      <w:r>
        <w:rPr>
          <w:rFonts w:hint="eastAsia" w:ascii="宋体" w:hAnsi="宋体"/>
          <w:sz w:val="24"/>
        </w:rPr>
        <w:t>）若我方中标某一包产品（单件招标除外），则我方承诺承接后续招标人按分包定义分配到此包的所有产品，否则愿接受招标人扣除相关保证金等后果。</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（1</w:t>
      </w:r>
      <w:r>
        <w:rPr>
          <w:rFonts w:hint="eastAsia" w:ascii="宋体" w:hAnsi="宋体"/>
          <w:sz w:val="24"/>
          <w:lang w:val="en-US" w:eastAsia="zh-CN"/>
        </w:rPr>
        <w:t>1</w:t>
      </w:r>
      <w:r>
        <w:rPr>
          <w:rFonts w:hint="eastAsia" w:ascii="宋体" w:hAnsi="宋体"/>
          <w:sz w:val="24"/>
        </w:rPr>
        <w:t>）与本报价有关的所有往来信函，应按下列地址进行：</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地址：                           邮政编码：</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电话：                           传真：</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                        电子信箱：</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投标人全称：                     开户银行名称：</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公章：                           银行帐号：</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法人代表签字：                   开户行地址：</w:t>
      </w:r>
    </w:p>
    <w:p>
      <w:pPr>
        <w:spacing w:line="360" w:lineRule="auto"/>
        <w:ind w:left="795" w:firstLine="6960" w:firstLineChars="2900"/>
        <w:rPr>
          <w:sz w:val="24"/>
        </w:rPr>
      </w:pPr>
      <w:r>
        <w:rPr>
          <w:rFonts w:hint="eastAsia" w:ascii="宋体" w:hAnsi="宋体"/>
          <w:sz w:val="24"/>
        </w:rPr>
        <w:t>年  月  日</w:t>
      </w:r>
    </w:p>
    <w:p>
      <w:pPr>
        <w:pStyle w:val="6"/>
        <w:spacing w:before="120" w:after="120" w:line="560" w:lineRule="exact"/>
        <w:rPr>
          <w:rFonts w:hint="eastAsia" w:ascii="宋体" w:hAnsi="宋体" w:cs="宋体"/>
          <w:sz w:val="24"/>
          <w:szCs w:val="24"/>
        </w:rPr>
      </w:pPr>
      <w:bookmarkStart w:id="38" w:name="_Toc453709583"/>
      <w:bookmarkStart w:id="39" w:name="_Toc24139"/>
      <w:bookmarkStart w:id="40" w:name="_Toc28765"/>
      <w:r>
        <w:rPr>
          <w:rFonts w:hint="eastAsia" w:ascii="宋体" w:hAnsi="宋体" w:cs="宋体"/>
          <w:sz w:val="24"/>
          <w:szCs w:val="24"/>
        </w:rPr>
        <w:t>附件</w:t>
      </w:r>
      <w:r>
        <w:rPr>
          <w:rFonts w:hint="eastAsia" w:ascii="宋体" w:hAnsi="宋体" w:cs="宋体"/>
          <w:sz w:val="24"/>
          <w:szCs w:val="24"/>
          <w:lang w:val="en-US" w:eastAsia="zh-CN"/>
        </w:rPr>
        <w:t>九</w:t>
      </w:r>
      <w:r>
        <w:rPr>
          <w:rFonts w:hint="eastAsia" w:ascii="宋体" w:hAnsi="宋体" w:cs="宋体"/>
          <w:sz w:val="24"/>
          <w:szCs w:val="24"/>
        </w:rPr>
        <w:t>、投标报价</w:t>
      </w:r>
      <w:bookmarkEnd w:id="38"/>
      <w:bookmarkEnd w:id="39"/>
      <w:r>
        <w:rPr>
          <w:rFonts w:hint="eastAsia" w:ascii="宋体" w:hAnsi="宋体" w:cs="宋体"/>
          <w:sz w:val="24"/>
          <w:szCs w:val="24"/>
        </w:rPr>
        <w:t>单</w:t>
      </w:r>
      <w:bookmarkEnd w:id="40"/>
    </w:p>
    <w:p>
      <w:pPr>
        <w:pStyle w:val="6"/>
        <w:spacing w:before="120" w:after="120" w:line="560" w:lineRule="exact"/>
        <w:jc w:val="center"/>
        <w:rPr>
          <w:rFonts w:hint="eastAsia" w:ascii="宋体" w:hAnsi="宋体" w:cs="宋体"/>
          <w:sz w:val="32"/>
          <w:szCs w:val="32"/>
          <w:highlight w:val="none"/>
        </w:rPr>
      </w:pPr>
      <w:r>
        <w:rPr>
          <w:rFonts w:hint="eastAsia" w:ascii="宋体" w:hAnsi="宋体" w:cs="宋体"/>
          <w:sz w:val="32"/>
          <w:szCs w:val="32"/>
          <w:highlight w:val="none"/>
        </w:rPr>
        <w:t>投标报价单</w:t>
      </w:r>
    </w:p>
    <w:p>
      <w:pPr>
        <w:rPr>
          <w:rFonts w:hint="eastAsia"/>
          <w:highlight w:val="none"/>
        </w:rPr>
      </w:pPr>
    </w:p>
    <w:tbl>
      <w:tblPr>
        <w:tblStyle w:val="18"/>
        <w:tblW w:w="8517" w:type="dxa"/>
        <w:jc w:val="center"/>
        <w:tblLayout w:type="fixed"/>
        <w:tblCellMar>
          <w:top w:w="0" w:type="dxa"/>
          <w:left w:w="108" w:type="dxa"/>
          <w:bottom w:w="0" w:type="dxa"/>
          <w:right w:w="108" w:type="dxa"/>
        </w:tblCellMar>
      </w:tblPr>
      <w:tblGrid>
        <w:gridCol w:w="1091"/>
        <w:gridCol w:w="2011"/>
        <w:gridCol w:w="2079"/>
        <w:gridCol w:w="1530"/>
        <w:gridCol w:w="1806"/>
      </w:tblGrid>
      <w:tr>
        <w:tblPrEx>
          <w:tblCellMar>
            <w:top w:w="0" w:type="dxa"/>
            <w:left w:w="108" w:type="dxa"/>
            <w:bottom w:w="0" w:type="dxa"/>
            <w:right w:w="108" w:type="dxa"/>
          </w:tblCellMar>
        </w:tblPrEx>
        <w:trPr>
          <w:trHeight w:val="1471" w:hRule="atLeast"/>
          <w:jc w:val="center"/>
        </w:trPr>
        <w:tc>
          <w:tcPr>
            <w:tcW w:w="1091" w:type="dxa"/>
            <w:tcBorders>
              <w:top w:val="single" w:color="auto" w:sz="4" w:space="0"/>
              <w:left w:val="single" w:color="auto" w:sz="4" w:space="0"/>
              <w:bottom w:val="single" w:color="auto" w:sz="4" w:space="0"/>
              <w:right w:val="single" w:color="auto" w:sz="4" w:space="0"/>
            </w:tcBorders>
            <w:noWrap/>
            <w:vAlign w:val="center"/>
          </w:tcPr>
          <w:p>
            <w:pPr>
              <w:jc w:val="both"/>
              <w:rPr>
                <w:rFonts w:ascii="宋体" w:hAnsi="宋体" w:cs="宋体"/>
                <w:color w:val="000000"/>
                <w:kern w:val="0"/>
                <w:highlight w:val="none"/>
              </w:rPr>
            </w:pPr>
            <w:r>
              <w:rPr>
                <w:rFonts w:hint="eastAsia" w:ascii="宋体" w:hAnsi="宋体" w:cs="宋体"/>
                <w:color w:val="000000"/>
                <w:kern w:val="0"/>
                <w:highlight w:val="none"/>
              </w:rPr>
              <w:t>序号</w:t>
            </w:r>
          </w:p>
        </w:tc>
        <w:tc>
          <w:tcPr>
            <w:tcW w:w="2011" w:type="dxa"/>
            <w:tcBorders>
              <w:top w:val="single" w:color="auto" w:sz="4" w:space="0"/>
              <w:left w:val="nil"/>
              <w:bottom w:val="single" w:color="auto" w:sz="4" w:space="0"/>
              <w:right w:val="single" w:color="auto" w:sz="4" w:space="0"/>
            </w:tcBorders>
            <w:noWrap/>
            <w:vAlign w:val="center"/>
          </w:tcPr>
          <w:p>
            <w:pPr>
              <w:ind w:firstLine="420"/>
              <w:jc w:val="both"/>
              <w:rPr>
                <w:rFonts w:ascii="宋体" w:hAnsi="宋体" w:cs="宋体"/>
                <w:color w:val="000000"/>
                <w:kern w:val="0"/>
                <w:highlight w:val="none"/>
              </w:rPr>
            </w:pPr>
            <w:r>
              <w:rPr>
                <w:rFonts w:hint="eastAsia" w:ascii="宋体" w:hAnsi="宋体" w:cs="宋体"/>
                <w:color w:val="000000"/>
                <w:kern w:val="0"/>
                <w:highlight w:val="none"/>
                <w:lang w:val="en-US" w:eastAsia="zh-CN"/>
              </w:rPr>
              <w:t>项目</w:t>
            </w:r>
            <w:r>
              <w:rPr>
                <w:rFonts w:hint="eastAsia" w:ascii="宋体" w:hAnsi="宋体" w:cs="宋体"/>
                <w:color w:val="000000"/>
                <w:kern w:val="0"/>
                <w:highlight w:val="none"/>
              </w:rPr>
              <w:t>名称</w:t>
            </w:r>
          </w:p>
        </w:tc>
        <w:tc>
          <w:tcPr>
            <w:tcW w:w="2079" w:type="dxa"/>
            <w:tcBorders>
              <w:top w:val="single" w:color="auto" w:sz="4" w:space="0"/>
              <w:left w:val="single" w:color="auto" w:sz="4" w:space="0"/>
              <w:bottom w:val="single" w:color="auto" w:sz="4" w:space="0"/>
              <w:right w:val="single" w:color="auto" w:sz="4" w:space="0"/>
            </w:tcBorders>
            <w:vAlign w:val="center"/>
          </w:tcPr>
          <w:p>
            <w:pPr>
              <w:jc w:val="both"/>
              <w:rPr>
                <w:rFonts w:ascii="宋体" w:hAnsi="宋体" w:cs="宋体"/>
                <w:color w:val="000000"/>
                <w:kern w:val="0"/>
                <w:highlight w:val="none"/>
              </w:rPr>
            </w:pPr>
            <w:r>
              <w:rPr>
                <w:rFonts w:hint="eastAsia" w:ascii="宋体" w:hAnsi="宋体" w:cs="宋体"/>
                <w:color w:val="000000"/>
                <w:kern w:val="0"/>
                <w:highlight w:val="none"/>
              </w:rPr>
              <w:t>未税单价（元</w:t>
            </w:r>
            <w:r>
              <w:rPr>
                <w:rFonts w:hint="eastAsia" w:ascii="宋体" w:hAnsi="宋体" w:cs="宋体"/>
                <w:color w:val="000000"/>
                <w:kern w:val="0"/>
                <w:highlight w:val="none"/>
                <w:lang w:val="en-US" w:eastAsia="zh-CN"/>
              </w:rPr>
              <w:t>/吨</w:t>
            </w:r>
            <w:r>
              <w:rPr>
                <w:rFonts w:hint="eastAsia" w:ascii="宋体" w:hAnsi="宋体" w:cs="宋体"/>
                <w:color w:val="000000"/>
                <w:kern w:val="0"/>
                <w:highlight w:val="none"/>
              </w:rPr>
              <w:t>）</w:t>
            </w:r>
          </w:p>
        </w:tc>
        <w:tc>
          <w:tcPr>
            <w:tcW w:w="1530" w:type="dxa"/>
            <w:tcBorders>
              <w:top w:val="single" w:color="auto" w:sz="4" w:space="0"/>
              <w:left w:val="single" w:color="auto" w:sz="4" w:space="0"/>
              <w:bottom w:val="single" w:color="auto" w:sz="4" w:space="0"/>
              <w:right w:val="single" w:color="auto" w:sz="4" w:space="0"/>
            </w:tcBorders>
            <w:vAlign w:val="center"/>
          </w:tcPr>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税率</w:t>
            </w:r>
          </w:p>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w:t>
            </w:r>
          </w:p>
        </w:tc>
        <w:tc>
          <w:tcPr>
            <w:tcW w:w="1806" w:type="dxa"/>
            <w:tcBorders>
              <w:top w:val="single" w:color="auto" w:sz="4" w:space="0"/>
              <w:left w:val="nil"/>
              <w:bottom w:val="single" w:color="auto" w:sz="4" w:space="0"/>
              <w:right w:val="single" w:color="auto" w:sz="4" w:space="0"/>
            </w:tcBorders>
          </w:tcPr>
          <w:p>
            <w:pPr>
              <w:jc w:val="both"/>
              <w:rPr>
                <w:rFonts w:hint="eastAsia" w:ascii="宋体" w:hAnsi="宋体" w:cs="宋体"/>
                <w:color w:val="000000"/>
                <w:kern w:val="0"/>
                <w:highlight w:val="none"/>
              </w:rPr>
            </w:pPr>
          </w:p>
          <w:p>
            <w:pPr>
              <w:jc w:val="both"/>
              <w:rPr>
                <w:rFonts w:hint="eastAsia" w:ascii="宋体" w:hAnsi="宋体" w:cs="宋体"/>
                <w:color w:val="000000"/>
                <w:kern w:val="0"/>
                <w:highlight w:val="none"/>
              </w:rPr>
            </w:pPr>
          </w:p>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含税总价</w:t>
            </w:r>
          </w:p>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（元</w:t>
            </w:r>
            <w:r>
              <w:rPr>
                <w:rFonts w:hint="eastAsia" w:ascii="宋体" w:hAnsi="宋体" w:cs="宋体"/>
                <w:color w:val="000000"/>
                <w:kern w:val="0"/>
                <w:highlight w:val="none"/>
                <w:lang w:val="en-US" w:eastAsia="zh-CN"/>
              </w:rPr>
              <w:t>/吨</w:t>
            </w:r>
            <w:r>
              <w:rPr>
                <w:rFonts w:hint="eastAsia" w:ascii="宋体" w:hAnsi="宋体" w:cs="宋体"/>
                <w:color w:val="000000"/>
                <w:kern w:val="0"/>
                <w:highlight w:val="none"/>
              </w:rPr>
              <w:t>）</w:t>
            </w:r>
          </w:p>
        </w:tc>
      </w:tr>
      <w:tr>
        <w:tblPrEx>
          <w:tblCellMar>
            <w:top w:w="0" w:type="dxa"/>
            <w:left w:w="108" w:type="dxa"/>
            <w:bottom w:w="0" w:type="dxa"/>
            <w:right w:w="108" w:type="dxa"/>
          </w:tblCellMar>
        </w:tblPrEx>
        <w:trPr>
          <w:trHeight w:val="1233" w:hRule="atLeast"/>
          <w:jc w:val="center"/>
        </w:trPr>
        <w:tc>
          <w:tcPr>
            <w:tcW w:w="1091" w:type="dxa"/>
            <w:tcBorders>
              <w:top w:val="single" w:color="auto" w:sz="4" w:space="0"/>
              <w:left w:val="single" w:color="auto" w:sz="4" w:space="0"/>
              <w:bottom w:val="single" w:color="auto" w:sz="4" w:space="0"/>
              <w:right w:val="single" w:color="auto" w:sz="4" w:space="0"/>
            </w:tcBorders>
            <w:noWrap/>
            <w:vAlign w:val="center"/>
          </w:tcPr>
          <w:p>
            <w:pPr>
              <w:ind w:firstLine="360"/>
              <w:jc w:val="center"/>
              <w:rPr>
                <w:rFonts w:ascii="宋体" w:hAnsi="宋体" w:cs="宋体"/>
                <w:color w:val="000000"/>
                <w:kern w:val="0"/>
                <w:sz w:val="18"/>
                <w:szCs w:val="18"/>
                <w:highlight w:val="none"/>
              </w:rPr>
            </w:pPr>
            <w:r>
              <w:rPr>
                <w:rFonts w:hint="eastAsia" w:hAnsi="宋体"/>
                <w:sz w:val="18"/>
                <w:szCs w:val="18"/>
                <w:highlight w:val="none"/>
              </w:rPr>
              <w:t>1</w:t>
            </w:r>
          </w:p>
        </w:tc>
        <w:tc>
          <w:tcPr>
            <w:tcW w:w="2011" w:type="dxa"/>
            <w:tcBorders>
              <w:top w:val="nil"/>
              <w:left w:val="nil"/>
              <w:bottom w:val="single" w:color="auto" w:sz="4" w:space="0"/>
              <w:right w:val="single" w:color="auto" w:sz="4" w:space="0"/>
            </w:tcBorders>
            <w:vAlign w:val="center"/>
          </w:tcPr>
          <w:p>
            <w:pPr>
              <w:jc w:val="center"/>
              <w:rPr>
                <w:rFonts w:eastAsia="等线"/>
                <w:color w:val="000000"/>
                <w:kern w:val="0"/>
                <w:sz w:val="24"/>
                <w:szCs w:val="24"/>
                <w:highlight w:val="none"/>
              </w:rPr>
            </w:pPr>
            <w:r>
              <w:rPr>
                <w:rFonts w:ascii="微软雅黑" w:hAnsi="微软雅黑" w:eastAsia="微软雅黑" w:cs="微软雅黑"/>
                <w:i w:val="0"/>
                <w:iCs w:val="0"/>
                <w:caps w:val="0"/>
                <w:color w:val="000000"/>
                <w:spacing w:val="0"/>
                <w:sz w:val="24"/>
                <w:szCs w:val="24"/>
                <w:shd w:val="clear" w:fill="FCFCFC"/>
              </w:rPr>
              <w:t>济南专用车公司一般固废处置项目</w:t>
            </w:r>
          </w:p>
        </w:tc>
        <w:tc>
          <w:tcPr>
            <w:tcW w:w="2079" w:type="dxa"/>
            <w:tcBorders>
              <w:top w:val="single" w:color="auto" w:sz="4" w:space="0"/>
              <w:left w:val="single" w:color="auto" w:sz="4" w:space="0"/>
              <w:bottom w:val="single" w:color="auto" w:sz="4" w:space="0"/>
              <w:right w:val="single" w:color="auto" w:sz="4" w:space="0"/>
            </w:tcBorders>
            <w:vAlign w:val="center"/>
          </w:tcPr>
          <w:p>
            <w:pPr>
              <w:ind w:firstLine="480"/>
              <w:jc w:val="center"/>
              <w:rPr>
                <w:rFonts w:eastAsia="等线"/>
                <w:color w:val="000000"/>
                <w:kern w:val="0"/>
                <w:sz w:val="24"/>
                <w:szCs w:val="24"/>
                <w:highlight w:val="none"/>
              </w:rPr>
            </w:pPr>
          </w:p>
        </w:tc>
        <w:tc>
          <w:tcPr>
            <w:tcW w:w="1530" w:type="dxa"/>
            <w:tcBorders>
              <w:top w:val="single" w:color="auto" w:sz="4" w:space="0"/>
              <w:left w:val="single" w:color="auto" w:sz="4" w:space="0"/>
              <w:bottom w:val="single" w:color="auto" w:sz="4" w:space="0"/>
              <w:right w:val="single" w:color="auto" w:sz="4" w:space="0"/>
            </w:tcBorders>
            <w:noWrap/>
            <w:vAlign w:val="bottom"/>
          </w:tcPr>
          <w:p>
            <w:pPr>
              <w:ind w:firstLine="480"/>
              <w:jc w:val="center"/>
              <w:rPr>
                <w:rFonts w:ascii="等线" w:hAnsi="等线" w:eastAsia="等线" w:cs="宋体"/>
                <w:color w:val="000000"/>
                <w:kern w:val="0"/>
                <w:sz w:val="24"/>
                <w:szCs w:val="24"/>
                <w:highlight w:val="none"/>
              </w:rPr>
            </w:pPr>
          </w:p>
        </w:tc>
        <w:tc>
          <w:tcPr>
            <w:tcW w:w="1806" w:type="dxa"/>
            <w:tcBorders>
              <w:top w:val="nil"/>
              <w:left w:val="nil"/>
              <w:bottom w:val="single" w:color="auto" w:sz="4" w:space="0"/>
              <w:right w:val="single" w:color="auto" w:sz="4" w:space="0"/>
            </w:tcBorders>
          </w:tcPr>
          <w:p>
            <w:pPr>
              <w:ind w:firstLine="480"/>
              <w:jc w:val="center"/>
              <w:rPr>
                <w:rFonts w:ascii="等线" w:hAnsi="等线" w:eastAsia="等线" w:cs="宋体"/>
                <w:color w:val="000000"/>
                <w:kern w:val="0"/>
                <w:sz w:val="24"/>
                <w:szCs w:val="24"/>
                <w:highlight w:val="none"/>
              </w:rPr>
            </w:pPr>
          </w:p>
        </w:tc>
      </w:tr>
    </w:tbl>
    <w:p>
      <w:pPr>
        <w:pStyle w:val="2"/>
        <w:rPr>
          <w:rFonts w:hint="eastAsia"/>
        </w:rPr>
      </w:pPr>
    </w:p>
    <w:p>
      <w:pPr>
        <w:rPr>
          <w:rFonts w:hint="eastAsia"/>
        </w:rPr>
      </w:pPr>
    </w:p>
    <w:p>
      <w:pPr>
        <w:rPr>
          <w:rFonts w:hint="eastAsia"/>
        </w:rPr>
      </w:pPr>
    </w:p>
    <w:p>
      <w:pPr>
        <w:rPr>
          <w:rFonts w:hint="eastAsia" w:ascii="宋体" w:hAnsi="宋体" w:cs="宋体"/>
          <w:sz w:val="24"/>
          <w:szCs w:val="24"/>
        </w:rPr>
      </w:pPr>
    </w:p>
    <w:p/>
    <w:p>
      <w:pPr>
        <w:rPr>
          <w:rFonts w:ascii="宋体" w:hAnsi="宋体"/>
          <w:b/>
          <w:bCs/>
        </w:rPr>
      </w:pPr>
    </w:p>
    <w:p>
      <w:pPr>
        <w:spacing w:line="540" w:lineRule="exact"/>
        <w:ind w:firstLine="5760" w:firstLineChars="2400"/>
        <w:rPr>
          <w:rFonts w:ascii="宋体" w:hAnsi="宋体"/>
          <w:sz w:val="24"/>
        </w:rPr>
      </w:pPr>
      <w:r>
        <w:rPr>
          <w:rFonts w:hint="eastAsia" w:ascii="宋体" w:hAnsi="宋体"/>
          <w:sz w:val="24"/>
        </w:rPr>
        <w:t>投标人：（盖章）</w:t>
      </w:r>
    </w:p>
    <w:p>
      <w:pPr>
        <w:spacing w:line="540" w:lineRule="exact"/>
        <w:ind w:firstLine="4800" w:firstLineChars="2000"/>
        <w:rPr>
          <w:rFonts w:ascii="宋体" w:hAnsi="宋体"/>
          <w:sz w:val="24"/>
        </w:rPr>
      </w:pPr>
      <w:r>
        <w:rPr>
          <w:rFonts w:hint="eastAsia" w:ascii="宋体" w:hAnsi="宋体"/>
          <w:sz w:val="24"/>
        </w:rPr>
        <w:t>法定代表人（委托代理人）：（签字）</w:t>
      </w:r>
    </w:p>
    <w:p>
      <w:pPr>
        <w:spacing w:line="540" w:lineRule="exact"/>
        <w:ind w:firstLine="5280" w:firstLineChars="2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pStyle w:val="2"/>
        <w:spacing w:after="0"/>
        <w:jc w:val="right"/>
        <w:outlineLvl w:val="0"/>
        <w:rPr>
          <w:rFonts w:ascii="宋体" w:hAnsi="宋体"/>
        </w:rPr>
        <w:sectPr>
          <w:pgSz w:w="11907" w:h="16840"/>
          <w:pgMar w:top="1418" w:right="1418" w:bottom="1418" w:left="1418" w:header="851" w:footer="851" w:gutter="0"/>
          <w:cols w:space="720" w:num="1"/>
          <w:docGrid w:linePitch="290" w:charSpace="-3931"/>
        </w:sectPr>
      </w:pPr>
    </w:p>
    <w:p>
      <w:pPr>
        <w:pStyle w:val="6"/>
        <w:spacing w:before="120" w:after="120" w:line="560" w:lineRule="exact"/>
        <w:rPr>
          <w:rFonts w:ascii="宋体" w:hAnsi="宋体" w:cs="宋体"/>
          <w:sz w:val="24"/>
          <w:szCs w:val="24"/>
        </w:rPr>
      </w:pPr>
      <w:bookmarkStart w:id="41" w:name="_Toc1153"/>
      <w:bookmarkStart w:id="42" w:name="_Toc8215"/>
      <w:bookmarkStart w:id="43" w:name="_Toc518655813"/>
      <w:bookmarkStart w:id="44" w:name="_Toc28044"/>
      <w:bookmarkStart w:id="45" w:name="_Toc21764"/>
      <w:bookmarkStart w:id="46" w:name="_Toc424118190"/>
      <w:bookmarkStart w:id="47" w:name="_Toc28878"/>
      <w:bookmarkStart w:id="48" w:name="_Toc353881021"/>
      <w:bookmarkStart w:id="49" w:name="_Toc14341861"/>
      <w:r>
        <w:rPr>
          <w:rFonts w:hint="eastAsia" w:ascii="宋体" w:hAnsi="宋体" w:cs="宋体"/>
          <w:sz w:val="24"/>
          <w:szCs w:val="24"/>
        </w:rPr>
        <w:t>附件</w:t>
      </w:r>
      <w:r>
        <w:rPr>
          <w:rFonts w:hint="eastAsia" w:ascii="宋体" w:hAnsi="宋体" w:cs="宋体"/>
          <w:sz w:val="24"/>
          <w:szCs w:val="24"/>
          <w:lang w:eastAsia="zh-CN"/>
        </w:rPr>
        <w:t>十</w:t>
      </w:r>
      <w:r>
        <w:rPr>
          <w:rFonts w:hint="eastAsia" w:ascii="宋体" w:hAnsi="宋体" w:cs="宋体"/>
          <w:sz w:val="24"/>
          <w:szCs w:val="24"/>
        </w:rPr>
        <w:t>、承诺函</w:t>
      </w:r>
      <w:bookmarkEnd w:id="41"/>
      <w:bookmarkEnd w:id="42"/>
    </w:p>
    <w:p>
      <w:pPr>
        <w:pStyle w:val="2"/>
        <w:spacing w:after="0" w:line="460" w:lineRule="exact"/>
        <w:jc w:val="center"/>
        <w:rPr>
          <w:rFonts w:ascii="宋体" w:hAnsi="宋体" w:cs="宋体"/>
          <w:b/>
          <w:bCs/>
          <w:sz w:val="32"/>
          <w:szCs w:val="32"/>
        </w:rPr>
      </w:pPr>
      <w:r>
        <w:rPr>
          <w:rFonts w:hint="eastAsia" w:ascii="宋体" w:hAnsi="宋体" w:cs="宋体"/>
          <w:b/>
          <w:bCs/>
          <w:sz w:val="32"/>
          <w:szCs w:val="32"/>
        </w:rPr>
        <w:t>承诺函</w:t>
      </w:r>
    </w:p>
    <w:p>
      <w:pPr>
        <w:spacing w:line="240" w:lineRule="exact"/>
        <w:jc w:val="center"/>
        <w:rPr>
          <w:rFonts w:ascii="宋体" w:hAnsi="宋体"/>
          <w:b/>
          <w:bCs/>
          <w:sz w:val="36"/>
        </w:rPr>
      </w:pPr>
    </w:p>
    <w:p>
      <w:pPr>
        <w:spacing w:line="360" w:lineRule="auto"/>
        <w:rPr>
          <w:rFonts w:ascii="宋体" w:hAnsi="宋体"/>
          <w:sz w:val="24"/>
          <w:highlight w:val="none"/>
          <w:u w:val="single"/>
        </w:rPr>
      </w:pPr>
      <w:r>
        <w:rPr>
          <w:rFonts w:hint="eastAsia" w:ascii="宋体" w:hAnsi="宋体"/>
          <w:sz w:val="24"/>
        </w:rPr>
        <w:t>项目名称：</w:t>
      </w:r>
      <w:r>
        <w:rPr>
          <w:rFonts w:hint="eastAsia" w:ascii="宋体" w:hAnsi="宋体"/>
          <w:sz w:val="24"/>
          <w:highlight w:val="none"/>
          <w:u w:val="single"/>
        </w:rPr>
        <w:t xml:space="preserve"> </w:t>
      </w:r>
      <w:r>
        <w:rPr>
          <w:rFonts w:ascii="微软雅黑" w:hAnsi="微软雅黑" w:eastAsia="微软雅黑" w:cs="微软雅黑"/>
          <w:i w:val="0"/>
          <w:iCs w:val="0"/>
          <w:caps w:val="0"/>
          <w:color w:val="000000"/>
          <w:spacing w:val="0"/>
          <w:sz w:val="24"/>
          <w:szCs w:val="24"/>
          <w:u w:val="single"/>
          <w:shd w:val="clear" w:fill="FCFCFC"/>
        </w:rPr>
        <w:t>济南专用车公司一般固废处置项目</w:t>
      </w:r>
      <w:r>
        <w:rPr>
          <w:rFonts w:hint="eastAsia" w:ascii="宋体" w:hAnsi="宋体"/>
          <w:sz w:val="24"/>
          <w:highlight w:val="none"/>
          <w:u w:val="single"/>
        </w:rPr>
        <w:t xml:space="preserve">  </w:t>
      </w:r>
      <w:r>
        <w:rPr>
          <w:rFonts w:hint="eastAsia" w:ascii="宋体" w:hAnsi="宋体"/>
          <w:sz w:val="24"/>
          <w:highlight w:val="none"/>
        </w:rPr>
        <w:t xml:space="preserve">        </w:t>
      </w:r>
    </w:p>
    <w:p>
      <w:pPr>
        <w:pStyle w:val="12"/>
        <w:adjustRightInd w:val="0"/>
        <w:snapToGrid w:val="0"/>
        <w:spacing w:before="93" w:beforeLines="30" w:line="360" w:lineRule="auto"/>
        <w:ind w:left="0" w:leftChars="0"/>
        <w:rPr>
          <w:rFonts w:ascii="宋体" w:hAnsi="宋体"/>
          <w:i/>
          <w:iCs/>
          <w:sz w:val="24"/>
          <w:highlight w:val="none"/>
        </w:rPr>
      </w:pPr>
      <w:r>
        <w:rPr>
          <w:rFonts w:hint="eastAsia" w:ascii="宋体" w:hAnsi="宋体"/>
          <w:sz w:val="24"/>
          <w:highlight w:val="none"/>
          <w:u w:val="single"/>
        </w:rPr>
        <w:t xml:space="preserve">  中国重汽集团济南专用车有限公司:</w:t>
      </w:r>
      <w:r>
        <w:rPr>
          <w:rFonts w:hint="eastAsia" w:ascii="宋体" w:hAnsi="宋体"/>
          <w:i/>
          <w:iCs/>
          <w:sz w:val="24"/>
          <w:highlight w:val="none"/>
        </w:rPr>
        <w:t>（招标人全称）</w:t>
      </w:r>
    </w:p>
    <w:p>
      <w:pPr>
        <w:spacing w:line="360" w:lineRule="auto"/>
        <w:ind w:firstLine="480"/>
        <w:rPr>
          <w:rFonts w:ascii="宋体" w:hAnsi="宋体" w:cs="宋体"/>
          <w:sz w:val="24"/>
          <w:highlight w:val="none"/>
        </w:rPr>
      </w:pPr>
      <w:r>
        <w:rPr>
          <w:rFonts w:hint="eastAsia" w:ascii="宋体" w:hAnsi="宋体" w:cs="宋体"/>
          <w:sz w:val="24"/>
          <w:highlight w:val="none"/>
        </w:rPr>
        <w:t>我代表</w:t>
      </w:r>
      <w:r>
        <w:rPr>
          <w:rFonts w:hint="eastAsia" w:ascii="宋体" w:hAnsi="宋体" w:cs="宋体"/>
          <w:sz w:val="24"/>
          <w:highlight w:val="none"/>
          <w:u w:val="single"/>
        </w:rPr>
        <w:t xml:space="preserve">                </w:t>
      </w:r>
      <w:r>
        <w:rPr>
          <w:rFonts w:hint="eastAsia" w:ascii="宋体" w:hAnsi="宋体" w:cs="宋体"/>
          <w:sz w:val="24"/>
          <w:highlight w:val="none"/>
        </w:rPr>
        <w:t>（投标单位名称）对中标</w:t>
      </w:r>
      <w:r>
        <w:rPr>
          <w:rFonts w:hint="eastAsia" w:ascii="宋体" w:hAnsi="宋体" w:cs="宋体"/>
          <w:sz w:val="24"/>
          <w:highlight w:val="none"/>
          <w:lang w:val="en-US" w:eastAsia="zh-CN"/>
        </w:rPr>
        <w:t>一般固废处理业务</w:t>
      </w:r>
      <w:r>
        <w:rPr>
          <w:rFonts w:hint="eastAsia" w:ascii="宋体" w:hAnsi="宋体" w:cs="宋体"/>
          <w:sz w:val="24"/>
          <w:highlight w:val="none"/>
        </w:rPr>
        <w:t>作如下承诺：</w:t>
      </w:r>
    </w:p>
    <w:p>
      <w:pPr>
        <w:pStyle w:val="7"/>
        <w:rPr>
          <w:highlight w:val="none"/>
        </w:rPr>
      </w:pPr>
    </w:p>
    <w:p>
      <w:pPr>
        <w:numPr>
          <w:ilvl w:val="0"/>
          <w:numId w:val="6"/>
        </w:numPr>
        <w:spacing w:line="360" w:lineRule="auto"/>
        <w:rPr>
          <w:rFonts w:ascii="宋体" w:hAnsi="宋体"/>
          <w:sz w:val="24"/>
        </w:rPr>
      </w:pPr>
      <w:r>
        <w:rPr>
          <w:rFonts w:hint="eastAsia" w:ascii="宋体" w:hAnsi="宋体"/>
          <w:sz w:val="24"/>
          <w:highlight w:val="none"/>
          <w:lang w:val="en-US" w:eastAsia="zh-CN"/>
        </w:rPr>
        <w:t>我公司</w:t>
      </w:r>
      <w:r>
        <w:rPr>
          <w:rFonts w:hint="eastAsia" w:ascii="宋体" w:hAnsi="宋体" w:eastAsia="宋体" w:cs="Times New Roman"/>
          <w:sz w:val="24"/>
          <w:highlight w:val="none"/>
          <w:lang w:val="en-US" w:eastAsia="zh-CN"/>
        </w:rPr>
        <w:t>具备</w:t>
      </w:r>
      <w:r>
        <w:rPr>
          <w:rFonts w:hint="eastAsia" w:ascii="宋体" w:hAnsi="宋体" w:eastAsia="宋体" w:cs="Times New Roman"/>
          <w:sz w:val="24"/>
          <w:highlight w:val="none"/>
        </w:rPr>
        <w:t>一般固废处置</w:t>
      </w:r>
      <w:r>
        <w:rPr>
          <w:rFonts w:hint="eastAsia" w:ascii="宋体" w:hAnsi="宋体" w:eastAsia="宋体" w:cs="Times New Roman"/>
          <w:sz w:val="24"/>
          <w:highlight w:val="none"/>
          <w:lang w:val="en-US" w:eastAsia="zh-CN"/>
        </w:rPr>
        <w:t>资质，</w:t>
      </w:r>
      <w:r>
        <w:rPr>
          <w:rFonts w:hint="eastAsia" w:ascii="宋体" w:hAnsi="宋体"/>
          <w:sz w:val="24"/>
          <w:highlight w:val="none"/>
        </w:rPr>
        <w:t>公司在中国重汽集团济南专用车有限公司</w:t>
      </w:r>
      <w:r>
        <w:rPr>
          <w:rFonts w:hint="eastAsia" w:ascii="宋体" w:hAnsi="宋体"/>
          <w:sz w:val="24"/>
          <w:highlight w:val="none"/>
          <w:lang w:eastAsia="zh-CN"/>
        </w:rPr>
        <w:t>制造</w:t>
      </w:r>
      <w:r>
        <w:rPr>
          <w:rFonts w:hint="eastAsia" w:ascii="宋体" w:hAnsi="宋体"/>
          <w:sz w:val="24"/>
          <w:highlight w:val="none"/>
        </w:rPr>
        <w:t xml:space="preserve">部组织的 </w:t>
      </w:r>
      <w:r>
        <w:rPr>
          <w:rFonts w:ascii="微软雅黑" w:hAnsi="微软雅黑" w:eastAsia="微软雅黑" w:cs="微软雅黑"/>
          <w:i w:val="0"/>
          <w:iCs w:val="0"/>
          <w:caps w:val="0"/>
          <w:color w:val="000000"/>
          <w:spacing w:val="0"/>
          <w:sz w:val="24"/>
          <w:szCs w:val="24"/>
          <w:u w:val="single"/>
          <w:shd w:val="clear" w:fill="FCFCFC"/>
        </w:rPr>
        <w:t>济南专用车公司一般固废处置项目</w:t>
      </w:r>
      <w:r>
        <w:rPr>
          <w:rFonts w:hint="eastAsia" w:ascii="宋体" w:hAnsi="宋体"/>
          <w:sz w:val="24"/>
        </w:rPr>
        <w:t>过程中所报</w:t>
      </w:r>
      <w:r>
        <w:rPr>
          <w:rFonts w:hint="eastAsia" w:ascii="宋体" w:hAnsi="宋体"/>
          <w:sz w:val="24"/>
          <w:lang w:val="en-US" w:eastAsia="zh-CN"/>
        </w:rPr>
        <w:t>投标内容</w:t>
      </w:r>
      <w:r>
        <w:rPr>
          <w:rFonts w:hint="eastAsia" w:ascii="宋体" w:hAnsi="宋体"/>
          <w:sz w:val="24"/>
        </w:rPr>
        <w:t>均能满足</w:t>
      </w:r>
      <w:r>
        <w:rPr>
          <w:rFonts w:hint="eastAsia" w:ascii="宋体" w:hAnsi="宋体"/>
          <w:sz w:val="24"/>
          <w:lang w:val="en-US" w:eastAsia="zh-CN"/>
        </w:rPr>
        <w:t>国家规定的环保要求</w:t>
      </w:r>
      <w:r>
        <w:rPr>
          <w:rFonts w:hint="eastAsia" w:ascii="宋体" w:hAnsi="宋体"/>
          <w:sz w:val="24"/>
        </w:rPr>
        <w:t>。</w:t>
      </w:r>
      <w:r>
        <w:rPr>
          <w:rFonts w:hint="eastAsia" w:ascii="宋体" w:hAnsi="宋体"/>
          <w:sz w:val="24"/>
          <w:lang w:val="en-US" w:eastAsia="zh-CN"/>
        </w:rPr>
        <w:t>处理过程合规合法，</w:t>
      </w:r>
      <w:r>
        <w:rPr>
          <w:rFonts w:hint="eastAsia" w:ascii="宋体" w:hAnsi="宋体"/>
          <w:sz w:val="24"/>
        </w:rPr>
        <w:t>若因我公司</w:t>
      </w:r>
      <w:r>
        <w:rPr>
          <w:rFonts w:hint="eastAsia" w:ascii="宋体" w:hAnsi="宋体"/>
          <w:sz w:val="24"/>
          <w:lang w:val="en-US" w:eastAsia="zh-CN"/>
        </w:rPr>
        <w:t>违规违法处置固废</w:t>
      </w:r>
      <w:r>
        <w:rPr>
          <w:rFonts w:hint="eastAsia" w:ascii="宋体" w:hAnsi="宋体"/>
          <w:sz w:val="24"/>
        </w:rPr>
        <w:t>，我公司愿意承担一切法律责任，并同意扣除投标保证金或履约金。</w:t>
      </w:r>
    </w:p>
    <w:p>
      <w:pPr>
        <w:spacing w:line="360" w:lineRule="auto"/>
        <w:rPr>
          <w:rFonts w:ascii="宋体" w:hAnsi="宋体" w:cs="宋体"/>
          <w:sz w:val="24"/>
          <w:u w:val="single"/>
        </w:rPr>
      </w:pPr>
    </w:p>
    <w:p>
      <w:pPr>
        <w:pStyle w:val="7"/>
        <w:ind w:firstLine="480"/>
        <w:rPr>
          <w:rFonts w:ascii="宋体" w:hAnsi="宋体" w:cs="宋体"/>
          <w:sz w:val="24"/>
          <w:u w:val="single"/>
        </w:rPr>
      </w:pPr>
    </w:p>
    <w:p>
      <w:pPr>
        <w:rPr>
          <w:rFonts w:ascii="宋体" w:hAnsi="宋体" w:cs="宋体"/>
          <w:sz w:val="24"/>
          <w:u w:val="single"/>
        </w:rPr>
      </w:pPr>
    </w:p>
    <w:p>
      <w:pPr>
        <w:pStyle w:val="7"/>
      </w:pPr>
    </w:p>
    <w:p>
      <w:pPr>
        <w:spacing w:line="660" w:lineRule="exact"/>
        <w:ind w:firstLine="480" w:firstLineChars="200"/>
        <w:rPr>
          <w:rFonts w:ascii="宋体" w:hAnsi="宋体"/>
          <w:sz w:val="24"/>
        </w:rPr>
      </w:pPr>
      <w:r>
        <w:rPr>
          <w:rFonts w:hint="eastAsia" w:ascii="宋体" w:hAnsi="宋体"/>
          <w:sz w:val="24"/>
        </w:rPr>
        <w:t>投标人：（盖章）</w:t>
      </w:r>
    </w:p>
    <w:p>
      <w:pPr>
        <w:spacing w:line="660" w:lineRule="exact"/>
        <w:ind w:firstLine="480" w:firstLineChars="200"/>
        <w:rPr>
          <w:rFonts w:ascii="宋体" w:hAnsi="宋体"/>
          <w:sz w:val="24"/>
        </w:rPr>
      </w:pPr>
      <w:r>
        <w:rPr>
          <w:rFonts w:hint="eastAsia" w:ascii="宋体" w:hAnsi="宋体"/>
          <w:sz w:val="24"/>
        </w:rPr>
        <w:t>法定代表人（委托代理人）：（签字）</w:t>
      </w:r>
    </w:p>
    <w:p>
      <w:pPr>
        <w:spacing w:line="660" w:lineRule="exact"/>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pStyle w:val="7"/>
        <w:ind w:firstLine="480"/>
        <w:rPr>
          <w:rFonts w:ascii="宋体" w:hAnsi="宋体"/>
          <w:sz w:val="24"/>
        </w:rPr>
      </w:pPr>
    </w:p>
    <w:p>
      <w:pPr>
        <w:rPr>
          <w:rFonts w:ascii="宋体" w:hAnsi="宋体"/>
          <w:sz w:val="24"/>
        </w:rPr>
      </w:pPr>
    </w:p>
    <w:p>
      <w:pPr>
        <w:pStyle w:val="7"/>
        <w:ind w:firstLine="480"/>
        <w:rPr>
          <w:rFonts w:ascii="宋体" w:hAnsi="宋体"/>
          <w:sz w:val="24"/>
        </w:rPr>
      </w:pPr>
    </w:p>
    <w:p>
      <w:pPr>
        <w:rPr>
          <w:rFonts w:ascii="宋体" w:hAnsi="宋体"/>
          <w:sz w:val="24"/>
        </w:rPr>
      </w:pPr>
    </w:p>
    <w:p>
      <w:pPr>
        <w:pStyle w:val="7"/>
        <w:ind w:firstLine="480"/>
        <w:rPr>
          <w:rFonts w:ascii="宋体" w:hAnsi="宋体"/>
          <w:sz w:val="24"/>
        </w:rPr>
      </w:pPr>
    </w:p>
    <w:p>
      <w:pPr>
        <w:rPr>
          <w:rFonts w:ascii="宋体" w:hAnsi="宋体"/>
          <w:sz w:val="24"/>
        </w:rPr>
      </w:pPr>
    </w:p>
    <w:p>
      <w:pPr>
        <w:pStyle w:val="7"/>
        <w:ind w:firstLine="480"/>
        <w:rPr>
          <w:rFonts w:ascii="宋体" w:hAnsi="宋体"/>
          <w:sz w:val="24"/>
        </w:rPr>
      </w:pPr>
    </w:p>
    <w:p>
      <w:pPr>
        <w:rPr>
          <w:rFonts w:ascii="宋体" w:hAnsi="宋体"/>
          <w:sz w:val="24"/>
        </w:rPr>
      </w:pPr>
    </w:p>
    <w:p>
      <w:pPr>
        <w:pStyle w:val="2"/>
        <w:rPr>
          <w:rFonts w:ascii="宋体" w:hAnsi="宋体"/>
          <w:sz w:val="24"/>
        </w:rPr>
      </w:pPr>
    </w:p>
    <w:p>
      <w:pPr>
        <w:pStyle w:val="2"/>
        <w:rPr>
          <w:rFonts w:ascii="宋体" w:hAnsi="宋体"/>
          <w:sz w:val="24"/>
        </w:rPr>
      </w:pPr>
    </w:p>
    <w:p/>
    <w:bookmarkEnd w:id="43"/>
    <w:bookmarkEnd w:id="44"/>
    <w:bookmarkEnd w:id="45"/>
    <w:bookmarkEnd w:id="46"/>
    <w:bookmarkEnd w:id="47"/>
    <w:bookmarkEnd w:id="48"/>
    <w:p>
      <w:pPr>
        <w:pStyle w:val="3"/>
      </w:pPr>
    </w:p>
    <w:p>
      <w:pPr>
        <w:pStyle w:val="3"/>
      </w:pPr>
    </w:p>
    <w:p>
      <w:pPr>
        <w:pStyle w:val="3"/>
      </w:pPr>
    </w:p>
    <w:p>
      <w:pPr>
        <w:jc w:val="center"/>
        <w:rPr>
          <w:rFonts w:hint="eastAsia" w:eastAsia="黑体"/>
          <w:b/>
          <w:bCs/>
          <w:sz w:val="28"/>
        </w:rPr>
      </w:pPr>
    </w:p>
    <w:p>
      <w:pPr>
        <w:jc w:val="center"/>
        <w:rPr>
          <w:rFonts w:eastAsia="黑体"/>
          <w:b/>
          <w:bCs/>
          <w:sz w:val="28"/>
        </w:rPr>
      </w:pPr>
      <w:r>
        <w:rPr>
          <w:rFonts w:hint="eastAsia" w:eastAsia="黑体"/>
          <w:b/>
          <w:bCs/>
          <w:sz w:val="28"/>
        </w:rPr>
        <w:t>企业概况一览表</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134"/>
        <w:gridCol w:w="1985"/>
        <w:gridCol w:w="992"/>
        <w:gridCol w:w="1985"/>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7" w:hRule="atLeast"/>
        </w:trPr>
        <w:tc>
          <w:tcPr>
            <w:tcW w:w="1809" w:type="dxa"/>
            <w:noWrap w:val="0"/>
            <w:vAlign w:val="center"/>
          </w:tcPr>
          <w:p>
            <w:pPr>
              <w:jc w:val="center"/>
              <w:rPr>
                <w:rFonts w:ascii="宋体" w:hAnsi="宋体"/>
                <w:sz w:val="24"/>
              </w:rPr>
            </w:pPr>
            <w:r>
              <w:rPr>
                <w:rFonts w:hint="eastAsia" w:ascii="宋体" w:hAnsi="宋体"/>
                <w:sz w:val="24"/>
              </w:rPr>
              <w:t>企业名称</w:t>
            </w:r>
          </w:p>
        </w:tc>
        <w:tc>
          <w:tcPr>
            <w:tcW w:w="1134"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成立时间</w:t>
            </w:r>
          </w:p>
        </w:tc>
        <w:tc>
          <w:tcPr>
            <w:tcW w:w="992"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注册资本（万元）</w:t>
            </w:r>
          </w:p>
        </w:tc>
        <w:tc>
          <w:tcPr>
            <w:tcW w:w="1381"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809" w:type="dxa"/>
            <w:noWrap w:val="0"/>
            <w:vAlign w:val="center"/>
          </w:tcPr>
          <w:p>
            <w:pPr>
              <w:jc w:val="center"/>
              <w:rPr>
                <w:rFonts w:ascii="宋体" w:hAnsi="宋体"/>
                <w:sz w:val="24"/>
              </w:rPr>
            </w:pPr>
            <w:r>
              <w:rPr>
                <w:rFonts w:hint="eastAsia" w:ascii="宋体" w:hAnsi="宋体"/>
                <w:sz w:val="24"/>
              </w:rPr>
              <w:t>厂址</w:t>
            </w:r>
          </w:p>
        </w:tc>
        <w:tc>
          <w:tcPr>
            <w:tcW w:w="1134"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处置场地面积（㎡）</w:t>
            </w:r>
          </w:p>
        </w:tc>
        <w:tc>
          <w:tcPr>
            <w:tcW w:w="992"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在册员工人数（人）</w:t>
            </w:r>
          </w:p>
        </w:tc>
        <w:tc>
          <w:tcPr>
            <w:tcW w:w="1381"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40" w:hRule="atLeast"/>
        </w:trPr>
        <w:tc>
          <w:tcPr>
            <w:tcW w:w="1809" w:type="dxa"/>
            <w:noWrap w:val="0"/>
            <w:vAlign w:val="center"/>
          </w:tcPr>
          <w:p>
            <w:pPr>
              <w:jc w:val="center"/>
              <w:rPr>
                <w:rFonts w:ascii="宋体" w:hAnsi="宋体"/>
                <w:bCs/>
                <w:szCs w:val="21"/>
              </w:rPr>
            </w:pPr>
            <w:r>
              <w:rPr>
                <w:rFonts w:hint="eastAsia" w:ascii="宋体" w:hAnsi="宋体"/>
                <w:sz w:val="24"/>
              </w:rPr>
              <w:t>企业所通过的体系认证情况</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809" w:type="dxa"/>
            <w:noWrap w:val="0"/>
            <w:vAlign w:val="center"/>
          </w:tcPr>
          <w:p>
            <w:pPr>
              <w:jc w:val="center"/>
              <w:rPr>
                <w:rFonts w:ascii="宋体" w:hAnsi="宋体"/>
                <w:bCs/>
                <w:szCs w:val="21"/>
              </w:rPr>
            </w:pPr>
            <w:r>
              <w:rPr>
                <w:rFonts w:hint="eastAsia" w:ascii="宋体" w:hAnsi="宋体"/>
                <w:bCs/>
                <w:szCs w:val="21"/>
              </w:rPr>
              <w:t>固体废物回收、利用、处置范围</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809" w:type="dxa"/>
            <w:noWrap w:val="0"/>
            <w:vAlign w:val="center"/>
          </w:tcPr>
          <w:p>
            <w:pPr>
              <w:jc w:val="center"/>
              <w:rPr>
                <w:rFonts w:ascii="宋体" w:hAnsi="宋体"/>
                <w:b/>
                <w:bCs/>
                <w:szCs w:val="21"/>
              </w:rPr>
            </w:pPr>
            <w:r>
              <w:rPr>
                <w:rFonts w:hint="eastAsia" w:ascii="宋体" w:hAnsi="宋体"/>
                <w:bCs/>
                <w:szCs w:val="21"/>
              </w:rPr>
              <w:t>主要回收、利用、处置设备</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65" w:hRule="atLeast"/>
        </w:trPr>
        <w:tc>
          <w:tcPr>
            <w:tcW w:w="1809" w:type="dxa"/>
            <w:noWrap w:val="0"/>
            <w:vAlign w:val="center"/>
          </w:tcPr>
          <w:p>
            <w:pPr>
              <w:jc w:val="center"/>
              <w:rPr>
                <w:rFonts w:ascii="宋体" w:hAnsi="宋体"/>
                <w:bCs/>
                <w:szCs w:val="21"/>
              </w:rPr>
            </w:pPr>
            <w:r>
              <w:rPr>
                <w:rFonts w:hint="eastAsia" w:ascii="宋体" w:hAnsi="宋体"/>
                <w:bCs/>
                <w:szCs w:val="21"/>
              </w:rPr>
              <w:t>固体废物回收、利用、处置能力（吨/年）</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809" w:type="dxa"/>
            <w:noWrap w:val="0"/>
            <w:vAlign w:val="center"/>
          </w:tcPr>
          <w:p>
            <w:pPr>
              <w:jc w:val="center"/>
              <w:rPr>
                <w:rFonts w:ascii="宋体" w:hAnsi="宋体"/>
                <w:b/>
                <w:bCs/>
                <w:szCs w:val="21"/>
              </w:rPr>
            </w:pPr>
            <w:r>
              <w:rPr>
                <w:rFonts w:hint="eastAsia" w:ascii="宋体" w:hAnsi="宋体"/>
                <w:bCs/>
                <w:szCs w:val="21"/>
              </w:rPr>
              <w:t>固体废物回收、利用、处置工艺</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809" w:type="dxa"/>
            <w:noWrap w:val="0"/>
            <w:vAlign w:val="center"/>
          </w:tcPr>
          <w:p>
            <w:pPr>
              <w:jc w:val="center"/>
              <w:rPr>
                <w:rFonts w:ascii="宋体" w:hAnsi="宋体"/>
                <w:bCs/>
                <w:szCs w:val="21"/>
              </w:rPr>
            </w:pPr>
            <w:r>
              <w:rPr>
                <w:rFonts w:hint="eastAsia" w:ascii="宋体" w:hAnsi="宋体"/>
                <w:bCs/>
                <w:szCs w:val="21"/>
              </w:rPr>
              <w:t>专利</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28" w:hRule="atLeast"/>
        </w:trPr>
        <w:tc>
          <w:tcPr>
            <w:tcW w:w="1809" w:type="dxa"/>
            <w:noWrap w:val="0"/>
            <w:vAlign w:val="center"/>
          </w:tcPr>
          <w:p>
            <w:pPr>
              <w:jc w:val="center"/>
              <w:rPr>
                <w:rFonts w:ascii="宋体" w:hAnsi="宋体"/>
                <w:bCs/>
                <w:szCs w:val="21"/>
              </w:rPr>
            </w:pPr>
            <w:r>
              <w:rPr>
                <w:rFonts w:hint="eastAsia" w:ascii="宋体" w:hAnsi="宋体"/>
                <w:bCs/>
                <w:szCs w:val="21"/>
              </w:rPr>
              <w:t>本企业其它优势</w:t>
            </w:r>
          </w:p>
        </w:tc>
        <w:tc>
          <w:tcPr>
            <w:tcW w:w="7477" w:type="dxa"/>
            <w:gridSpan w:val="5"/>
            <w:noWrap w:val="0"/>
            <w:vAlign w:val="center"/>
          </w:tcPr>
          <w:p>
            <w:pPr>
              <w:jc w:val="center"/>
              <w:rPr>
                <w:rFonts w:ascii="宋体" w:hAnsi="宋体"/>
                <w:b/>
                <w:bCs/>
                <w:szCs w:val="21"/>
              </w:rPr>
            </w:pPr>
          </w:p>
        </w:tc>
      </w:tr>
    </w:tbl>
    <w:p>
      <w:pPr>
        <w:rPr>
          <w:rFonts w:eastAsia="黑体"/>
          <w:b/>
          <w:bCs/>
          <w:sz w:val="28"/>
        </w:rPr>
      </w:pPr>
    </w:p>
    <w:p>
      <w:pPr>
        <w:rPr>
          <w:rFonts w:eastAsia="黑体"/>
          <w:b/>
          <w:bCs/>
          <w:sz w:val="28"/>
        </w:rPr>
      </w:pPr>
    </w:p>
    <w:p>
      <w:pPr>
        <w:pStyle w:val="11"/>
        <w:spacing w:line="360" w:lineRule="auto"/>
        <w:ind w:firstLine="240" w:firstLineChars="100"/>
        <w:rPr>
          <w:rFonts w:ascii="仿宋_GB2312" w:hAnsi="宋体" w:eastAsia="仿宋_GB2312"/>
          <w:sz w:val="24"/>
        </w:rPr>
        <w:sectPr>
          <w:footerReference r:id="rId3" w:type="default"/>
          <w:pgSz w:w="11906" w:h="16838"/>
          <w:pgMar w:top="1418" w:right="1418" w:bottom="1134" w:left="1418" w:header="851" w:footer="992" w:gutter="0"/>
          <w:pgNumType w:fmt="decimal" w:chapStyle="1"/>
          <w:cols w:space="720" w:num="1"/>
          <w:docGrid w:type="lines" w:linePitch="312" w:charSpace="0"/>
        </w:sectPr>
      </w:pPr>
      <w:r>
        <w:rPr>
          <w:rFonts w:hint="eastAsia" w:ascii="仿宋_GB2312" w:hAnsi="宋体" w:eastAsia="仿宋_GB2312"/>
          <w:sz w:val="24"/>
        </w:rPr>
        <w:t>投标人名称（盖章）：              法定代表人或授权代表签字：</w:t>
      </w:r>
    </w:p>
    <w:p>
      <w:pPr>
        <w:pStyle w:val="3"/>
        <w:rPr>
          <w:rFonts w:hAnsi="宋体"/>
        </w:rPr>
      </w:pPr>
    </w:p>
    <w:p>
      <w:pPr>
        <w:pStyle w:val="6"/>
        <w:spacing w:before="120" w:after="120" w:line="560" w:lineRule="exact"/>
        <w:rPr>
          <w:rFonts w:ascii="宋体" w:hAnsi="宋体" w:cs="宋体"/>
          <w:sz w:val="24"/>
          <w:szCs w:val="24"/>
        </w:rPr>
      </w:pPr>
      <w:bookmarkStart w:id="50" w:name="_Toc25578"/>
      <w:bookmarkStart w:id="51" w:name="_Toc6319"/>
      <w:r>
        <w:rPr>
          <w:rFonts w:hint="eastAsia" w:ascii="宋体" w:hAnsi="宋体" w:cs="宋体"/>
          <w:sz w:val="24"/>
          <w:szCs w:val="24"/>
        </w:rPr>
        <w:t>附件十</w:t>
      </w:r>
      <w:r>
        <w:rPr>
          <w:rFonts w:hint="eastAsia" w:ascii="宋体" w:hAnsi="宋体" w:cs="宋体"/>
          <w:sz w:val="24"/>
          <w:szCs w:val="24"/>
          <w:lang w:eastAsia="zh-CN"/>
        </w:rPr>
        <w:t>四</w:t>
      </w:r>
      <w:r>
        <w:rPr>
          <w:rFonts w:hint="eastAsia" w:ascii="宋体" w:hAnsi="宋体" w:cs="宋体"/>
          <w:sz w:val="24"/>
          <w:szCs w:val="24"/>
        </w:rPr>
        <w:t>、封面格式（参考）</w:t>
      </w:r>
      <w:bookmarkEnd w:id="49"/>
      <w:bookmarkEnd w:id="50"/>
      <w:bookmarkEnd w:id="51"/>
    </w:p>
    <w:p>
      <w:pPr>
        <w:pStyle w:val="9"/>
        <w:ind w:left="0"/>
        <w:jc w:val="center"/>
        <w:rPr>
          <w:rFonts w:ascii="宋体" w:hAnsi="宋体"/>
        </w:rPr>
      </w:pPr>
      <w:r>
        <w:rPr>
          <w:rFonts w:hint="eastAsia" w:ascii="宋体" w:hAnsi="宋体" w:cs="宋体"/>
          <w:b/>
          <w:bCs/>
          <w:sz w:val="32"/>
          <w:szCs w:val="32"/>
        </w:rPr>
        <w:t>封面格式（参考）</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pPr>
              <w:pStyle w:val="9"/>
              <w:ind w:left="1747" w:firstLine="470"/>
              <w:jc w:val="left"/>
              <w:rPr>
                <w:rFonts w:ascii="宋体" w:hAnsi="宋体"/>
                <w:sz w:val="24"/>
              </w:rPr>
            </w:pPr>
          </w:p>
          <w:p>
            <w:pPr>
              <w:pStyle w:val="9"/>
              <w:ind w:left="0"/>
              <w:jc w:val="left"/>
              <w:rPr>
                <w:rFonts w:ascii="宋体" w:hAnsi="宋体"/>
                <w:b/>
                <w:bCs/>
                <w:sz w:val="30"/>
                <w:szCs w:val="30"/>
              </w:rPr>
            </w:pPr>
            <w:r>
              <w:rPr>
                <w:rFonts w:hint="eastAsia" w:ascii="宋体" w:hAnsi="宋体" w:cs="宋体"/>
                <w:b/>
                <w:bCs/>
                <w:sz w:val="30"/>
                <w:szCs w:val="30"/>
              </w:rPr>
              <w:t>投标文件</w:t>
            </w:r>
          </w:p>
          <w:p>
            <w:pPr>
              <w:pStyle w:val="9"/>
              <w:ind w:left="0"/>
              <w:jc w:val="left"/>
              <w:rPr>
                <w:rFonts w:ascii="宋体" w:hAnsi="宋体"/>
                <w:sz w:val="30"/>
                <w:szCs w:val="30"/>
              </w:rPr>
            </w:pPr>
            <w:r>
              <w:rPr>
                <w:rFonts w:hint="eastAsia" w:ascii="宋体" w:hAnsi="宋体" w:cs="宋体"/>
                <w:b/>
                <w:bCs/>
                <w:sz w:val="30"/>
                <w:szCs w:val="30"/>
              </w:rPr>
              <w:t>（正本）</w:t>
            </w:r>
          </w:p>
          <w:p>
            <w:pPr>
              <w:pStyle w:val="9"/>
              <w:ind w:left="1747" w:firstLine="353"/>
              <w:jc w:val="left"/>
              <w:rPr>
                <w:rFonts w:ascii="宋体" w:hAnsi="宋体"/>
                <w:sz w:val="18"/>
                <w:szCs w:val="18"/>
              </w:rPr>
            </w:pPr>
          </w:p>
          <w:p>
            <w:pPr>
              <w:pStyle w:val="9"/>
              <w:spacing w:line="400" w:lineRule="exact"/>
              <w:ind w:left="0"/>
              <w:jc w:val="left"/>
              <w:rPr>
                <w:rFonts w:ascii="宋体" w:hAnsi="宋体"/>
                <w:sz w:val="24"/>
              </w:rPr>
            </w:pPr>
            <w:r>
              <w:rPr>
                <w:rFonts w:hint="eastAsia" w:ascii="宋体" w:hAnsi="宋体" w:cs="宋体"/>
                <w:sz w:val="24"/>
              </w:rPr>
              <w:t>项目名称：</w:t>
            </w:r>
          </w:p>
          <w:p>
            <w:pPr>
              <w:pStyle w:val="9"/>
              <w:spacing w:line="400" w:lineRule="exact"/>
              <w:ind w:left="0"/>
              <w:jc w:val="left"/>
              <w:rPr>
                <w:rFonts w:ascii="宋体" w:hAnsi="宋体"/>
                <w:sz w:val="24"/>
              </w:rPr>
            </w:pPr>
            <w:r>
              <w:rPr>
                <w:rFonts w:hint="eastAsia" w:ascii="宋体" w:hAnsi="宋体" w:cs="宋体"/>
                <w:sz w:val="24"/>
              </w:rPr>
              <w:t>投标人名称（公章）：</w:t>
            </w:r>
          </w:p>
          <w:p>
            <w:pPr>
              <w:pStyle w:val="9"/>
              <w:spacing w:line="400" w:lineRule="exact"/>
              <w:ind w:left="0"/>
              <w:jc w:val="left"/>
              <w:rPr>
                <w:rFonts w:ascii="宋体" w:hAnsi="宋体"/>
                <w:sz w:val="24"/>
              </w:rPr>
            </w:pPr>
            <w:r>
              <w:rPr>
                <w:rFonts w:hint="eastAsia" w:ascii="宋体" w:hAnsi="宋体" w:cs="宋体"/>
                <w:sz w:val="24"/>
              </w:rPr>
              <w:t>地址：</w:t>
            </w:r>
          </w:p>
          <w:p>
            <w:pPr>
              <w:pStyle w:val="9"/>
              <w:spacing w:line="400" w:lineRule="exact"/>
              <w:ind w:left="0"/>
              <w:jc w:val="left"/>
              <w:rPr>
                <w:rFonts w:ascii="宋体" w:hAnsi="宋体"/>
                <w:sz w:val="24"/>
              </w:rPr>
            </w:pPr>
            <w:r>
              <w:rPr>
                <w:rFonts w:hint="eastAsia" w:ascii="宋体" w:hAnsi="宋体" w:cs="宋体"/>
                <w:sz w:val="24"/>
              </w:rPr>
              <w:t>电话：</w:t>
            </w:r>
          </w:p>
          <w:p>
            <w:pPr>
              <w:pStyle w:val="9"/>
              <w:spacing w:line="400" w:lineRule="exact"/>
              <w:ind w:left="0"/>
              <w:jc w:val="left"/>
              <w:rPr>
                <w:rFonts w:ascii="宋体" w:hAnsi="宋体"/>
                <w:sz w:val="24"/>
              </w:rPr>
            </w:pPr>
            <w:r>
              <w:rPr>
                <w:rFonts w:hint="eastAsia" w:ascii="宋体" w:hAnsi="宋体" w:cs="宋体"/>
                <w:sz w:val="24"/>
              </w:rPr>
              <w:t>传真：</w:t>
            </w:r>
          </w:p>
          <w:p>
            <w:pPr>
              <w:pStyle w:val="9"/>
              <w:spacing w:line="400" w:lineRule="exact"/>
              <w:ind w:left="0"/>
              <w:jc w:val="left"/>
              <w:rPr>
                <w:rFonts w:ascii="宋体" w:hAnsi="宋体"/>
                <w:sz w:val="24"/>
              </w:rPr>
            </w:pPr>
            <w:r>
              <w:rPr>
                <w:rFonts w:hint="eastAsia" w:ascii="宋体" w:hAnsi="宋体" w:cs="宋体"/>
                <w:sz w:val="24"/>
              </w:rPr>
              <w:t>邮编：</w:t>
            </w:r>
            <w:r>
              <w:rPr>
                <w:rFonts w:ascii="宋体" w:hAnsi="宋体" w:cs="宋体"/>
                <w:sz w:val="32"/>
                <w:szCs w:val="32"/>
              </w:rPr>
              <w:t xml:space="preserve"> </w:t>
            </w:r>
          </w:p>
        </w:tc>
        <w:tc>
          <w:tcPr>
            <w:tcW w:w="4775" w:type="dxa"/>
          </w:tcPr>
          <w:p>
            <w:pPr>
              <w:pStyle w:val="9"/>
              <w:ind w:left="1747" w:firstLine="470"/>
              <w:jc w:val="left"/>
              <w:rPr>
                <w:rFonts w:ascii="宋体" w:hAnsi="宋体"/>
                <w:sz w:val="24"/>
              </w:rPr>
            </w:pPr>
          </w:p>
          <w:p>
            <w:pPr>
              <w:pStyle w:val="9"/>
              <w:ind w:left="0"/>
              <w:jc w:val="left"/>
              <w:rPr>
                <w:rFonts w:ascii="宋体" w:hAnsi="宋体"/>
                <w:b/>
                <w:bCs/>
                <w:sz w:val="30"/>
                <w:szCs w:val="30"/>
              </w:rPr>
            </w:pPr>
            <w:r>
              <w:rPr>
                <w:rFonts w:hint="eastAsia" w:ascii="宋体" w:hAnsi="宋体" w:cs="宋体"/>
                <w:b/>
                <w:bCs/>
                <w:sz w:val="30"/>
                <w:szCs w:val="30"/>
              </w:rPr>
              <w:t>投标文件</w:t>
            </w:r>
          </w:p>
          <w:p>
            <w:pPr>
              <w:pStyle w:val="9"/>
              <w:ind w:left="0"/>
              <w:jc w:val="left"/>
              <w:rPr>
                <w:rFonts w:ascii="宋体" w:hAnsi="宋体"/>
                <w:sz w:val="30"/>
                <w:szCs w:val="30"/>
              </w:rPr>
            </w:pPr>
            <w:r>
              <w:rPr>
                <w:rFonts w:hint="eastAsia" w:ascii="宋体" w:hAnsi="宋体" w:cs="宋体"/>
                <w:b/>
                <w:bCs/>
                <w:sz w:val="30"/>
                <w:szCs w:val="30"/>
              </w:rPr>
              <w:t>（副本）</w:t>
            </w:r>
          </w:p>
          <w:p>
            <w:pPr>
              <w:pStyle w:val="9"/>
              <w:spacing w:line="400" w:lineRule="exact"/>
              <w:ind w:left="0"/>
              <w:jc w:val="left"/>
              <w:rPr>
                <w:rFonts w:ascii="宋体" w:hAnsi="宋体"/>
                <w:sz w:val="24"/>
              </w:rPr>
            </w:pPr>
          </w:p>
          <w:p>
            <w:pPr>
              <w:pStyle w:val="9"/>
              <w:spacing w:line="400" w:lineRule="exact"/>
              <w:ind w:left="0"/>
              <w:jc w:val="left"/>
              <w:rPr>
                <w:rFonts w:ascii="宋体" w:hAnsi="宋体"/>
                <w:sz w:val="24"/>
              </w:rPr>
            </w:pPr>
            <w:r>
              <w:rPr>
                <w:rFonts w:hint="eastAsia" w:ascii="宋体" w:hAnsi="宋体" w:cs="宋体"/>
                <w:sz w:val="24"/>
              </w:rPr>
              <w:t>项目名称：</w:t>
            </w:r>
          </w:p>
          <w:p>
            <w:pPr>
              <w:pStyle w:val="9"/>
              <w:spacing w:line="400" w:lineRule="exact"/>
              <w:ind w:left="0"/>
              <w:jc w:val="left"/>
              <w:rPr>
                <w:rFonts w:ascii="宋体" w:hAnsi="宋体"/>
                <w:sz w:val="24"/>
              </w:rPr>
            </w:pPr>
            <w:r>
              <w:rPr>
                <w:rFonts w:hint="eastAsia" w:ascii="宋体" w:hAnsi="宋体" w:cs="宋体"/>
                <w:sz w:val="24"/>
              </w:rPr>
              <w:t>投标人名称（公章）：</w:t>
            </w:r>
          </w:p>
          <w:p>
            <w:pPr>
              <w:pStyle w:val="9"/>
              <w:spacing w:line="400" w:lineRule="exact"/>
              <w:ind w:left="0"/>
              <w:jc w:val="left"/>
              <w:rPr>
                <w:rFonts w:ascii="宋体" w:hAnsi="宋体"/>
                <w:sz w:val="24"/>
              </w:rPr>
            </w:pPr>
            <w:r>
              <w:rPr>
                <w:rFonts w:hint="eastAsia" w:ascii="宋体" w:hAnsi="宋体" w:cs="宋体"/>
                <w:sz w:val="24"/>
              </w:rPr>
              <w:t>地址：</w:t>
            </w:r>
          </w:p>
          <w:p>
            <w:pPr>
              <w:pStyle w:val="9"/>
              <w:spacing w:line="400" w:lineRule="exact"/>
              <w:ind w:left="0"/>
              <w:jc w:val="left"/>
              <w:rPr>
                <w:rFonts w:ascii="宋体" w:hAnsi="宋体"/>
                <w:sz w:val="24"/>
              </w:rPr>
            </w:pPr>
            <w:r>
              <w:rPr>
                <w:rFonts w:hint="eastAsia" w:ascii="宋体" w:hAnsi="宋体" w:cs="宋体"/>
                <w:sz w:val="24"/>
              </w:rPr>
              <w:t>电话：</w:t>
            </w:r>
          </w:p>
          <w:p>
            <w:pPr>
              <w:pStyle w:val="9"/>
              <w:spacing w:line="400" w:lineRule="exact"/>
              <w:ind w:left="0"/>
              <w:jc w:val="left"/>
              <w:rPr>
                <w:rFonts w:ascii="宋体" w:hAnsi="宋体"/>
                <w:sz w:val="24"/>
              </w:rPr>
            </w:pPr>
            <w:r>
              <w:rPr>
                <w:rFonts w:hint="eastAsia" w:ascii="宋体" w:hAnsi="宋体" w:cs="宋体"/>
                <w:sz w:val="24"/>
              </w:rPr>
              <w:t>传真：</w:t>
            </w:r>
          </w:p>
          <w:p>
            <w:pPr>
              <w:pStyle w:val="9"/>
              <w:spacing w:line="400" w:lineRule="exact"/>
              <w:ind w:left="0"/>
              <w:jc w:val="left"/>
              <w:rPr>
                <w:rFonts w:ascii="宋体" w:hAnsi="宋体"/>
                <w:sz w:val="24"/>
              </w:rPr>
            </w:pPr>
            <w:r>
              <w:rPr>
                <w:rFonts w:hint="eastAsia" w:ascii="宋体" w:hAnsi="宋体" w:cs="宋体"/>
                <w:sz w:val="24"/>
              </w:rPr>
              <w:t>邮编：</w:t>
            </w:r>
            <w:r>
              <w:rPr>
                <w:rFonts w:ascii="宋体" w:hAnsi="宋体" w:cs="宋体"/>
                <w:sz w:val="32"/>
                <w:szCs w:val="32"/>
              </w:rPr>
              <w:t xml:space="preserve"> </w:t>
            </w:r>
          </w:p>
        </w:tc>
      </w:tr>
    </w:tbl>
    <w:p>
      <w:pPr>
        <w:pStyle w:val="9"/>
        <w:ind w:left="1747" w:firstLine="412"/>
        <w:rPr>
          <w:rFonts w:ascii="宋体" w:hAnsi="宋体"/>
        </w:rPr>
      </w:pPr>
    </w:p>
    <w:p>
      <w:pPr>
        <w:pStyle w:val="9"/>
        <w:ind w:left="1747" w:firstLine="412"/>
        <w:rPr>
          <w:rFonts w:ascii="宋体" w:hAnsi="宋体"/>
        </w:rPr>
      </w:pPr>
    </w:p>
    <w:p>
      <w:pPr>
        <w:pStyle w:val="9"/>
        <w:ind w:left="0"/>
        <w:rPr>
          <w:rFonts w:ascii="宋体" w:hAnsi="宋体"/>
          <w:b/>
          <w:bCs/>
          <w:sz w:val="32"/>
          <w:szCs w:val="32"/>
        </w:rPr>
      </w:pPr>
      <w:r>
        <w:rPr>
          <w:rFonts w:hint="eastAsia" w:ascii="宋体" w:hAnsi="宋体" w:cs="宋体"/>
          <w:b/>
          <w:bCs/>
          <w:sz w:val="32"/>
          <w:szCs w:val="32"/>
        </w:rPr>
        <w:t>封口格式：</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pPr>
              <w:pStyle w:val="9"/>
              <w:ind w:left="0"/>
              <w:rPr>
                <w:rFonts w:ascii="宋体" w:hAnsi="宋体"/>
                <w:sz w:val="24"/>
              </w:rPr>
            </w:pPr>
            <w:r>
              <w:rPr>
                <w:rFonts w:hint="eastAsia" w:ascii="宋体" w:hAnsi="宋体" w:cs="宋体"/>
                <w:sz w:val="24"/>
              </w:rPr>
              <w:t>……………………于</w:t>
            </w:r>
            <w:r>
              <w:rPr>
                <w:rFonts w:hint="eastAsia" w:ascii="宋体" w:hAnsi="宋体" w:cs="宋体"/>
                <w:sz w:val="24"/>
                <w:u w:val="single"/>
              </w:rPr>
              <w:t xml:space="preserve">     </w:t>
            </w:r>
            <w:r>
              <w:rPr>
                <w:rFonts w:ascii="宋体" w:hAnsi="宋体" w:cs="宋体"/>
                <w:sz w:val="24"/>
              </w:rPr>
              <w:t>年</w:t>
            </w:r>
            <w:r>
              <w:rPr>
                <w:rFonts w:ascii="宋体" w:hAnsi="宋体" w:cs="宋体"/>
                <w:sz w:val="24"/>
                <w:u w:val="single"/>
              </w:rPr>
              <w:t xml:space="preserve">  </w:t>
            </w:r>
            <w:r>
              <w:rPr>
                <w:rFonts w:hint="eastAsia" w:ascii="宋体" w:hAnsi="宋体" w:cs="宋体"/>
                <w:sz w:val="24"/>
              </w:rPr>
              <w:t>月</w:t>
            </w:r>
            <w:r>
              <w:rPr>
                <w:rFonts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时之前不准启封（公章）…………………</w:t>
            </w:r>
          </w:p>
        </w:tc>
      </w:tr>
    </w:tbl>
    <w:p>
      <w:pPr>
        <w:widowControl/>
        <w:textAlignment w:val="center"/>
        <w:rPr>
          <w:rFonts w:ascii="宋体" w:hAnsi="宋体" w:cs="宋体"/>
          <w:color w:val="000000"/>
          <w:kern w:val="0"/>
          <w:sz w:val="28"/>
          <w:szCs w:val="28"/>
          <w:lang w:bidi="ar"/>
        </w:rPr>
        <w:sectPr>
          <w:headerReference r:id="rId4" w:type="default"/>
          <w:pgSz w:w="11906" w:h="16838"/>
          <w:pgMar w:top="1440" w:right="1646" w:bottom="1440" w:left="1800" w:header="851" w:footer="992" w:gutter="0"/>
          <w:cols w:space="720" w:num="1"/>
          <w:docGrid w:type="lines" w:linePitch="312" w:charSpace="0"/>
        </w:sectPr>
      </w:pPr>
    </w:p>
    <w:p>
      <w:pPr>
        <w:rPr>
          <w:rFonts w:hAnsi="宋体"/>
          <w:color w:val="000000"/>
        </w:rPr>
      </w:pPr>
    </w:p>
    <w:sectPr>
      <w:headerReference r:id="rId5" w:type="default"/>
      <w:footerReference r:id="rId6" w:type="default"/>
      <w:pgSz w:w="16838" w:h="11906" w:orient="landscape"/>
      <w:pgMar w:top="1803" w:right="1440" w:bottom="1644" w:left="1440" w:header="851" w:footer="992" w:gutter="0"/>
      <w:cols w:space="0"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pPr>
                          <w:r>
                            <w:fldChar w:fldCharType="begin"/>
                          </w:r>
                          <w:r>
                            <w:instrText xml:space="preserve"> PAGE  \* MERGEFORMAT </w:instrText>
                          </w:r>
                          <w:r>
                            <w:fldChar w:fldCharType="separate"/>
                          </w:r>
                          <w:r>
                            <w:t>13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pPr>
                      <w:pStyle w:val="14"/>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C6D97"/>
    <w:multiLevelType w:val="singleLevel"/>
    <w:tmpl w:val="98EC6D97"/>
    <w:lvl w:ilvl="0" w:tentative="0">
      <w:start w:val="1"/>
      <w:numFmt w:val="decimal"/>
      <w:suff w:val="space"/>
      <w:lvlText w:val="第%1章"/>
      <w:lvlJc w:val="left"/>
    </w:lvl>
  </w:abstractNum>
  <w:abstractNum w:abstractNumId="1">
    <w:nsid w:val="1A590524"/>
    <w:multiLevelType w:val="singleLevel"/>
    <w:tmpl w:val="1A590524"/>
    <w:lvl w:ilvl="0" w:tentative="0">
      <w:start w:val="1"/>
      <w:numFmt w:val="decimal"/>
      <w:lvlText w:val="(%1)"/>
      <w:lvlJc w:val="left"/>
      <w:pPr>
        <w:tabs>
          <w:tab w:val="left" w:pos="312"/>
        </w:tabs>
      </w:pPr>
    </w:lvl>
  </w:abstractNum>
  <w:abstractNum w:abstractNumId="2">
    <w:nsid w:val="28E554A9"/>
    <w:multiLevelType w:val="singleLevel"/>
    <w:tmpl w:val="28E554A9"/>
    <w:lvl w:ilvl="0" w:tentative="0">
      <w:start w:val="1"/>
      <w:numFmt w:val="decimal"/>
      <w:suff w:val="space"/>
      <w:lvlText w:val="(%1)"/>
      <w:lvlJc w:val="left"/>
      <w:pPr>
        <w:tabs>
          <w:tab w:val="left" w:pos="0"/>
        </w:tabs>
        <w:ind w:left="0" w:firstLine="0"/>
      </w:pPr>
      <w:rPr>
        <w:rFonts w:hint="default"/>
      </w:rPr>
    </w:lvl>
  </w:abstractNum>
  <w:abstractNum w:abstractNumId="3">
    <w:nsid w:val="4F1E41C7"/>
    <w:multiLevelType w:val="singleLevel"/>
    <w:tmpl w:val="4F1E41C7"/>
    <w:lvl w:ilvl="0" w:tentative="0">
      <w:start w:val="1"/>
      <w:numFmt w:val="decimal"/>
      <w:suff w:val="nothing"/>
      <w:lvlText w:val="%1、"/>
      <w:lvlJc w:val="left"/>
    </w:lvl>
  </w:abstractNum>
  <w:abstractNum w:abstractNumId="4">
    <w:nsid w:val="50D0C1B5"/>
    <w:multiLevelType w:val="singleLevel"/>
    <w:tmpl w:val="50D0C1B5"/>
    <w:lvl w:ilvl="0" w:tentative="0">
      <w:start w:val="11"/>
      <w:numFmt w:val="decimal"/>
      <w:suff w:val="nothing"/>
      <w:lvlText w:val="%1）"/>
      <w:lvlJc w:val="left"/>
    </w:lvl>
  </w:abstractNum>
  <w:abstractNum w:abstractNumId="5">
    <w:nsid w:val="674C30F8"/>
    <w:multiLevelType w:val="singleLevel"/>
    <w:tmpl w:val="674C30F8"/>
    <w:lvl w:ilvl="0" w:tentative="0">
      <w:start w:val="4"/>
      <w:numFmt w:val="decimal"/>
      <w:suff w:val="nothing"/>
      <w:lvlText w:val="（%1）"/>
      <w:lvlJc w:val="left"/>
    </w:lvl>
  </w:abstractNum>
  <w:num w:numId="1">
    <w:abstractNumId w:val="0"/>
  </w:num>
  <w:num w:numId="2">
    <w:abstractNumId w:val="5"/>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NhOWZkZjNhZTlmMDgyMGJkYTBmMTc1YTQ1YWM0MDcifQ=="/>
  </w:docVars>
  <w:rsids>
    <w:rsidRoot w:val="00FF0026"/>
    <w:rsid w:val="000111F7"/>
    <w:rsid w:val="00024EF6"/>
    <w:rsid w:val="0004090F"/>
    <w:rsid w:val="00047152"/>
    <w:rsid w:val="00077CB0"/>
    <w:rsid w:val="0009176E"/>
    <w:rsid w:val="000A3AC5"/>
    <w:rsid w:val="000A43C4"/>
    <w:rsid w:val="000B624F"/>
    <w:rsid w:val="000C6FAA"/>
    <w:rsid w:val="00117451"/>
    <w:rsid w:val="00135D94"/>
    <w:rsid w:val="0014615E"/>
    <w:rsid w:val="001624D0"/>
    <w:rsid w:val="00176D1F"/>
    <w:rsid w:val="0019411A"/>
    <w:rsid w:val="001A7D03"/>
    <w:rsid w:val="0020743B"/>
    <w:rsid w:val="0021118A"/>
    <w:rsid w:val="002145DB"/>
    <w:rsid w:val="00250BFB"/>
    <w:rsid w:val="00293890"/>
    <w:rsid w:val="0029570A"/>
    <w:rsid w:val="002B7E19"/>
    <w:rsid w:val="002D7652"/>
    <w:rsid w:val="00305F4E"/>
    <w:rsid w:val="003364C2"/>
    <w:rsid w:val="00337C2E"/>
    <w:rsid w:val="00371932"/>
    <w:rsid w:val="00380922"/>
    <w:rsid w:val="00382653"/>
    <w:rsid w:val="0038582E"/>
    <w:rsid w:val="00393336"/>
    <w:rsid w:val="003A09CF"/>
    <w:rsid w:val="003A2AF6"/>
    <w:rsid w:val="003B7D6E"/>
    <w:rsid w:val="0042450C"/>
    <w:rsid w:val="00454310"/>
    <w:rsid w:val="00477D76"/>
    <w:rsid w:val="004A08A9"/>
    <w:rsid w:val="004E6195"/>
    <w:rsid w:val="0051057E"/>
    <w:rsid w:val="00513E5D"/>
    <w:rsid w:val="00525285"/>
    <w:rsid w:val="005939FE"/>
    <w:rsid w:val="005A365A"/>
    <w:rsid w:val="005D1082"/>
    <w:rsid w:val="005E2E25"/>
    <w:rsid w:val="005E321B"/>
    <w:rsid w:val="005F18AA"/>
    <w:rsid w:val="00627467"/>
    <w:rsid w:val="00631551"/>
    <w:rsid w:val="0063294C"/>
    <w:rsid w:val="00653032"/>
    <w:rsid w:val="006673E5"/>
    <w:rsid w:val="00670B55"/>
    <w:rsid w:val="006817F5"/>
    <w:rsid w:val="00695E0E"/>
    <w:rsid w:val="006B1AE4"/>
    <w:rsid w:val="006D5855"/>
    <w:rsid w:val="006D6B86"/>
    <w:rsid w:val="006F160A"/>
    <w:rsid w:val="006F44B6"/>
    <w:rsid w:val="00701025"/>
    <w:rsid w:val="00745CE7"/>
    <w:rsid w:val="00747148"/>
    <w:rsid w:val="0075582C"/>
    <w:rsid w:val="0076414E"/>
    <w:rsid w:val="00765286"/>
    <w:rsid w:val="007D1F82"/>
    <w:rsid w:val="007D306F"/>
    <w:rsid w:val="007D740D"/>
    <w:rsid w:val="00824A9D"/>
    <w:rsid w:val="00834316"/>
    <w:rsid w:val="00847C30"/>
    <w:rsid w:val="00864326"/>
    <w:rsid w:val="00872E2E"/>
    <w:rsid w:val="008767E1"/>
    <w:rsid w:val="008C2E15"/>
    <w:rsid w:val="008C3EB6"/>
    <w:rsid w:val="008C4212"/>
    <w:rsid w:val="008E03A2"/>
    <w:rsid w:val="009561D7"/>
    <w:rsid w:val="009B66FB"/>
    <w:rsid w:val="009E388A"/>
    <w:rsid w:val="00A046F6"/>
    <w:rsid w:val="00A10BA0"/>
    <w:rsid w:val="00A27DFE"/>
    <w:rsid w:val="00A540D4"/>
    <w:rsid w:val="00A62C49"/>
    <w:rsid w:val="00A633EC"/>
    <w:rsid w:val="00A84BFC"/>
    <w:rsid w:val="00A942E1"/>
    <w:rsid w:val="00B01197"/>
    <w:rsid w:val="00B03414"/>
    <w:rsid w:val="00B03463"/>
    <w:rsid w:val="00B17E6A"/>
    <w:rsid w:val="00B24980"/>
    <w:rsid w:val="00B41049"/>
    <w:rsid w:val="00B448B3"/>
    <w:rsid w:val="00B8123E"/>
    <w:rsid w:val="00B879EC"/>
    <w:rsid w:val="00B96EE1"/>
    <w:rsid w:val="00BA0C14"/>
    <w:rsid w:val="00BA4466"/>
    <w:rsid w:val="00BA669F"/>
    <w:rsid w:val="00BB6925"/>
    <w:rsid w:val="00BD76AA"/>
    <w:rsid w:val="00BE4457"/>
    <w:rsid w:val="00BF3685"/>
    <w:rsid w:val="00C043D5"/>
    <w:rsid w:val="00C13948"/>
    <w:rsid w:val="00C55AC7"/>
    <w:rsid w:val="00C6312B"/>
    <w:rsid w:val="00C76D61"/>
    <w:rsid w:val="00C8785B"/>
    <w:rsid w:val="00CB6BF6"/>
    <w:rsid w:val="00CD37DD"/>
    <w:rsid w:val="00CE3AC0"/>
    <w:rsid w:val="00D03804"/>
    <w:rsid w:val="00D203AC"/>
    <w:rsid w:val="00D27F4E"/>
    <w:rsid w:val="00D3450A"/>
    <w:rsid w:val="00D65E91"/>
    <w:rsid w:val="00D937BC"/>
    <w:rsid w:val="00DE1DDF"/>
    <w:rsid w:val="00DE736D"/>
    <w:rsid w:val="00E41055"/>
    <w:rsid w:val="00E46E3B"/>
    <w:rsid w:val="00EA003A"/>
    <w:rsid w:val="00EA0C85"/>
    <w:rsid w:val="00ED4258"/>
    <w:rsid w:val="00ED50C4"/>
    <w:rsid w:val="00EF1CF9"/>
    <w:rsid w:val="00EF4DB2"/>
    <w:rsid w:val="00F041B8"/>
    <w:rsid w:val="00F21132"/>
    <w:rsid w:val="00F30785"/>
    <w:rsid w:val="00F43B47"/>
    <w:rsid w:val="00F50C1F"/>
    <w:rsid w:val="00F767DB"/>
    <w:rsid w:val="00FC60AA"/>
    <w:rsid w:val="00FD4023"/>
    <w:rsid w:val="00FF0026"/>
    <w:rsid w:val="01734A71"/>
    <w:rsid w:val="018024D0"/>
    <w:rsid w:val="018C519F"/>
    <w:rsid w:val="01B14C06"/>
    <w:rsid w:val="01ED4CE4"/>
    <w:rsid w:val="021951FF"/>
    <w:rsid w:val="023E280B"/>
    <w:rsid w:val="02F761AC"/>
    <w:rsid w:val="03AC7D7B"/>
    <w:rsid w:val="044F126F"/>
    <w:rsid w:val="05A056BD"/>
    <w:rsid w:val="067E0BA1"/>
    <w:rsid w:val="06DB6379"/>
    <w:rsid w:val="075D0C9D"/>
    <w:rsid w:val="07A1616B"/>
    <w:rsid w:val="07FD0DA7"/>
    <w:rsid w:val="08403C42"/>
    <w:rsid w:val="0861065E"/>
    <w:rsid w:val="088E5CA1"/>
    <w:rsid w:val="08B42DF0"/>
    <w:rsid w:val="08F97D45"/>
    <w:rsid w:val="0A721B30"/>
    <w:rsid w:val="0A8D7872"/>
    <w:rsid w:val="0AAD6492"/>
    <w:rsid w:val="0ACA5A42"/>
    <w:rsid w:val="0B3A501C"/>
    <w:rsid w:val="0B5A402C"/>
    <w:rsid w:val="0B6131F9"/>
    <w:rsid w:val="0B8B296C"/>
    <w:rsid w:val="0CD02C83"/>
    <w:rsid w:val="0DB01DA0"/>
    <w:rsid w:val="0E737C74"/>
    <w:rsid w:val="0EB32AAA"/>
    <w:rsid w:val="0EDF2113"/>
    <w:rsid w:val="0F634E4C"/>
    <w:rsid w:val="0FBD41B5"/>
    <w:rsid w:val="0FBD50BE"/>
    <w:rsid w:val="0FCB12F0"/>
    <w:rsid w:val="109D39AA"/>
    <w:rsid w:val="10EF194E"/>
    <w:rsid w:val="11071773"/>
    <w:rsid w:val="113924AE"/>
    <w:rsid w:val="11B65235"/>
    <w:rsid w:val="12BB3C49"/>
    <w:rsid w:val="12D9737A"/>
    <w:rsid w:val="12DE5103"/>
    <w:rsid w:val="12E419A5"/>
    <w:rsid w:val="13207E3D"/>
    <w:rsid w:val="132A1D8A"/>
    <w:rsid w:val="13A42495"/>
    <w:rsid w:val="13B518E3"/>
    <w:rsid w:val="142C45C0"/>
    <w:rsid w:val="146F60C4"/>
    <w:rsid w:val="14CA0B69"/>
    <w:rsid w:val="14D93764"/>
    <w:rsid w:val="159A1190"/>
    <w:rsid w:val="15A03CEE"/>
    <w:rsid w:val="16353C00"/>
    <w:rsid w:val="169706CE"/>
    <w:rsid w:val="16AC3E43"/>
    <w:rsid w:val="16B409FB"/>
    <w:rsid w:val="16FA706B"/>
    <w:rsid w:val="172E4F11"/>
    <w:rsid w:val="17B368F0"/>
    <w:rsid w:val="180D4CD7"/>
    <w:rsid w:val="18592AB3"/>
    <w:rsid w:val="18610BD2"/>
    <w:rsid w:val="186F5CA1"/>
    <w:rsid w:val="18AD2173"/>
    <w:rsid w:val="18DD4A4D"/>
    <w:rsid w:val="191C10A7"/>
    <w:rsid w:val="195542A1"/>
    <w:rsid w:val="197C195C"/>
    <w:rsid w:val="19B65058"/>
    <w:rsid w:val="1A674BDF"/>
    <w:rsid w:val="1A7F18ED"/>
    <w:rsid w:val="1B444870"/>
    <w:rsid w:val="1B4D379A"/>
    <w:rsid w:val="1BDA123E"/>
    <w:rsid w:val="1C311C4C"/>
    <w:rsid w:val="1C937E08"/>
    <w:rsid w:val="1CA4329E"/>
    <w:rsid w:val="1CDF48C5"/>
    <w:rsid w:val="1CF94F18"/>
    <w:rsid w:val="1D05792C"/>
    <w:rsid w:val="1D686522"/>
    <w:rsid w:val="1DB6066B"/>
    <w:rsid w:val="1E8B697F"/>
    <w:rsid w:val="1ED460A1"/>
    <w:rsid w:val="1F164BA3"/>
    <w:rsid w:val="1F515063"/>
    <w:rsid w:val="1F777932"/>
    <w:rsid w:val="1F96101E"/>
    <w:rsid w:val="1FA75E83"/>
    <w:rsid w:val="1FD81ACE"/>
    <w:rsid w:val="1FF94334"/>
    <w:rsid w:val="200D0DF4"/>
    <w:rsid w:val="20502A11"/>
    <w:rsid w:val="206D3F96"/>
    <w:rsid w:val="209964A8"/>
    <w:rsid w:val="20BB43C2"/>
    <w:rsid w:val="20C20786"/>
    <w:rsid w:val="215F7D83"/>
    <w:rsid w:val="21FC6B12"/>
    <w:rsid w:val="21FF3E27"/>
    <w:rsid w:val="2246745C"/>
    <w:rsid w:val="226F0499"/>
    <w:rsid w:val="2270048D"/>
    <w:rsid w:val="22915545"/>
    <w:rsid w:val="229606CD"/>
    <w:rsid w:val="236F0808"/>
    <w:rsid w:val="237544B8"/>
    <w:rsid w:val="23BA3996"/>
    <w:rsid w:val="2426102C"/>
    <w:rsid w:val="247D4CEA"/>
    <w:rsid w:val="25354498"/>
    <w:rsid w:val="255E3420"/>
    <w:rsid w:val="25FC56AD"/>
    <w:rsid w:val="260D6D7D"/>
    <w:rsid w:val="26310EB8"/>
    <w:rsid w:val="268D5392"/>
    <w:rsid w:val="26B741BD"/>
    <w:rsid w:val="27545EB0"/>
    <w:rsid w:val="27E24956"/>
    <w:rsid w:val="27FF406E"/>
    <w:rsid w:val="28CB2D7B"/>
    <w:rsid w:val="28D63020"/>
    <w:rsid w:val="28EE2BF1"/>
    <w:rsid w:val="291369F2"/>
    <w:rsid w:val="29213283"/>
    <w:rsid w:val="299459B1"/>
    <w:rsid w:val="2A045531"/>
    <w:rsid w:val="2A25006E"/>
    <w:rsid w:val="2B166931"/>
    <w:rsid w:val="2BE47802"/>
    <w:rsid w:val="2C5801F0"/>
    <w:rsid w:val="2C7C7C88"/>
    <w:rsid w:val="2C983CF7"/>
    <w:rsid w:val="2C9933EC"/>
    <w:rsid w:val="2C9C00DD"/>
    <w:rsid w:val="2CAB6CC0"/>
    <w:rsid w:val="2CD5539D"/>
    <w:rsid w:val="2D5B6350"/>
    <w:rsid w:val="2E136AA5"/>
    <w:rsid w:val="2E897750"/>
    <w:rsid w:val="2E8C7A9A"/>
    <w:rsid w:val="2ED80E4B"/>
    <w:rsid w:val="2F523172"/>
    <w:rsid w:val="2F8910F0"/>
    <w:rsid w:val="2FDF63C1"/>
    <w:rsid w:val="301607F4"/>
    <w:rsid w:val="30182170"/>
    <w:rsid w:val="30564A47"/>
    <w:rsid w:val="30A40A24"/>
    <w:rsid w:val="30AC6B6F"/>
    <w:rsid w:val="31253596"/>
    <w:rsid w:val="31964168"/>
    <w:rsid w:val="33431BEE"/>
    <w:rsid w:val="33492214"/>
    <w:rsid w:val="33D43E48"/>
    <w:rsid w:val="33FB508D"/>
    <w:rsid w:val="341B222F"/>
    <w:rsid w:val="343B7E3B"/>
    <w:rsid w:val="344957AB"/>
    <w:rsid w:val="34AC6306"/>
    <w:rsid w:val="35310B57"/>
    <w:rsid w:val="353C5505"/>
    <w:rsid w:val="35690538"/>
    <w:rsid w:val="3570572B"/>
    <w:rsid w:val="35C47813"/>
    <w:rsid w:val="35CF47B4"/>
    <w:rsid w:val="36507572"/>
    <w:rsid w:val="36A2002D"/>
    <w:rsid w:val="36B8182C"/>
    <w:rsid w:val="38025048"/>
    <w:rsid w:val="387C71A0"/>
    <w:rsid w:val="389640D2"/>
    <w:rsid w:val="393C6ED0"/>
    <w:rsid w:val="39436BFA"/>
    <w:rsid w:val="39CA797B"/>
    <w:rsid w:val="39D37108"/>
    <w:rsid w:val="3A5D284A"/>
    <w:rsid w:val="3A843B7A"/>
    <w:rsid w:val="3AAB69D7"/>
    <w:rsid w:val="3AE167F2"/>
    <w:rsid w:val="3B584715"/>
    <w:rsid w:val="3C741ABD"/>
    <w:rsid w:val="3CDE6D7A"/>
    <w:rsid w:val="3CF47AC1"/>
    <w:rsid w:val="3D2D49CE"/>
    <w:rsid w:val="3DCE273D"/>
    <w:rsid w:val="3DD0408A"/>
    <w:rsid w:val="3DEF7181"/>
    <w:rsid w:val="3DF06A2B"/>
    <w:rsid w:val="3E071130"/>
    <w:rsid w:val="3E155F41"/>
    <w:rsid w:val="3E3E423C"/>
    <w:rsid w:val="3F00274D"/>
    <w:rsid w:val="3F8C4283"/>
    <w:rsid w:val="3FCA6B1A"/>
    <w:rsid w:val="401A4D5C"/>
    <w:rsid w:val="40305482"/>
    <w:rsid w:val="4047615A"/>
    <w:rsid w:val="411B4114"/>
    <w:rsid w:val="413243B2"/>
    <w:rsid w:val="41413DA2"/>
    <w:rsid w:val="41474664"/>
    <w:rsid w:val="416848B5"/>
    <w:rsid w:val="41873DAD"/>
    <w:rsid w:val="418E2292"/>
    <w:rsid w:val="41B230BC"/>
    <w:rsid w:val="42800DA9"/>
    <w:rsid w:val="42F25553"/>
    <w:rsid w:val="43384003"/>
    <w:rsid w:val="435F0417"/>
    <w:rsid w:val="438576C5"/>
    <w:rsid w:val="43A56E19"/>
    <w:rsid w:val="43BA383F"/>
    <w:rsid w:val="43BD4EEE"/>
    <w:rsid w:val="447407B2"/>
    <w:rsid w:val="44C50212"/>
    <w:rsid w:val="45520636"/>
    <w:rsid w:val="45867962"/>
    <w:rsid w:val="461D4C8A"/>
    <w:rsid w:val="46423DE7"/>
    <w:rsid w:val="465439DD"/>
    <w:rsid w:val="46C23027"/>
    <w:rsid w:val="46C25B2A"/>
    <w:rsid w:val="47AF4D11"/>
    <w:rsid w:val="47CA4E86"/>
    <w:rsid w:val="47E40AED"/>
    <w:rsid w:val="47FB4028"/>
    <w:rsid w:val="48487636"/>
    <w:rsid w:val="485361AD"/>
    <w:rsid w:val="49585C74"/>
    <w:rsid w:val="49C20111"/>
    <w:rsid w:val="49E35AD9"/>
    <w:rsid w:val="4B552AA6"/>
    <w:rsid w:val="4BDE7186"/>
    <w:rsid w:val="4BF33D84"/>
    <w:rsid w:val="4C343941"/>
    <w:rsid w:val="4C3A6B73"/>
    <w:rsid w:val="4C554D79"/>
    <w:rsid w:val="4D1C4610"/>
    <w:rsid w:val="4D265A75"/>
    <w:rsid w:val="4D351122"/>
    <w:rsid w:val="4D3D4B44"/>
    <w:rsid w:val="4D7810E7"/>
    <w:rsid w:val="4D8A1CBD"/>
    <w:rsid w:val="4DC20621"/>
    <w:rsid w:val="4DD92AE7"/>
    <w:rsid w:val="4E4653AE"/>
    <w:rsid w:val="4E9D1BAF"/>
    <w:rsid w:val="4EF9697E"/>
    <w:rsid w:val="4F3F392C"/>
    <w:rsid w:val="4F4D2326"/>
    <w:rsid w:val="4FB8202C"/>
    <w:rsid w:val="4FFA419A"/>
    <w:rsid w:val="504115EB"/>
    <w:rsid w:val="50615016"/>
    <w:rsid w:val="5080141E"/>
    <w:rsid w:val="511709ED"/>
    <w:rsid w:val="512E144B"/>
    <w:rsid w:val="522512B4"/>
    <w:rsid w:val="52764D46"/>
    <w:rsid w:val="527C20EC"/>
    <w:rsid w:val="52E44E9C"/>
    <w:rsid w:val="52FB22F1"/>
    <w:rsid w:val="534722A1"/>
    <w:rsid w:val="53900FC0"/>
    <w:rsid w:val="53E067D5"/>
    <w:rsid w:val="53E2021C"/>
    <w:rsid w:val="54037F53"/>
    <w:rsid w:val="540463E4"/>
    <w:rsid w:val="542E5D06"/>
    <w:rsid w:val="549E36A6"/>
    <w:rsid w:val="54A64913"/>
    <w:rsid w:val="54BB0714"/>
    <w:rsid w:val="554E24D3"/>
    <w:rsid w:val="556A671B"/>
    <w:rsid w:val="557B5277"/>
    <w:rsid w:val="573568B4"/>
    <w:rsid w:val="573667BD"/>
    <w:rsid w:val="577B1697"/>
    <w:rsid w:val="57DB4228"/>
    <w:rsid w:val="57E663AB"/>
    <w:rsid w:val="580111F9"/>
    <w:rsid w:val="5827182C"/>
    <w:rsid w:val="588A09D2"/>
    <w:rsid w:val="58C44394"/>
    <w:rsid w:val="597162CA"/>
    <w:rsid w:val="59C86985"/>
    <w:rsid w:val="59E26EB9"/>
    <w:rsid w:val="59E75055"/>
    <w:rsid w:val="5A504131"/>
    <w:rsid w:val="5ADC2927"/>
    <w:rsid w:val="5ADE0A23"/>
    <w:rsid w:val="5AF70A51"/>
    <w:rsid w:val="5B4608D0"/>
    <w:rsid w:val="5C0F177E"/>
    <w:rsid w:val="5CDC2A68"/>
    <w:rsid w:val="5D116DDB"/>
    <w:rsid w:val="5DF32230"/>
    <w:rsid w:val="5EFC6636"/>
    <w:rsid w:val="5F0279C4"/>
    <w:rsid w:val="5FC353A5"/>
    <w:rsid w:val="5FF42C7A"/>
    <w:rsid w:val="60520CBE"/>
    <w:rsid w:val="60794B7C"/>
    <w:rsid w:val="60C06707"/>
    <w:rsid w:val="61784502"/>
    <w:rsid w:val="620F4796"/>
    <w:rsid w:val="6220289B"/>
    <w:rsid w:val="629A371D"/>
    <w:rsid w:val="62A36F0C"/>
    <w:rsid w:val="62CD0E3F"/>
    <w:rsid w:val="63384D36"/>
    <w:rsid w:val="641036C5"/>
    <w:rsid w:val="64355B13"/>
    <w:rsid w:val="65664885"/>
    <w:rsid w:val="658717A8"/>
    <w:rsid w:val="65B03CD6"/>
    <w:rsid w:val="65DD5D50"/>
    <w:rsid w:val="65F242EE"/>
    <w:rsid w:val="67891F14"/>
    <w:rsid w:val="67B41E08"/>
    <w:rsid w:val="67E265E5"/>
    <w:rsid w:val="684115A9"/>
    <w:rsid w:val="68F0088D"/>
    <w:rsid w:val="692E36BD"/>
    <w:rsid w:val="69803A10"/>
    <w:rsid w:val="69C02956"/>
    <w:rsid w:val="69E40947"/>
    <w:rsid w:val="6A606214"/>
    <w:rsid w:val="6AB77562"/>
    <w:rsid w:val="6AE76858"/>
    <w:rsid w:val="6B1D1E82"/>
    <w:rsid w:val="6B481BA2"/>
    <w:rsid w:val="6B89686E"/>
    <w:rsid w:val="6B9F17B3"/>
    <w:rsid w:val="6BFD50C1"/>
    <w:rsid w:val="6C531237"/>
    <w:rsid w:val="6C8934D3"/>
    <w:rsid w:val="6CDF4E60"/>
    <w:rsid w:val="6CE623A1"/>
    <w:rsid w:val="6CE62A80"/>
    <w:rsid w:val="6D01750D"/>
    <w:rsid w:val="6D050DAB"/>
    <w:rsid w:val="6D493AD6"/>
    <w:rsid w:val="6D632B13"/>
    <w:rsid w:val="6D822835"/>
    <w:rsid w:val="6DDE27D0"/>
    <w:rsid w:val="6E16292A"/>
    <w:rsid w:val="6E805B45"/>
    <w:rsid w:val="6F146FCA"/>
    <w:rsid w:val="704626EF"/>
    <w:rsid w:val="70BE4E07"/>
    <w:rsid w:val="71095170"/>
    <w:rsid w:val="710E2608"/>
    <w:rsid w:val="71C34D91"/>
    <w:rsid w:val="72B53BCB"/>
    <w:rsid w:val="73000839"/>
    <w:rsid w:val="73045661"/>
    <w:rsid w:val="735F4F8D"/>
    <w:rsid w:val="73BE043F"/>
    <w:rsid w:val="74036642"/>
    <w:rsid w:val="740604B8"/>
    <w:rsid w:val="741E1834"/>
    <w:rsid w:val="74404BA7"/>
    <w:rsid w:val="74753C1E"/>
    <w:rsid w:val="74E56535"/>
    <w:rsid w:val="753150FB"/>
    <w:rsid w:val="7576441D"/>
    <w:rsid w:val="759B3A01"/>
    <w:rsid w:val="759E444B"/>
    <w:rsid w:val="75DD2802"/>
    <w:rsid w:val="766D599B"/>
    <w:rsid w:val="76BC122C"/>
    <w:rsid w:val="771A7938"/>
    <w:rsid w:val="776E6A77"/>
    <w:rsid w:val="780A4A7F"/>
    <w:rsid w:val="784976AB"/>
    <w:rsid w:val="787021F2"/>
    <w:rsid w:val="788C54D3"/>
    <w:rsid w:val="78AD4288"/>
    <w:rsid w:val="78C665B9"/>
    <w:rsid w:val="78E45036"/>
    <w:rsid w:val="79055BA7"/>
    <w:rsid w:val="79A76BC9"/>
    <w:rsid w:val="79B8113E"/>
    <w:rsid w:val="79C51C90"/>
    <w:rsid w:val="79DD2C1A"/>
    <w:rsid w:val="79F04B91"/>
    <w:rsid w:val="7A03263B"/>
    <w:rsid w:val="7A140F71"/>
    <w:rsid w:val="7A53534B"/>
    <w:rsid w:val="7B193C74"/>
    <w:rsid w:val="7BBE6ADF"/>
    <w:rsid w:val="7BE527D1"/>
    <w:rsid w:val="7C1A31D7"/>
    <w:rsid w:val="7C6678A7"/>
    <w:rsid w:val="7D2A07E5"/>
    <w:rsid w:val="7D374A73"/>
    <w:rsid w:val="7E6E715B"/>
    <w:rsid w:val="7F2A03AF"/>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b/>
      <w:kern w:val="44"/>
      <w:sz w:val="36"/>
    </w:rPr>
  </w:style>
  <w:style w:type="paragraph" w:styleId="5">
    <w:name w:val="heading 2"/>
    <w:basedOn w:val="1"/>
    <w:next w:val="1"/>
    <w:unhideWhenUsed/>
    <w:qFormat/>
    <w:uiPriority w:val="0"/>
    <w:pPr>
      <w:keepNext/>
      <w:keepLines/>
      <w:spacing w:beforeLines="0" w:beforeAutospacing="0" w:afterLines="0" w:afterAutospacing="0" w:line="240" w:lineRule="auto"/>
      <w:outlineLvl w:val="1"/>
    </w:pPr>
    <w:rPr>
      <w:rFonts w:ascii="Arial" w:hAnsi="Arial" w:eastAsia="黑体"/>
      <w:b/>
      <w:sz w:val="30"/>
    </w:rPr>
  </w:style>
  <w:style w:type="paragraph" w:styleId="6">
    <w:name w:val="heading 3"/>
    <w:basedOn w:val="1"/>
    <w:next w:val="1"/>
    <w:qFormat/>
    <w:uiPriority w:val="99"/>
    <w:pPr>
      <w:keepNext/>
      <w:keepLines/>
      <w:spacing w:before="260" w:after="260" w:line="416" w:lineRule="auto"/>
      <w:outlineLvl w:val="2"/>
    </w:pPr>
    <w:rPr>
      <w:b/>
      <w:bCs/>
      <w:kern w:val="0"/>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99"/>
    <w:pPr>
      <w:spacing w:after="120"/>
    </w:pPr>
    <w:rPr>
      <w:kern w:val="0"/>
    </w:rPr>
  </w:style>
  <w:style w:type="paragraph" w:customStyle="1" w:styleId="3">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7">
    <w:name w:val="Normal Indent"/>
    <w:basedOn w:val="1"/>
    <w:next w:val="1"/>
    <w:qFormat/>
    <w:uiPriority w:val="99"/>
    <w:pPr>
      <w:ind w:firstLine="420" w:firstLineChars="200"/>
    </w:pPr>
    <w:rPr>
      <w:kern w:val="0"/>
    </w:rPr>
  </w:style>
  <w:style w:type="paragraph" w:styleId="8">
    <w:name w:val="annotation text"/>
    <w:basedOn w:val="1"/>
    <w:qFormat/>
    <w:uiPriority w:val="99"/>
    <w:pPr>
      <w:spacing w:after="200" w:line="276" w:lineRule="auto"/>
      <w:jc w:val="left"/>
    </w:pPr>
    <w:rPr>
      <w:kern w:val="0"/>
    </w:rPr>
  </w:style>
  <w:style w:type="paragraph" w:styleId="9">
    <w:name w:val="Body Text Indent"/>
    <w:basedOn w:val="1"/>
    <w:qFormat/>
    <w:uiPriority w:val="0"/>
    <w:pPr>
      <w:spacing w:after="120"/>
      <w:ind w:left="420"/>
    </w:pPr>
  </w:style>
  <w:style w:type="paragraph" w:styleId="10">
    <w:name w:val="toc 3"/>
    <w:basedOn w:val="1"/>
    <w:next w:val="1"/>
    <w:qFormat/>
    <w:uiPriority w:val="0"/>
    <w:pPr>
      <w:ind w:left="840" w:leftChars="400"/>
    </w:pPr>
  </w:style>
  <w:style w:type="paragraph" w:styleId="11">
    <w:name w:val="Plain Text"/>
    <w:basedOn w:val="1"/>
    <w:qFormat/>
    <w:uiPriority w:val="0"/>
    <w:rPr>
      <w:rFonts w:ascii="宋体" w:hAnsi="Courier New"/>
      <w:sz w:val="24"/>
    </w:rPr>
  </w:style>
  <w:style w:type="paragraph" w:styleId="12">
    <w:name w:val="Date"/>
    <w:basedOn w:val="1"/>
    <w:next w:val="1"/>
    <w:qFormat/>
    <w:uiPriority w:val="0"/>
    <w:pPr>
      <w:ind w:left="100" w:leftChars="2500"/>
    </w:pPr>
    <w:rPr>
      <w:kern w:val="0"/>
    </w:rPr>
  </w:style>
  <w:style w:type="paragraph" w:styleId="13">
    <w:name w:val="Body Text Indent 2"/>
    <w:basedOn w:val="1"/>
    <w:qFormat/>
    <w:uiPriority w:val="0"/>
    <w:pPr>
      <w:spacing w:line="560" w:lineRule="exact"/>
      <w:ind w:firstLine="540"/>
    </w:pPr>
    <w:rPr>
      <w:rFonts w:eastAsia="楷体_GB2312"/>
      <w:bCs/>
      <w:color w:val="0000FF"/>
      <w:sz w:val="28"/>
    </w:rPr>
  </w:style>
  <w:style w:type="paragraph" w:styleId="14">
    <w:name w:val="footer"/>
    <w:basedOn w:val="1"/>
    <w:qFormat/>
    <w:uiPriority w:val="0"/>
    <w:pPr>
      <w:tabs>
        <w:tab w:val="center" w:pos="4153"/>
        <w:tab w:val="right" w:pos="8306"/>
      </w:tabs>
      <w:snapToGrid w:val="0"/>
      <w:jc w:val="left"/>
    </w:pPr>
    <w:rPr>
      <w:sz w:val="18"/>
      <w:szCs w:val="18"/>
    </w:rPr>
  </w:style>
  <w:style w:type="paragraph" w:styleId="1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39"/>
  </w:style>
  <w:style w:type="paragraph" w:styleId="1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Hyperlink"/>
    <w:qFormat/>
    <w:uiPriority w:val="0"/>
    <w:rPr>
      <w:color w:val="0000FF"/>
      <w:u w:val="single"/>
    </w:rPr>
  </w:style>
  <w:style w:type="paragraph" w:customStyle="1" w:styleId="22">
    <w:name w:val="_Style 2"/>
    <w:basedOn w:val="4"/>
    <w:next w:val="1"/>
    <w:qFormat/>
    <w:uiPriority w:val="39"/>
    <w:pPr>
      <w:widowControl/>
      <w:spacing w:before="240" w:line="259" w:lineRule="auto"/>
      <w:jc w:val="left"/>
      <w:outlineLvl w:val="9"/>
    </w:pPr>
    <w:rPr>
      <w:rFonts w:ascii="等线 Light" w:hAnsi="等线 Light" w:eastAsia="等线 Light"/>
      <w:b w:val="0"/>
      <w:color w:val="2F5496"/>
      <w:kern w:val="0"/>
      <w:sz w:val="32"/>
      <w:szCs w:val="32"/>
    </w:rPr>
  </w:style>
  <w:style w:type="character" w:customStyle="1" w:styleId="23">
    <w:name w:val="font11"/>
    <w:basedOn w:val="20"/>
    <w:qFormat/>
    <w:uiPriority w:val="0"/>
    <w:rPr>
      <w:rFonts w:hint="eastAsia" w:ascii="宋体" w:hAnsi="宋体" w:eastAsia="宋体" w:cs="宋体"/>
      <w:color w:val="000000"/>
      <w:sz w:val="20"/>
      <w:szCs w:val="20"/>
      <w:u w:val="none"/>
    </w:rPr>
  </w:style>
  <w:style w:type="character" w:customStyle="1" w:styleId="24">
    <w:name w:val="font21"/>
    <w:basedOn w:val="20"/>
    <w:qFormat/>
    <w:uiPriority w:val="0"/>
    <w:rPr>
      <w:rFonts w:hint="eastAsia" w:ascii="宋体" w:hAnsi="宋体" w:eastAsia="宋体" w:cs="宋体"/>
      <w:color w:val="000000"/>
      <w:sz w:val="20"/>
      <w:szCs w:val="20"/>
      <w:u w:val="none"/>
    </w:rPr>
  </w:style>
  <w:style w:type="character" w:customStyle="1" w:styleId="25">
    <w:name w:val="font61"/>
    <w:basedOn w:val="20"/>
    <w:qFormat/>
    <w:uiPriority w:val="0"/>
    <w:rPr>
      <w:rFonts w:hint="eastAsia" w:ascii="宋体" w:hAnsi="宋体" w:eastAsia="宋体" w:cs="宋体"/>
      <w:color w:val="000000"/>
      <w:sz w:val="20"/>
      <w:szCs w:val="20"/>
      <w:u w:val="none"/>
    </w:rPr>
  </w:style>
  <w:style w:type="character" w:customStyle="1" w:styleId="26">
    <w:name w:val="font41"/>
    <w:basedOn w:val="20"/>
    <w:qFormat/>
    <w:uiPriority w:val="0"/>
    <w:rPr>
      <w:rFonts w:hint="default" w:ascii="Times New Roman" w:hAnsi="Times New Roman" w:cs="Times New Roman"/>
      <w:color w:val="000000"/>
      <w:sz w:val="20"/>
      <w:szCs w:val="20"/>
      <w:u w:val="none"/>
    </w:rPr>
  </w:style>
  <w:style w:type="character" w:customStyle="1" w:styleId="27">
    <w:name w:val="font31"/>
    <w:basedOn w:val="20"/>
    <w:qFormat/>
    <w:uiPriority w:val="0"/>
    <w:rPr>
      <w:rFonts w:hint="default" w:ascii="Times New Roman" w:hAnsi="Times New Roman" w:cs="Times New Roman"/>
      <w:color w:val="000000"/>
      <w:sz w:val="20"/>
      <w:szCs w:val="20"/>
      <w:u w:val="none"/>
    </w:rPr>
  </w:style>
  <w:style w:type="character" w:customStyle="1" w:styleId="28">
    <w:name w:val="font51"/>
    <w:basedOn w:val="20"/>
    <w:qFormat/>
    <w:uiPriority w:val="0"/>
    <w:rPr>
      <w:rFonts w:hint="default" w:ascii="Times New Roman" w:hAnsi="Times New Roman" w:cs="Times New Roman"/>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22</Pages>
  <Words>8099</Words>
  <Characters>8942</Characters>
  <Lines>93</Lines>
  <Paragraphs>26</Paragraphs>
  <TotalTime>880</TotalTime>
  <ScaleCrop>false</ScaleCrop>
  <LinksUpToDate>false</LinksUpToDate>
  <CharactersWithSpaces>9667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2020-12-14T04:00:00Z</dcterms:created>
  <dc:creator>123</dc:creator>
  <cp:lastModifiedBy>d</cp:lastModifiedBy>
  <cp:lastPrinted>2023-09-13T06:36:00Z</cp:lastPrinted>
  <dcterms:modified xsi:type="dcterms:W3CDTF">2025-12-29T06:47:19Z</dcterms:modified>
  <dc:title>中国重汽集团泰安五岳专用汽车有限公司</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_DocHome">
    <vt:i4>1616010081</vt:i4>
  </property>
  <property fmtid="{D5CDD505-2E9C-101B-9397-08002B2CF9AE}" pid="4" name="ICV">
    <vt:lpwstr>41B34752491247079747704DA4745B1C</vt:lpwstr>
  </property>
</Properties>
</file>