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outlineLvl w:val="9"/>
        <w:rPr>
          <w:rFonts w:hint="default" w:ascii="宋体" w:hAnsi="宋体" w:eastAsia="宋体" w:cs="Times New Roman"/>
          <w:b/>
          <w:bCs/>
          <w:color w:val="000000" w:themeColor="text1"/>
          <w:spacing w:val="-8"/>
          <w:sz w:val="48"/>
          <w:szCs w:val="44"/>
          <w:lang w:val="en-US" w:eastAsia="zh-CN"/>
          <w14:textFill>
            <w14:solidFill>
              <w14:schemeClr w14:val="tx1"/>
            </w14:solidFill>
          </w14:textFill>
        </w:rPr>
      </w:pPr>
      <w:bookmarkStart w:id="0" w:name="OLE_LINK10"/>
      <w:bookmarkStart w:id="1" w:name="OLE_LINK31"/>
      <w:bookmarkStart w:id="2" w:name="OLE_LINK30"/>
      <w:r>
        <w:rPr>
          <w:rFonts w:hint="eastAsia" w:ascii="宋体" w:hAnsi="宋体" w:eastAsia="宋体" w:cs="Times New Roman"/>
          <w:b/>
          <w:bCs/>
          <w:spacing w:val="-8"/>
          <w:sz w:val="48"/>
          <w:szCs w:val="44"/>
        </w:rPr>
        <w:t>2026年涂装专业保洁</w:t>
      </w:r>
      <w:r>
        <w:rPr>
          <w:rFonts w:hint="eastAsia" w:ascii="宋体" w:hAnsi="宋体" w:eastAsia="宋体" w:cs="Times New Roman"/>
          <w:b/>
          <w:bCs/>
          <w:color w:val="000000" w:themeColor="text1"/>
          <w:spacing w:val="-8"/>
          <w:sz w:val="48"/>
          <w:szCs w:val="44"/>
          <w14:textFill>
            <w14:solidFill>
              <w14:schemeClr w14:val="tx1"/>
            </w14:solidFill>
          </w14:textFill>
        </w:rPr>
        <w:t>项目</w:t>
      </w:r>
      <w:r>
        <w:rPr>
          <w:rFonts w:hint="eastAsia" w:ascii="宋体" w:hAnsi="宋体" w:eastAsia="宋体" w:cs="Times New Roman"/>
          <w:b/>
          <w:bCs/>
          <w:color w:val="000000" w:themeColor="text1"/>
          <w:spacing w:val="-8"/>
          <w:sz w:val="48"/>
          <w:szCs w:val="44"/>
          <w:lang w:val="en-US" w:eastAsia="zh-CN"/>
          <w14:textFill>
            <w14:solidFill>
              <w14:schemeClr w14:val="tx1"/>
            </w14:solidFill>
          </w14:textFill>
        </w:rPr>
        <w:t>公开招标公告</w:t>
      </w:r>
    </w:p>
    <w:p>
      <w:pPr>
        <w:keepNext/>
        <w:keepLines/>
        <w:jc w:val="center"/>
        <w:rPr>
          <w:rFonts w:hint="eastAsia" w:ascii="宋体" w:hAnsi="宋体" w:eastAsia="宋体" w:cs="宋体"/>
          <w:sz w:val="20"/>
        </w:rPr>
      </w:pPr>
    </w:p>
    <w:p>
      <w:pPr>
        <w:pStyle w:val="17"/>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ind w:left="525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人：重汽（重庆）轻型汽车有限公司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bookmarkEnd w:id="0"/>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4"/>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4"/>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4"/>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4"/>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4"/>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pStyle w:val="17"/>
            <w:spacing w:line="480" w:lineRule="auto"/>
            <w:ind w:left="5250"/>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jc w:val="center"/>
        <w:outlineLvl w:val="0"/>
        <w:rPr>
          <w:rFonts w:ascii="Calibri" w:hAnsi="Calibri" w:eastAsia="宋体" w:cs="Times New Roman"/>
          <w:b/>
          <w:bCs/>
          <w:kern w:val="44"/>
          <w:sz w:val="36"/>
          <w:szCs w:val="44"/>
        </w:rPr>
      </w:pPr>
      <w:bookmarkStart w:id="3" w:name="_Toc25915"/>
      <w:r>
        <w:rPr>
          <w:rFonts w:hint="eastAsia" w:ascii="Calibri" w:hAnsi="Calibri" w:eastAsia="宋体" w:cs="Times New Roman"/>
          <w:b/>
          <w:bCs/>
          <w:kern w:val="44"/>
          <w:sz w:val="36"/>
          <w:szCs w:val="44"/>
        </w:rPr>
        <w:t>第一部分投标须知前附表</w:t>
      </w:r>
      <w:bookmarkEnd w:id="3"/>
    </w:p>
    <w:p>
      <w:pPr>
        <w:pStyle w:val="17"/>
        <w:ind w:left="525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hint="eastAsia" w:ascii="宋体" w:hAnsi="宋体" w:eastAsia="宋体" w:cs="宋体"/>
                <w:b/>
                <w:sz w:val="28"/>
                <w:szCs w:val="28"/>
              </w:rPr>
            </w:pPr>
            <w:bookmarkStart w:id="4"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76" w:lineRule="auto"/>
              <w:ind w:firstLine="482" w:firstLineChars="200"/>
              <w:jc w:val="both"/>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yellow"/>
                <w:u w:val="single"/>
              </w:rPr>
              <w:t>2026年涂装专业保洁项目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u w:val="single"/>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FSCZB2025100220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6"/>
              <w:numPr>
                <w:ilvl w:val="0"/>
                <w:numId w:val="2"/>
              </w:numPr>
              <w:adjustRightInd w:val="0"/>
              <w:snapToGrid w:val="0"/>
              <w:spacing w:line="360" w:lineRule="auto"/>
              <w:ind w:firstLineChars="0"/>
              <w:jc w:val="left"/>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仿宋" w:hAnsi="仿宋" w:eastAsia="仿宋" w:cs="仿宋_GB2312"/>
                <w:bCs/>
                <w:color w:val="000000" w:themeColor="text1"/>
                <w:sz w:val="24"/>
                <w:szCs w:val="24"/>
                <w14:textFill>
                  <w14:solidFill>
                    <w14:schemeClr w14:val="tx1"/>
                  </w14:solidFill>
                </w14:textFill>
              </w:rPr>
              <w:t>涂装专业保洁涉及厂房主体建筑及公用设施、烘房系统、喷漆室系统、空调机组、排风道、风机房、废弃物的清理转运、一般场所清洁、生产情况下每日提供PDAP分析以及颗粒分析报告、改造、扩建生产线的施工废物和施工生产的污染物清理等多领域清洁维护作业，需专业保洁人员操作。委外可借助第三方服务商的成熟经验和技术资源，进行涂装车间专业保洁作业。</w:t>
            </w:r>
            <w:r>
              <w:rPr>
                <w:rFonts w:hint="eastAsia" w:ascii="仿宋" w:hAnsi="仿宋" w:eastAsia="仿宋" w:cs="仿宋_GB2312"/>
                <w:b/>
                <w:bCs/>
                <w:color w:val="000000" w:themeColor="text1"/>
                <w:sz w:val="24"/>
                <w:szCs w:val="24"/>
                <w14:textFill>
                  <w14:solidFill>
                    <w14:schemeClr w14:val="tx1"/>
                  </w14:solidFill>
                </w14:textFill>
              </w:rPr>
              <w:t>合同有效期</w:t>
            </w:r>
            <w:r>
              <w:rPr>
                <w:rFonts w:ascii="仿宋" w:hAnsi="仿宋" w:eastAsia="仿宋" w:cs="仿宋_GB2312"/>
                <w:b/>
                <w:bCs/>
                <w:color w:val="000000" w:themeColor="text1"/>
                <w:sz w:val="24"/>
                <w:szCs w:val="24"/>
                <w14:textFill>
                  <w14:solidFill>
                    <w14:schemeClr w14:val="tx1"/>
                  </w14:solidFill>
                </w14:textFill>
              </w:rPr>
              <w:t>1</w:t>
            </w:r>
            <w:r>
              <w:rPr>
                <w:rFonts w:hint="eastAsia" w:ascii="仿宋" w:hAnsi="仿宋" w:eastAsia="仿宋" w:cs="仿宋_GB2312"/>
                <w:b/>
                <w:bCs/>
                <w:color w:val="000000" w:themeColor="text1"/>
                <w:sz w:val="24"/>
                <w:szCs w:val="24"/>
                <w14:textFill>
                  <w14:solidFill>
                    <w14:schemeClr w14:val="tx1"/>
                  </w14:solidFill>
                </w14:textFill>
              </w:rPr>
              <w:t>年，合同有效期内，中标人按为《附件-技术要求》所述，为招标人提供相应服务。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color w:val="FF0000"/>
                <w:sz w:val="24"/>
                <w:szCs w:val="24"/>
                <w:highlight w:val="yellow"/>
                <w:u w:val="single"/>
              </w:rPr>
              <w:t>重汽（重庆）轻型汽车有限公司</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技术</w:t>
            </w:r>
            <w:r>
              <w:rPr>
                <w:rFonts w:hint="eastAsia" w:ascii="宋体" w:hAnsi="宋体" w:eastAsia="宋体" w:cs="宋体"/>
                <w:b/>
                <w:snapToGrid w:val="0"/>
                <w:kern w:val="0"/>
                <w:sz w:val="24"/>
                <w:szCs w:val="24"/>
              </w:rPr>
              <w:t>联系人：</w:t>
            </w:r>
            <w:r>
              <w:rPr>
                <w:rFonts w:hint="eastAsia" w:ascii="仿宋" w:hAnsi="仿宋" w:eastAsia="仿宋"/>
                <w:b/>
                <w:sz w:val="24"/>
                <w:szCs w:val="24"/>
              </w:rPr>
              <w:t>孙许明</w:t>
            </w:r>
          </w:p>
          <w:p>
            <w:pPr>
              <w:pStyle w:val="17"/>
              <w:ind w:firstLine="482" w:firstLineChars="200"/>
              <w:rPr>
                <w:rFonts w:eastAsia="宋体"/>
              </w:rPr>
            </w:pPr>
            <w:r>
              <w:rPr>
                <w:rFonts w:hint="eastAsia" w:hAnsi="宋体" w:eastAsia="宋体" w:cs="宋体"/>
                <w:b/>
                <w:snapToGrid w:val="0"/>
                <w:kern w:val="0"/>
                <w:sz w:val="24"/>
                <w:szCs w:val="24"/>
              </w:rPr>
              <w:t>电话：</w:t>
            </w:r>
            <w:r>
              <w:rPr>
                <w:rFonts w:ascii="仿宋" w:hAnsi="仿宋" w:eastAsia="仿宋"/>
                <w:b/>
                <w:sz w:val="24"/>
                <w:szCs w:val="24"/>
              </w:rPr>
              <w:t>13629784301</w:t>
            </w:r>
          </w:p>
          <w:p>
            <w:pPr>
              <w:adjustRightInd w:val="0"/>
              <w:snapToGrid w:val="0"/>
              <w:spacing w:line="360" w:lineRule="auto"/>
              <w:ind w:left="481" w:leftChars="229" w:firstLine="0" w:firstLineChars="0"/>
              <w:jc w:val="left"/>
              <w:rPr>
                <w:rFonts w:ascii="仿宋" w:hAnsi="仿宋" w:eastAsia="仿宋" w:cs="仿宋_GB2312"/>
                <w:b/>
                <w:bCs/>
                <w:sz w:val="24"/>
                <w:szCs w:val="24"/>
              </w:rPr>
            </w:pPr>
            <w:r>
              <w:rPr>
                <w:rFonts w:hint="eastAsia" w:ascii="宋体" w:hAnsi="宋体" w:eastAsia="宋体" w:cs="宋体"/>
                <w:b/>
                <w:snapToGrid w:val="0"/>
                <w:kern w:val="0"/>
                <w:sz w:val="24"/>
                <w:szCs w:val="24"/>
              </w:rPr>
              <w:t>邮箱：</w:t>
            </w:r>
            <w:r>
              <w:rPr>
                <w:rFonts w:ascii="仿宋" w:hAnsi="仿宋" w:eastAsia="仿宋"/>
                <w:b/>
                <w:sz w:val="24"/>
                <w:szCs w:val="24"/>
              </w:rPr>
              <w:t>sunxuming@sinotruk.com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lang w:val="en-US" w:eastAsia="zh-CN"/>
              </w:rPr>
              <w:t>商务</w:t>
            </w:r>
            <w:r>
              <w:rPr>
                <w:rFonts w:hint="eastAsia" w:ascii="宋体" w:hAnsi="宋体" w:eastAsia="宋体" w:cs="宋体"/>
                <w:b/>
                <w:snapToGrid w:val="0"/>
                <w:kern w:val="0"/>
                <w:sz w:val="24"/>
                <w:szCs w:val="24"/>
              </w:rPr>
              <w:t>联系人：</w:t>
            </w:r>
            <w:r>
              <w:rPr>
                <w:rFonts w:hint="eastAsia" w:ascii="宋体" w:hAnsi="宋体" w:eastAsia="宋体" w:cs="宋体"/>
                <w:b w:val="0"/>
                <w:bCs/>
                <w:snapToGrid w:val="0"/>
                <w:kern w:val="0"/>
                <w:sz w:val="24"/>
                <w:szCs w:val="24"/>
                <w:lang w:val="en-US" w:eastAsia="zh-CN"/>
              </w:rPr>
              <w:t>赵力</w:t>
            </w:r>
          </w:p>
          <w:p>
            <w:pPr>
              <w:pStyle w:val="17"/>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17860606595</w:t>
            </w:r>
          </w:p>
          <w:p>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zhaoli@sinotruk.com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Times New Roman"/>
                <w:color w:val="000000"/>
                <w:sz w:val="24"/>
                <w:szCs w:val="24"/>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lang w:val="en-US" w:eastAsia="zh-CN"/>
              </w:rPr>
              <w:t>67.7976</w:t>
            </w:r>
            <w:r>
              <w:rPr>
                <w:rFonts w:hint="eastAsia" w:hAnsi="宋体" w:eastAsia="宋体" w:cs="Times New Roman"/>
                <w:color w:val="000000"/>
                <w:sz w:val="24"/>
                <w:szCs w:val="24"/>
              </w:rPr>
              <w:t>万元（含税，税率</w:t>
            </w:r>
            <w:r>
              <w:rPr>
                <w:rFonts w:hint="eastAsia" w:hAnsi="宋体" w:eastAsia="宋体" w:cs="Times New Roman"/>
                <w:color w:val="000000"/>
                <w:sz w:val="24"/>
                <w:szCs w:val="24"/>
                <w:lang w:val="en-US" w:eastAsia="zh-CN"/>
              </w:rPr>
              <w:t>6</w:t>
            </w:r>
            <w:r>
              <w:rPr>
                <w:rFonts w:hint="eastAsia" w:hAnsi="宋体" w:eastAsia="宋体" w:cs="Times New Roman"/>
                <w:color w:val="000000"/>
                <w:sz w:val="24"/>
                <w:szCs w:val="24"/>
              </w:rPr>
              <w:t>%），超过投标限价无法投标。</w:t>
            </w:r>
            <w:bookmarkStart w:id="30" w:name="_GoBack"/>
            <w:bookmarkEnd w:id="30"/>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投标方注册资本不少于</w:t>
            </w:r>
            <w:r>
              <w:rPr>
                <w:rFonts w:ascii="宋体" w:hAnsi="宋体" w:eastAsia="宋体" w:cs="宋体"/>
                <w:kern w:val="2"/>
                <w:sz w:val="24"/>
                <w:szCs w:val="24"/>
                <w:lang w:val="en-US" w:eastAsia="zh-CN" w:bidi="ar-SA"/>
              </w:rPr>
              <w:t>300</w:t>
            </w:r>
            <w:r>
              <w:rPr>
                <w:rFonts w:hint="eastAsia" w:ascii="宋体" w:hAnsi="宋体" w:eastAsia="宋体" w:cs="宋体"/>
                <w:kern w:val="2"/>
                <w:sz w:val="24"/>
                <w:szCs w:val="24"/>
                <w:lang w:val="en-US" w:eastAsia="zh-CN" w:bidi="ar-SA"/>
              </w:rPr>
              <w:t>万元人民币（或等值其他货币）。</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具有整车制造行业相关专业保洁服务经验。</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体系认证</w:t>
            </w:r>
            <w:r>
              <w:rPr>
                <w:rFonts w:hint="eastAsia" w:ascii="宋体" w:hAnsi="宋体" w:eastAsia="宋体" w:cs="宋体"/>
                <w:kern w:val="2"/>
                <w:sz w:val="24"/>
                <w:szCs w:val="24"/>
                <w:lang w:val="en-US" w:eastAsia="zh-CN" w:bidi="ar-SA"/>
              </w:rPr>
              <w:t>：具有ISO质量认证、职业健康认证。</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主要设备</w:t>
            </w:r>
            <w:r>
              <w:rPr>
                <w:rFonts w:hint="eastAsia" w:ascii="宋体" w:hAnsi="宋体" w:eastAsia="宋体" w:cs="宋体"/>
                <w:kern w:val="2"/>
                <w:sz w:val="24"/>
                <w:szCs w:val="24"/>
                <w:lang w:val="en-US" w:eastAsia="zh-CN" w:bidi="ar-SA"/>
              </w:rPr>
              <w:t>：能提供大型洗衣机、烘干机、高压水枪、显微镜等相关保洁设备设施。</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投标方满足技术、质量、资金等要求，财务状况良好、经营稳定，具有全面履约的能力。</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投标方有专业服务团队。</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投标方信誉良好，无违法违规等不良行为，近三年内在经营活动中无与本项目有关的违法及重大违规情况。</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无招标违规、谎报年度报告信息、提供虚假资质资料等行为。</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投标方的直接或间接股东、法定代表人、董事、监事、高管非重汽员工及其亲属。</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没有被中国重汽集团列入黑名单。</w:t>
            </w:r>
          </w:p>
          <w:p>
            <w:pPr>
              <w:pStyle w:val="126"/>
              <w:numPr>
                <w:ilvl w:val="0"/>
                <w:numId w:val="3"/>
              </w:numPr>
              <w:adjustRightInd w:val="0"/>
              <w:snapToGrid w:val="0"/>
              <w:spacing w:line="360" w:lineRule="auto"/>
              <w:ind w:left="480" w:hanging="480" w:hangingChars="200"/>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法律法规对合格投标方的其他要求、规定。</w:t>
            </w:r>
          </w:p>
          <w:p>
            <w:pPr>
              <w:pStyle w:val="126"/>
              <w:numPr>
                <w:ilvl w:val="0"/>
                <w:numId w:val="3"/>
              </w:numPr>
              <w:adjustRightInd w:val="0"/>
              <w:snapToGrid w:val="0"/>
              <w:spacing w:line="360" w:lineRule="auto"/>
              <w:ind w:left="480" w:hanging="480" w:hangingChars="200"/>
              <w:jc w:val="left"/>
              <w:rPr>
                <w:rFonts w:hint="eastAsia" w:hAnsi="宋体" w:eastAsia="宋体" w:cs="宋体"/>
                <w:color w:val="000000"/>
                <w:sz w:val="24"/>
                <w:szCs w:val="24"/>
              </w:rPr>
            </w:pPr>
            <w:r>
              <w:rPr>
                <w:rFonts w:hint="eastAsia" w:ascii="宋体" w:hAnsi="宋体" w:eastAsia="宋体" w:cs="宋体"/>
                <w:kern w:val="2"/>
                <w:sz w:val="24"/>
                <w:szCs w:val="24"/>
                <w:lang w:val="en-US" w:eastAsia="zh-CN" w:bidi="ar-SA"/>
              </w:rPr>
              <w:t>不接受联合体投标。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29</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2025年1</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2</w:t>
            </w:r>
            <w:r>
              <w:rPr>
                <w:rFonts w:hint="eastAsia" w:eastAsia="宋体" w:cs="宋体"/>
                <w:highlight w:val="yellow"/>
              </w:rPr>
              <w:t>日17时00分00秒</w:t>
            </w:r>
          </w:p>
          <w:p>
            <w:pPr>
              <w:pStyle w:val="112"/>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Times New Roman"/>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eastAsia="宋体" w:cs="宋体" w:asciiTheme="minorHAnsi" w:hAnsiTheme="minorHAnsi"/>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22</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17"/>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0000.00元</w:t>
            </w:r>
          </w:p>
          <w:p>
            <w:pPr>
              <w:adjustRightInd w:val="0"/>
              <w:snapToGrid w:val="0"/>
              <w:spacing w:line="360" w:lineRule="auto"/>
              <w:ind w:left="420" w:leftChars="200"/>
              <w:jc w:val="left"/>
              <w:rPr>
                <w:rFonts w:hint="eastAsia" w:ascii="宋体" w:hAnsi="宋体" w:eastAsia="宋体" w:cs="宋体"/>
                <w:kern w:val="2"/>
                <w:sz w:val="24"/>
                <w:szCs w:val="24"/>
                <w:lang w:val="en-US" w:eastAsia="zh-CN" w:bidi="ar-SA"/>
              </w:rPr>
            </w:pPr>
            <w:r>
              <w:rPr>
                <w:rFonts w:ascii="仿宋" w:hAnsi="仿宋" w:eastAsia="仿宋" w:cs="仿宋_GB2312"/>
                <w:bCs/>
                <w:sz w:val="24"/>
                <w:szCs w:val="24"/>
              </w:rPr>
              <w:t>单</w:t>
            </w:r>
            <w:r>
              <w:rPr>
                <w:rFonts w:hint="eastAsia" w:ascii="宋体" w:hAnsi="宋体" w:eastAsia="宋体" w:cs="宋体"/>
                <w:kern w:val="2"/>
                <w:sz w:val="24"/>
                <w:szCs w:val="24"/>
                <w:lang w:val="en-US" w:eastAsia="zh-CN" w:bidi="ar-SA"/>
              </w:rPr>
              <w:t>位名称：重汽（重庆）轻型汽车有限公司</w:t>
            </w:r>
          </w:p>
          <w:p>
            <w:pPr>
              <w:adjustRightInd w:val="0"/>
              <w:snapToGrid w:val="0"/>
              <w:spacing w:line="360" w:lineRule="auto"/>
              <w:ind w:left="420" w:left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收款账号：8112501012801267437</w:t>
            </w:r>
          </w:p>
          <w:p>
            <w:pPr>
              <w:adjustRightInd w:val="0"/>
              <w:snapToGrid w:val="0"/>
              <w:spacing w:line="360" w:lineRule="auto"/>
              <w:ind w:left="420" w:left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开户行名称：中信银行济南舜耕支行</w:t>
            </w:r>
          </w:p>
          <w:p>
            <w:pPr>
              <w:adjustRightInd w:val="0"/>
              <w:snapToGrid w:val="0"/>
              <w:spacing w:line="360" w:lineRule="auto"/>
              <w:ind w:left="420" w:left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开户行行号：302451037264</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5"/>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w:t>
            </w:r>
            <w:r>
              <w:rPr>
                <w:rFonts w:hint="eastAsia" w:ascii="宋体" w:hAnsi="宋体" w:cs="宋体"/>
                <w:sz w:val="24"/>
                <w:szCs w:val="24"/>
                <w:highlight w:val="yellow"/>
              </w:rPr>
              <w:t>年10月</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日9:30:00</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线上</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sz w:val="24"/>
                <w:szCs w:val="24"/>
              </w:rPr>
            </w:pPr>
            <w:r>
              <w:rPr>
                <w:rFonts w:ascii="宋体" w:hAnsi="宋体" w:eastAsia="宋体" w:cs="宋体"/>
                <w:b/>
                <w:bCs/>
                <w:sz w:val="24"/>
                <w:szCs w:val="24"/>
              </w:rPr>
              <w:t>评标方法：资质标审核→唱标→技术标评审→商务标评审。</w:t>
            </w:r>
            <w:r>
              <w:rPr>
                <w:rFonts w:ascii="宋体" w:hAnsi="宋体" w:eastAsia="宋体" w:cs="宋体"/>
                <w:b/>
                <w:bCs/>
                <w:sz w:val="24"/>
                <w:szCs w:val="24"/>
                <w:highlight w:val="magenta"/>
              </w:rPr>
              <w:t>技术标入围后，原则上选取综合评分最高者</w:t>
            </w:r>
            <w:r>
              <w:rPr>
                <w:rFonts w:ascii="宋体" w:hAnsi="宋体" w:eastAsia="宋体" w:cs="宋体"/>
                <w:b/>
                <w:sz w:val="24"/>
                <w:szCs w:val="24"/>
                <w:highlight w:val="magenta"/>
              </w:rPr>
              <w:t>中标</w:t>
            </w:r>
            <w:r>
              <w:rPr>
                <w:rFonts w:ascii="宋体" w:hAnsi="宋体" w:eastAsia="宋体" w:cs="宋体"/>
                <w:sz w:val="24"/>
                <w:szCs w:val="24"/>
                <w:highlight w:val="magenta"/>
              </w:rPr>
              <w:t>。</w:t>
            </w:r>
            <w:r>
              <w:rPr>
                <w:rFonts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26"/>
              <w:numPr>
                <w:ilvl w:val="0"/>
                <w:numId w:val="4"/>
              </w:numPr>
              <w:adjustRightInd w:val="0"/>
              <w:snapToGrid w:val="0"/>
              <w:spacing w:line="360" w:lineRule="auto"/>
              <w:ind w:firstLineChars="0"/>
              <w:jc w:val="left"/>
              <w:rPr>
                <w:rFonts w:ascii="仿宋" w:hAnsi="仿宋" w:eastAsia="仿宋" w:cs="仿宋_GB2312"/>
                <w:bCs/>
                <w:sz w:val="24"/>
                <w:szCs w:val="24"/>
              </w:rPr>
            </w:pPr>
            <w:r>
              <w:rPr>
                <w:rFonts w:hint="eastAsia" w:ascii="仿宋" w:hAnsi="仿宋" w:eastAsia="仿宋" w:cs="仿宋_GB2312"/>
                <w:bCs/>
                <w:sz w:val="24"/>
                <w:szCs w:val="24"/>
              </w:rPr>
              <w:t>费用模式：月费包干制，在满足《附件-技术要求》的情况下，招标人与中标人约定月度包干服务费，年度服务费=月度服务费*</w:t>
            </w:r>
            <w:r>
              <w:rPr>
                <w:rFonts w:ascii="仿宋" w:hAnsi="仿宋" w:eastAsia="仿宋" w:cs="仿宋_GB2312"/>
                <w:bCs/>
                <w:sz w:val="24"/>
                <w:szCs w:val="24"/>
              </w:rPr>
              <w:t>12</w:t>
            </w:r>
            <w:r>
              <w:rPr>
                <w:rFonts w:hint="eastAsia" w:ascii="仿宋" w:hAnsi="仿宋" w:eastAsia="仿宋" w:cs="仿宋_GB2312"/>
                <w:bCs/>
                <w:sz w:val="24"/>
                <w:szCs w:val="24"/>
              </w:rPr>
              <w:t>。</w:t>
            </w:r>
          </w:p>
          <w:p>
            <w:pPr>
              <w:pStyle w:val="17"/>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26"/>
              <w:numPr>
                <w:ilvl w:val="0"/>
                <w:numId w:val="5"/>
              </w:numPr>
              <w:adjustRightInd w:val="0"/>
              <w:snapToGrid w:val="0"/>
              <w:spacing w:line="360" w:lineRule="auto"/>
              <w:ind w:firstLineChars="0"/>
              <w:jc w:val="left"/>
              <w:rPr>
                <w:rFonts w:ascii="仿宋" w:hAnsi="仿宋" w:eastAsia="仿宋" w:cs="仿宋_GB2312"/>
                <w:bCs/>
                <w:sz w:val="24"/>
                <w:szCs w:val="24"/>
              </w:rPr>
            </w:pPr>
            <w:r>
              <w:rPr>
                <w:rFonts w:hint="eastAsia" w:ascii="仿宋" w:hAnsi="仿宋" w:eastAsia="仿宋" w:cs="仿宋_GB2312"/>
                <w:bCs/>
                <w:sz w:val="24"/>
                <w:szCs w:val="24"/>
              </w:rPr>
              <w:t>付款方式：半年期商业汇票（包括银行承兑汇票和商业承兑汇票）。</w:t>
            </w:r>
          </w:p>
          <w:p>
            <w:pPr>
              <w:pStyle w:val="126"/>
              <w:numPr>
                <w:ilvl w:val="0"/>
                <w:numId w:val="5"/>
              </w:numPr>
              <w:adjustRightInd w:val="0"/>
              <w:snapToGrid w:val="0"/>
              <w:spacing w:line="360" w:lineRule="auto"/>
              <w:ind w:firstLineChars="0"/>
              <w:jc w:val="left"/>
              <w:rPr>
                <w:rFonts w:ascii="仿宋" w:hAnsi="仿宋" w:eastAsia="仿宋" w:cs="仿宋_GB2312"/>
                <w:bCs/>
                <w:sz w:val="24"/>
                <w:szCs w:val="24"/>
              </w:rPr>
            </w:pPr>
            <w:r>
              <w:rPr>
                <w:rFonts w:hint="eastAsia" w:ascii="仿宋" w:hAnsi="仿宋" w:eastAsia="仿宋" w:cs="仿宋_GB2312"/>
                <w:bCs/>
                <w:sz w:val="24"/>
                <w:szCs w:val="24"/>
              </w:rPr>
              <w:t>付款节点:按月度结算，月度服务结束，经招标人按合同约定验收合格，乙方向甲方开具与月度服务费金额一致的增值税专用发票，挂账次月支付。</w:t>
            </w:r>
          </w:p>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hint="eastAsia" w:ascii="宋体" w:hAnsi="宋体" w:eastAsia="宋体" w:cs="宋体"/>
                <w:sz w:val="24"/>
                <w:szCs w:val="24"/>
              </w:rPr>
            </w:pPr>
            <w:r>
              <w:rPr>
                <w:rFonts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hint="eastAsia" w:ascii="宋体" w:hAnsi="宋体" w:eastAsia="宋体" w:cs="宋体"/>
                <w:sz w:val="24"/>
                <w:szCs w:val="24"/>
              </w:rPr>
            </w:pPr>
            <w:r>
              <w:rPr>
                <w:rFonts w:ascii="宋体" w:hAnsi="宋体" w:eastAsia="宋体" w:cs="宋体"/>
                <w:sz w:val="24"/>
                <w:szCs w:val="24"/>
              </w:rPr>
              <w:t>中标方应在合同签订后</w:t>
            </w:r>
            <w:r>
              <w:rPr>
                <w:rFonts w:ascii="宋体" w:hAnsi="宋体" w:eastAsia="宋体" w:cs="宋体"/>
                <w:sz w:val="24"/>
                <w:szCs w:val="24"/>
                <w:highlight w:val="yellow"/>
              </w:rPr>
              <w:t>5</w:t>
            </w:r>
            <w:r>
              <w:rPr>
                <w:rFonts w:ascii="宋体" w:hAnsi="宋体" w:eastAsia="宋体" w:cs="宋体"/>
                <w:sz w:val="24"/>
                <w:szCs w:val="24"/>
              </w:rPr>
              <w:t>日内需根据设计</w:t>
            </w:r>
            <w:r>
              <w:rPr>
                <w:rStyle w:val="42"/>
                <w:rFonts w:ascii="宋体" w:hAnsi="宋体" w:eastAsia="宋体" w:cs="宋体"/>
                <w:sz w:val="24"/>
                <w:szCs w:val="24"/>
              </w:rPr>
              <w:t>提资</w:t>
            </w:r>
            <w:r>
              <w:rPr>
                <w:rFonts w:ascii="宋体" w:hAnsi="宋体" w:eastAsia="宋体" w:cs="宋体"/>
                <w:sz w:val="24"/>
                <w:szCs w:val="24"/>
              </w:rPr>
              <w:t>要求提供详细的</w:t>
            </w:r>
            <w:r>
              <w:rPr>
                <w:rStyle w:val="42"/>
                <w:rFonts w:ascii="宋体" w:hAnsi="宋体" w:eastAsia="宋体" w:cs="宋体"/>
                <w:sz w:val="24"/>
                <w:szCs w:val="24"/>
              </w:rPr>
              <w:t>设备</w:t>
            </w:r>
            <w:r>
              <w:rPr>
                <w:rFonts w:ascii="宋体" w:hAnsi="宋体" w:eastAsia="宋体" w:cs="宋体"/>
                <w:sz w:val="24"/>
                <w:szCs w:val="24"/>
              </w:rPr>
              <w:t>图纸等资料,其中包含</w:t>
            </w:r>
            <w:r>
              <w:rPr>
                <w:rStyle w:val="42"/>
                <w:rFonts w:ascii="宋体" w:hAnsi="宋体" w:eastAsia="宋体" w:cs="宋体"/>
                <w:sz w:val="24"/>
                <w:szCs w:val="24"/>
              </w:rPr>
              <w:t>设备</w:t>
            </w:r>
            <w:r>
              <w:rPr>
                <w:rFonts w:ascii="宋体" w:hAnsi="宋体" w:eastAsia="宋体" w:cs="宋体"/>
                <w:sz w:val="24"/>
                <w:szCs w:val="24"/>
              </w:rPr>
              <w:t>的外形尺寸,运维空间</w:t>
            </w:r>
            <w:r>
              <w:rPr>
                <w:rStyle w:val="42"/>
                <w:rFonts w:ascii="宋体" w:hAnsi="宋体" w:eastAsia="宋体" w:cs="宋体"/>
                <w:sz w:val="24"/>
                <w:szCs w:val="24"/>
              </w:rPr>
              <w:t>,设备</w:t>
            </w:r>
            <w:r>
              <w:rPr>
                <w:rFonts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4"/>
    </w:tbl>
    <w:p>
      <w:pPr>
        <w:pStyle w:val="17"/>
        <w:numPr>
          <w:ilvl w:val="0"/>
          <w:numId w:val="6"/>
        </w:numPr>
        <w:ind w:left="5250"/>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第二部分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pPr>
        <w:keepNext/>
        <w:keepLines/>
        <w:numPr>
          <w:ilvl w:val="0"/>
          <w:numId w:val="7"/>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7"/>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8"/>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2"/>
        <w:ind w:firstLine="480"/>
        <w:rPr>
          <w:rFonts w:hint="eastAsia" w:eastAsia="宋体" w:cs="宋体"/>
        </w:rPr>
      </w:pPr>
      <w:r>
        <w:rPr>
          <w:rFonts w:hint="eastAsia" w:eastAsia="宋体" w:cs="宋体"/>
        </w:rPr>
        <w:t>4.2招标人银行账户信息如下：见《投标须知前附表》4.2。</w:t>
      </w:r>
    </w:p>
    <w:p>
      <w:pPr>
        <w:pStyle w:val="112"/>
        <w:ind w:firstLine="480"/>
        <w:rPr>
          <w:rFonts w:hint="eastAsia" w:eastAsia="宋体" w:cs="宋体"/>
        </w:rPr>
      </w:pPr>
      <w:r>
        <w:rPr>
          <w:rFonts w:hint="eastAsia" w:eastAsia="宋体" w:cs="宋体"/>
        </w:rPr>
        <w:t>转账附言：公司名称+项目名称+投标保证金；</w:t>
      </w:r>
    </w:p>
    <w:p>
      <w:pPr>
        <w:pStyle w:val="112"/>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2"/>
        <w:ind w:firstLine="480"/>
        <w:rPr>
          <w:rFonts w:hint="eastAsia" w:eastAsia="宋体" w:cs="宋体"/>
        </w:rPr>
      </w:pPr>
      <w:r>
        <w:rPr>
          <w:rFonts w:hint="eastAsia" w:eastAsia="宋体" w:cs="宋体"/>
        </w:rPr>
        <w:t>4.3说明</w:t>
      </w:r>
    </w:p>
    <w:p>
      <w:pPr>
        <w:pStyle w:val="112"/>
        <w:ind w:firstLine="480"/>
        <w:rPr>
          <w:rFonts w:hint="eastAsia" w:eastAsia="宋体" w:cs="宋体"/>
        </w:rPr>
      </w:pPr>
      <w:r>
        <w:rPr>
          <w:rFonts w:hint="eastAsia" w:eastAsia="宋体" w:cs="宋体"/>
        </w:rPr>
        <w:t>4.3.1 投标人在向招标人出示《投标保证金缴纳凭证》后方可进行投标；</w:t>
      </w:r>
    </w:p>
    <w:p>
      <w:pPr>
        <w:pStyle w:val="112"/>
        <w:ind w:firstLine="480"/>
        <w:rPr>
          <w:rFonts w:hint="eastAsia" w:eastAsia="宋体" w:cs="宋体"/>
        </w:rPr>
      </w:pPr>
      <w:r>
        <w:rPr>
          <w:rFonts w:hint="eastAsia" w:eastAsia="宋体" w:cs="宋体"/>
        </w:rPr>
        <w:t>4.3.2 发生以下情况时，招标人有权没收保证金：</w:t>
      </w:r>
    </w:p>
    <w:p>
      <w:pPr>
        <w:pStyle w:val="112"/>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2"/>
        <w:ind w:firstLine="480"/>
        <w:rPr>
          <w:rFonts w:hint="eastAsia" w:eastAsia="宋体" w:cs="宋体"/>
        </w:rPr>
      </w:pPr>
      <w:r>
        <w:rPr>
          <w:rFonts w:hint="eastAsia" w:eastAsia="宋体" w:cs="宋体"/>
        </w:rPr>
        <w:t>4.3.2.2 投标人递送投标文件后，无正当理由放弃投标的；</w:t>
      </w:r>
    </w:p>
    <w:p>
      <w:pPr>
        <w:pStyle w:val="112"/>
        <w:ind w:firstLine="480"/>
        <w:rPr>
          <w:rFonts w:hint="eastAsia" w:eastAsia="宋体" w:cs="宋体"/>
        </w:rPr>
      </w:pPr>
      <w:r>
        <w:rPr>
          <w:rFonts w:hint="eastAsia" w:eastAsia="宋体" w:cs="宋体"/>
        </w:rPr>
        <w:t>4.3.2.3若为视频开标，招标过程中澄清函等资料原件未按要求提交的；</w:t>
      </w:r>
    </w:p>
    <w:p>
      <w:pPr>
        <w:pStyle w:val="112"/>
        <w:ind w:firstLine="480"/>
        <w:rPr>
          <w:rFonts w:hint="eastAsia" w:eastAsia="宋体" w:cs="宋体"/>
        </w:rPr>
      </w:pPr>
      <w:r>
        <w:rPr>
          <w:rFonts w:hint="eastAsia" w:eastAsia="宋体" w:cs="宋体"/>
        </w:rPr>
        <w:t>4.3.2.4自中标通知书发出之日起30日内，中标人无正当理由不签订合同的；</w:t>
      </w:r>
    </w:p>
    <w:p>
      <w:pPr>
        <w:pStyle w:val="112"/>
        <w:ind w:firstLine="480"/>
        <w:rPr>
          <w:rFonts w:hint="eastAsia"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2"/>
        <w:ind w:firstLine="480"/>
        <w:rPr>
          <w:rFonts w:hint="eastAsia" w:eastAsia="宋体" w:cs="宋体"/>
        </w:rPr>
      </w:pPr>
      <w:r>
        <w:rPr>
          <w:rFonts w:hint="eastAsia" w:eastAsia="宋体" w:cs="宋体"/>
        </w:rPr>
        <w:t>4.4投标报名截止时间</w:t>
      </w:r>
    </w:p>
    <w:p>
      <w:pPr>
        <w:pStyle w:val="112"/>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pPr>
        <w:pStyle w:val="112"/>
        <w:ind w:firstLine="480"/>
        <w:rPr>
          <w:rFonts w:hint="eastAsia" w:eastAsia="宋体" w:cs="宋体"/>
        </w:rPr>
      </w:pPr>
      <w:r>
        <w:rPr>
          <w:rFonts w:hint="eastAsia" w:eastAsia="宋体" w:cs="宋体"/>
        </w:rPr>
        <w:t>报名提交资料：均为盖章电子扫描版，用“公司名称+文件名称”命名。</w:t>
      </w:r>
    </w:p>
    <w:p>
      <w:pPr>
        <w:numPr>
          <w:ilvl w:val="0"/>
          <w:numId w:val="9"/>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9"/>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9"/>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numPr>
          <w:ilvl w:val="0"/>
          <w:numId w:val="10"/>
        </w:numPr>
        <w:spacing w:line="360" w:lineRule="auto"/>
        <w:jc w:val="left"/>
        <w:outlineLvl w:val="1"/>
        <w:rPr>
          <w:rFonts w:hint="eastAsia" w:ascii="宋体" w:hAnsi="宋体" w:eastAsia="宋体" w:cs="宋体"/>
          <w:b/>
          <w:sz w:val="24"/>
          <w:szCs w:val="24"/>
        </w:rPr>
      </w:pPr>
      <w:bookmarkStart w:id="7" w:name="_Toc33265752"/>
      <w:bookmarkStart w:id="8" w:name="_Toc33265653"/>
      <w:bookmarkStart w:id="9" w:name="_Toc33266627"/>
      <w:bookmarkStart w:id="10" w:name="_Toc33285487"/>
      <w:bookmarkStart w:id="11" w:name="_Toc33266950"/>
      <w:bookmarkStart w:id="12" w:name="_Toc33267001"/>
      <w:bookmarkStart w:id="13" w:name="_Toc33266914"/>
      <w:r>
        <w:rPr>
          <w:rFonts w:hint="eastAsia" w:ascii="宋体" w:hAnsi="宋体" w:eastAsia="宋体" w:cs="宋体"/>
          <w:b/>
          <w:sz w:val="24"/>
          <w:szCs w:val="24"/>
        </w:rPr>
        <w:t>评价原则</w:t>
      </w:r>
      <w:bookmarkEnd w:id="7"/>
      <w:bookmarkEnd w:id="8"/>
      <w:bookmarkEnd w:id="9"/>
      <w:bookmarkEnd w:id="10"/>
      <w:bookmarkEnd w:id="11"/>
      <w:bookmarkEnd w:id="12"/>
      <w:bookmarkEnd w:id="13"/>
      <w:bookmarkStart w:id="14" w:name="_Toc395116633"/>
    </w:p>
    <w:p>
      <w:pPr>
        <w:pStyle w:val="126"/>
        <w:numPr>
          <w:ilvl w:val="0"/>
          <w:numId w:val="0"/>
        </w:numPr>
        <w:adjustRightInd w:val="0"/>
        <w:snapToGrid w:val="0"/>
        <w:spacing w:line="360" w:lineRule="auto"/>
        <w:ind w:leftChars="0"/>
        <w:jc w:val="left"/>
        <w:rPr>
          <w:rFonts w:hint="eastAsia" w:ascii="仿宋" w:hAnsi="仿宋" w:eastAsia="仿宋" w:cs="仿宋_GB2312"/>
          <w:bCs/>
          <w:sz w:val="24"/>
          <w:szCs w:val="24"/>
        </w:rPr>
      </w:pPr>
      <w:r>
        <w:rPr>
          <w:rFonts w:hint="eastAsia" w:ascii="仿宋" w:hAnsi="仿宋" w:eastAsia="仿宋" w:cs="仿宋_GB2312"/>
          <w:bCs/>
          <w:sz w:val="24"/>
          <w:szCs w:val="24"/>
        </w:rPr>
        <w:t>评标模式：合理最低价，技术标入围前提下，以项目执行年度（1</w:t>
      </w:r>
      <w:r>
        <w:rPr>
          <w:rFonts w:ascii="仿宋" w:hAnsi="仿宋" w:eastAsia="仿宋" w:cs="仿宋_GB2312"/>
          <w:bCs/>
          <w:sz w:val="24"/>
          <w:szCs w:val="24"/>
        </w:rPr>
        <w:t>2</w:t>
      </w:r>
      <w:r>
        <w:rPr>
          <w:rFonts w:hint="eastAsia" w:ascii="仿宋" w:hAnsi="仿宋" w:eastAsia="仿宋" w:cs="仿宋_GB2312"/>
          <w:bCs/>
          <w:sz w:val="24"/>
          <w:szCs w:val="24"/>
        </w:rPr>
        <w:t>个月）服务费总价（未税）为评分依据。</w:t>
      </w:r>
    </w:p>
    <w:p>
      <w:pPr>
        <w:pStyle w:val="126"/>
        <w:numPr>
          <w:ilvl w:val="0"/>
          <w:numId w:val="0"/>
        </w:numPr>
        <w:adjustRightInd w:val="0"/>
        <w:snapToGrid w:val="0"/>
        <w:spacing w:line="360" w:lineRule="auto"/>
        <w:ind w:leftChars="0"/>
        <w:jc w:val="left"/>
        <w:rPr>
          <w:rFonts w:hint="eastAsia" w:ascii="仿宋" w:hAnsi="仿宋" w:eastAsia="仿宋" w:cs="仿宋_GB2312"/>
          <w:bCs/>
          <w:sz w:val="24"/>
          <w:szCs w:val="24"/>
        </w:rPr>
      </w:pPr>
      <w:r>
        <w:rPr>
          <w:rFonts w:hint="eastAsia" w:ascii="仿宋" w:hAnsi="仿宋" w:eastAsia="仿宋" w:cs="仿宋_GB2312"/>
          <w:bCs/>
          <w:sz w:val="24"/>
          <w:szCs w:val="24"/>
        </w:rPr>
        <w:t>商务标：</w:t>
      </w:r>
      <w:r>
        <w:rPr>
          <w:rFonts w:hint="eastAsia" w:ascii="仿宋" w:hAnsi="仿宋" w:eastAsia="仿宋" w:cs="仿宋_GB2312"/>
          <w:color w:val="000000"/>
          <w:sz w:val="24"/>
          <w:szCs w:val="24"/>
        </w:rPr>
        <w:t>商</w:t>
      </w:r>
      <w:r>
        <w:rPr>
          <w:rFonts w:hint="eastAsia" w:ascii="仿宋" w:hAnsi="仿宋" w:eastAsia="仿宋" w:cs="仿宋_GB2312"/>
          <w:bCs/>
          <w:sz w:val="24"/>
          <w:szCs w:val="24"/>
        </w:rPr>
        <w:t>务标得分=当前轮次最低价/供方投标价×商务标总分.</w:t>
      </w:r>
    </w:p>
    <w:bookmarkEnd w:id="14"/>
    <w:p>
      <w:pPr>
        <w:adjustRightInd w:val="0"/>
        <w:snapToGrid w:val="0"/>
        <w:spacing w:line="360" w:lineRule="auto"/>
        <w:ind w:firstLine="480" w:firstLineChars="200"/>
        <w:jc w:val="left"/>
        <w:rPr>
          <w:rFonts w:ascii="仿宋" w:hAnsi="仿宋" w:eastAsia="仿宋" w:cs="仿宋_GB2312"/>
          <w:b/>
          <w:bCs/>
          <w:sz w:val="24"/>
          <w:szCs w:val="24"/>
        </w:rPr>
      </w:pPr>
      <w:r>
        <w:rPr>
          <w:rFonts w:hint="eastAsia" w:ascii="仿宋" w:hAnsi="仿宋" w:eastAsia="仿宋" w:cs="仿宋_GB2312"/>
          <w:bCs/>
          <w:sz w:val="24"/>
          <w:szCs w:val="24"/>
        </w:rPr>
        <w:t>评审小组先对投标人的技术提案进行技术评分，技术分80分以上的投标人入围商务标。低于80分的投标人淘汰离场。技术标评分机制如下：</w:t>
      </w:r>
    </w:p>
    <w:tbl>
      <w:tblPr>
        <w:tblStyle w:val="36"/>
        <w:tblW w:w="9217" w:type="dxa"/>
        <w:tblInd w:w="-8" w:type="dxa"/>
        <w:tblLayout w:type="autofit"/>
        <w:tblCellMar>
          <w:top w:w="0" w:type="dxa"/>
          <w:left w:w="108" w:type="dxa"/>
          <w:bottom w:w="0" w:type="dxa"/>
          <w:right w:w="108" w:type="dxa"/>
        </w:tblCellMar>
      </w:tblPr>
      <w:tblGrid>
        <w:gridCol w:w="820"/>
        <w:gridCol w:w="1874"/>
        <w:gridCol w:w="5814"/>
        <w:gridCol w:w="709"/>
      </w:tblGrid>
      <w:tr>
        <w:tblPrEx>
          <w:tblCellMar>
            <w:top w:w="0" w:type="dxa"/>
            <w:left w:w="108" w:type="dxa"/>
            <w:bottom w:w="0" w:type="dxa"/>
            <w:right w:w="108" w:type="dxa"/>
          </w:tblCellMar>
        </w:tblPrEx>
        <w:trPr>
          <w:trHeight w:val="63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187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内容</w:t>
            </w:r>
          </w:p>
        </w:tc>
        <w:tc>
          <w:tcPr>
            <w:tcW w:w="581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具体标准</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分值</w:t>
            </w:r>
          </w:p>
        </w:tc>
      </w:tr>
      <w:tr>
        <w:tblPrEx>
          <w:tblCellMar>
            <w:top w:w="0" w:type="dxa"/>
            <w:left w:w="108" w:type="dxa"/>
            <w:bottom w:w="0" w:type="dxa"/>
            <w:right w:w="108" w:type="dxa"/>
          </w:tblCellMar>
        </w:tblPrEx>
        <w:trPr>
          <w:trHeight w:val="48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近</w:t>
            </w:r>
            <w:r>
              <w:rPr>
                <w:rFonts w:ascii="仿宋" w:hAnsi="仿宋" w:eastAsia="仿宋"/>
                <w:color w:val="000000"/>
                <w:kern w:val="0"/>
                <w:sz w:val="24"/>
                <w:szCs w:val="24"/>
              </w:rPr>
              <w:t>3</w:t>
            </w:r>
            <w:r>
              <w:rPr>
                <w:rFonts w:hint="eastAsia" w:ascii="仿宋" w:hAnsi="仿宋" w:eastAsia="仿宋" w:cs="宋体"/>
                <w:color w:val="000000"/>
                <w:kern w:val="0"/>
                <w:sz w:val="24"/>
                <w:szCs w:val="24"/>
              </w:rPr>
              <w:t>年收入状况（</w:t>
            </w:r>
            <w:r>
              <w:rPr>
                <w:rFonts w:ascii="仿宋" w:hAnsi="仿宋" w:eastAsia="仿宋"/>
                <w:color w:val="000000"/>
                <w:kern w:val="0"/>
                <w:sz w:val="24"/>
                <w:szCs w:val="24"/>
              </w:rPr>
              <w:t>5</w:t>
            </w:r>
            <w:r>
              <w:rPr>
                <w:rFonts w:hint="eastAsia" w:ascii="仿宋" w:hAnsi="仿宋" w:eastAsia="仿宋" w:cs="宋体"/>
                <w:color w:val="000000"/>
                <w:kern w:val="0"/>
                <w:sz w:val="24"/>
                <w:szCs w:val="24"/>
              </w:rPr>
              <w:t>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提供2022-2024年财务报表，营业收入逐年递增得6分，每出现一年下降扣2分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100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资质认证（10分）</w:t>
            </w:r>
          </w:p>
        </w:tc>
        <w:tc>
          <w:tcPr>
            <w:tcW w:w="581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AAA级企业信用认证、AAA级重合同守信用认证、城市生活垃圾收集、运输服务许可、物业二级资质认证、有害生物防治认证、中国电子洁净协会会员单位，荣获国家、省、市级以上各类荣誉等，每提供一项得2分，满分10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同类项目经验（15分）</w:t>
            </w:r>
          </w:p>
        </w:tc>
        <w:tc>
          <w:tcPr>
            <w:tcW w:w="581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投标人承担类似规模的汽车涂装车间专业保洁经验情况，每提供1项得3分，满分15分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51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管理架构及制度（10分）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架构清晰制度完善得10分；完整度欠佳得1-9分；无内容得0分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r>
        <w:tblPrEx>
          <w:tblCellMar>
            <w:top w:w="0" w:type="dxa"/>
            <w:left w:w="108" w:type="dxa"/>
            <w:bottom w:w="0" w:type="dxa"/>
            <w:right w:w="108" w:type="dxa"/>
          </w:tblCellMar>
        </w:tblPrEx>
        <w:trPr>
          <w:trHeight w:val="51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保洁技术方案（20分）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方案专业优秀，科学合理得20分；欠佳得1-19分；无内容得0分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20</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质量保证承诺（15分）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质量承诺详细，品质高得15分，欠佳得1-14分，无内容得0分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48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7</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人员配置方案（15分）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人员充足，配置合理得15分，欠佳得1-14分，无内容得0分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8</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应急方案(包含安全风险评估及保障措施)（5分）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应急方案完善优质得5分，欠佳得1-4分，无内容得0分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52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9</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优惠承诺及特色服务（5分）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给予其他增值服务，每项得1分，满分5分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52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kern w:val="0"/>
                <w:sz w:val="24"/>
                <w:szCs w:val="24"/>
              </w:rPr>
            </w:pPr>
            <w:r>
              <w:rPr>
                <w:rFonts w:ascii="仿宋" w:hAnsi="仿宋" w:eastAsia="仿宋"/>
                <w:color w:val="000000"/>
                <w:kern w:val="0"/>
                <w:sz w:val="24"/>
                <w:szCs w:val="24"/>
              </w:rPr>
              <w:t>　</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合计</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100</w:t>
            </w:r>
          </w:p>
        </w:tc>
      </w:tr>
    </w:tbl>
    <w:p>
      <w:pPr>
        <w:pStyle w:val="2"/>
        <w:rPr>
          <w:rFonts w:hint="eastAsia"/>
        </w:rPr>
      </w:pPr>
    </w:p>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对未中标单位不做任何解释</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11"/>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12"/>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11"/>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13"/>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13"/>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14"/>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5"/>
        </w:numPr>
        <w:spacing w:line="360" w:lineRule="auto"/>
        <w:rPr>
          <w:rFonts w:hint="eastAsia" w:ascii="宋体" w:hAnsi="宋体" w:eastAsia="宋体" w:cs="宋体"/>
          <w:b/>
          <w:sz w:val="24"/>
          <w:szCs w:val="24"/>
        </w:rPr>
      </w:pPr>
      <w:r>
        <w:rPr>
          <w:rFonts w:hint="eastAsia" w:ascii="宋体" w:hAnsi="宋体" w:eastAsia="宋体" w:cs="宋体"/>
          <w:b/>
          <w:sz w:val="24"/>
          <w:szCs w:val="24"/>
          <w:highlight w:val="magenta"/>
        </w:rPr>
        <w:t>中标人确定：技术标入围后，原则上</w:t>
      </w:r>
      <w:r>
        <w:rPr>
          <w:rFonts w:hint="eastAsia" w:ascii="宋体" w:hAnsi="宋体" w:eastAsia="宋体" w:cs="宋体"/>
          <w:b/>
          <w:bCs/>
          <w:sz w:val="24"/>
          <w:szCs w:val="24"/>
          <w:highlight w:val="magenta"/>
        </w:rPr>
        <w:t>综合评分最高的投标方</w:t>
      </w:r>
      <w:r>
        <w:rPr>
          <w:rFonts w:hint="eastAsia" w:ascii="宋体" w:hAnsi="宋体" w:eastAsia="宋体" w:cs="宋体"/>
          <w:b/>
          <w:sz w:val="24"/>
          <w:szCs w:val="24"/>
          <w:highlight w:val="magenta"/>
        </w:rPr>
        <w:t>中标。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spacing w:line="360" w:lineRule="auto"/>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6.招标人有权指定招标人的关联单位作为合同签订人，与中标人签署相关合同，且具体权利义务以中标人与招标人的关联公司最终签署的合同为准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5" w:name="OLE_LINK27"/>
      <w:bookmarkStart w:id="16" w:name="OLE_LINK26"/>
      <w:bookmarkStart w:id="17" w:name="OLE_LINK25"/>
      <w:bookmarkStart w:id="18" w:name="OLE_LINK28"/>
      <w:bookmarkStart w:id="19" w:name="OLE_LINK29"/>
      <w:r>
        <w:rPr>
          <w:rFonts w:hint="eastAsia" w:ascii="宋体" w:hAnsi="宋体" w:eastAsia="宋体" w:cs="宋体"/>
          <w:bCs/>
          <w:sz w:val="24"/>
          <w:szCs w:val="24"/>
        </w:rPr>
        <w:t>；</w:t>
      </w:r>
      <w:bookmarkEnd w:id="15"/>
      <w:bookmarkEnd w:id="16"/>
      <w:bookmarkEnd w:id="17"/>
      <w:bookmarkEnd w:id="18"/>
      <w:bookmarkEnd w:id="19"/>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归中国重型汽车集团有限公司。</w:t>
      </w:r>
    </w:p>
    <w:p>
      <w:pPr>
        <w:pStyle w:val="17"/>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rPr>
      </w:pPr>
      <w:bookmarkStart w:id="20" w:name="_Toc22879"/>
      <w:r>
        <w:rPr>
          <w:rFonts w:hint="eastAsia" w:ascii="Calibri" w:hAnsi="Calibri" w:eastAsia="宋体" w:cs="Times New Roman"/>
          <w:b/>
          <w:bCs/>
          <w:kern w:val="44"/>
          <w:sz w:val="36"/>
          <w:szCs w:val="44"/>
        </w:rPr>
        <w:t>第三部分 投标文件编制</w:t>
      </w:r>
      <w:bookmarkEnd w:id="20"/>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bookmarkStart w:id="21" w:name="_Toc212369515"/>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r>
        <w:rPr>
          <w:rFonts w:hint="eastAsia" w:ascii="宋体" w:hAnsi="宋体" w:eastAsia="宋体" w:cs="宋体"/>
          <w:color w:val="000000"/>
          <w:sz w:val="24"/>
          <w:szCs w:val="24"/>
          <w:highlight w:val="yellow"/>
        </w:rPr>
        <w:t>国内拟投标人具有依法缴纳社会保障资金的良好记录（提供2025年6月份社会保险的凭据证明材料复印件）；国外品牌具备良好的信用和业绩</w:t>
      </w:r>
      <w:r>
        <w:rPr>
          <w:rFonts w:hint="eastAsia" w:ascii="宋体" w:hAnsi="宋体" w:eastAsia="宋体" w:cs="宋体"/>
          <w:color w:val="000000"/>
          <w:sz w:val="24"/>
          <w:szCs w:val="24"/>
        </w:rPr>
        <w:t>。</w:t>
      </w:r>
    </w:p>
    <w:p>
      <w:pPr>
        <w:spacing w:line="360" w:lineRule="auto"/>
        <w:ind w:firstLine="480" w:firstLineChars="200"/>
        <w:rPr>
          <w:rFonts w:hint="eastAsia" w:hAnsi="宋体" w:eastAsia="宋体" w:cs="宋体"/>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hAnsi="宋体" w:eastAsia="宋体" w:cs="宋体"/>
          <w:color w:val="000000"/>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Times New Roman"/>
          <w:sz w:val="24"/>
          <w:szCs w:val="24"/>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w:t>
      </w:r>
      <w:r>
        <w:rPr>
          <w:rFonts w:hint="eastAsia" w:ascii="宋体" w:hAnsi="宋体" w:eastAsia="宋体" w:cs="宋体"/>
          <w:sz w:val="24"/>
          <w:szCs w:val="24"/>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highlight w:val="yellow"/>
        </w:rPr>
        <w:t>.12 2023年8月1日至今，企业同类项目业绩证明</w:t>
      </w:r>
      <w:r>
        <w:rPr>
          <w:rFonts w:hint="eastAsia" w:ascii="宋体" w:hAnsi="宋体" w:eastAsia="宋体" w:cs="宋体"/>
          <w:color w:val="FF0000"/>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1"/>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w:t>
      </w:r>
      <w:r>
        <w:rPr>
          <w:rFonts w:hint="eastAsia" w:ascii="宋体" w:hAnsi="宋体" w:eastAsia="宋体" w:cs="宋体"/>
          <w:color w:val="000000"/>
          <w:sz w:val="24"/>
          <w:szCs w:val="24"/>
          <w:highlight w:val="yellow"/>
        </w:rPr>
        <w:t>提供2022年1月1日以来同类产品的制造销售业绩</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hint="eastAsia" w:ascii="宋体" w:hAnsi="宋体" w:eastAsia="宋体" w:cs="宋体"/>
          <w:color w:val="000000"/>
          <w:sz w:val="24"/>
          <w:szCs w:val="24"/>
        </w:rPr>
      </w:pPr>
      <w:bookmarkStart w:id="22" w:name="_Toc536542319"/>
      <w:r>
        <w:rPr>
          <w:rFonts w:hint="eastAsia" w:ascii="宋体" w:hAnsi="宋体" w:eastAsia="宋体" w:cs="宋体"/>
          <w:color w:val="000000"/>
          <w:sz w:val="24"/>
          <w:szCs w:val="24"/>
        </w:rPr>
        <w:t>2.7投标产品技术支持材料</w:t>
      </w:r>
      <w:bookmarkEnd w:id="22"/>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3" w:name="OLE_LINK18"/>
      <w:bookmarkStart w:id="24" w:name="OLE_LINK19"/>
      <w:r>
        <w:rPr>
          <w:rFonts w:hint="eastAsia" w:ascii="宋体" w:hAnsi="宋体" w:eastAsia="宋体" w:cs="宋体"/>
          <w:b/>
          <w:color w:val="000000"/>
          <w:sz w:val="24"/>
          <w:szCs w:val="24"/>
        </w:rPr>
        <w:t>；</w:t>
      </w:r>
      <w:bookmarkEnd w:id="23"/>
      <w:bookmarkEnd w:id="24"/>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r>
        <w:rPr>
          <w:rFonts w:hint="eastAsia" w:ascii="宋体" w:hAnsi="宋体" w:eastAsia="宋体" w:cs="宋体"/>
          <w:color w:val="000000"/>
          <w:sz w:val="24"/>
          <w:szCs w:val="24"/>
        </w:rPr>
        <w:t>详见第六部分投标文件附件格式1—13，其余未尽事宜请按各单位习惯制定即可。</w:t>
      </w:r>
    </w:p>
    <w:p>
      <w:pPr>
        <w:spacing w:line="276" w:lineRule="auto"/>
        <w:jc w:val="center"/>
        <w:outlineLvl w:val="0"/>
        <w:rPr>
          <w:rFonts w:hint="default" w:ascii="宋体" w:hAnsi="宋体" w:eastAsia="宋体" w:cs="Times New Roman"/>
          <w:b/>
          <w:bCs/>
          <w:color w:val="000000" w:themeColor="text1"/>
          <w:spacing w:val="-8"/>
          <w:sz w:val="48"/>
          <w:szCs w:val="44"/>
          <w:lang w:val="en-US" w:eastAsia="zh-CN"/>
          <w14:textFill>
            <w14:solidFill>
              <w14:schemeClr w14:val="tx1"/>
            </w14:solidFill>
          </w14:textFill>
        </w:rPr>
      </w:pPr>
      <w:r>
        <w:rPr>
          <w:rFonts w:hint="eastAsia" w:ascii="宋体" w:hAnsi="宋体" w:eastAsia="宋体" w:cs="Times New Roman"/>
          <w:b/>
          <w:bCs/>
          <w:color w:val="000000" w:themeColor="text1"/>
          <w:spacing w:val="-8"/>
          <w:sz w:val="48"/>
          <w:szCs w:val="44"/>
          <w:lang w:val="en-US" w:eastAsia="zh-CN"/>
          <w14:textFill>
            <w14:solidFill>
              <w14:schemeClr w14:val="tx1"/>
            </w14:solidFill>
          </w14:textFill>
        </w:rPr>
        <w:t>第四部分 技术要求</w:t>
      </w:r>
    </w:p>
    <w:p>
      <w:pPr>
        <w:jc w:val="right"/>
        <w:rPr>
          <w:rFonts w:hint="eastAsia" w:ascii="宋体" w:hAnsi="宋体" w:eastAsia="宋体" w:cs="Times New Roman"/>
          <w:color w:val="000000" w:themeColor="text1"/>
          <w:sz w:val="28"/>
          <w:szCs w:val="28"/>
          <w14:textFill>
            <w14:solidFill>
              <w14:schemeClr w14:val="tx1"/>
            </w14:solidFill>
          </w14:textFill>
        </w:rPr>
      </w:pPr>
    </w:p>
    <w:p>
      <w:pPr>
        <w:rPr>
          <w:rFonts w:hint="eastAsia" w:ascii="宋体" w:hAnsi="宋体"/>
          <w:b/>
          <w:bCs/>
          <w:sz w:val="52"/>
          <w:szCs w:val="52"/>
        </w:rPr>
      </w:pPr>
    </w:p>
    <w:p>
      <w:pPr>
        <w:jc w:val="center"/>
        <w:rPr>
          <w:rFonts w:hint="eastAsia" w:ascii="Arial" w:hAnsi="宋体" w:cs="Arial"/>
          <w:b/>
          <w:sz w:val="52"/>
          <w:szCs w:val="52"/>
        </w:rPr>
      </w:pPr>
      <w:r>
        <w:rPr>
          <w:rFonts w:hint="eastAsia" w:ascii="Arial" w:hAnsi="宋体" w:cs="Arial"/>
          <w:b/>
          <w:sz w:val="52"/>
          <w:szCs w:val="52"/>
        </w:rPr>
        <w:t xml:space="preserve">重汽（重庆）轻型汽车有限公司   </w:t>
      </w:r>
      <w:r>
        <w:rPr>
          <w:rFonts w:hint="eastAsia" w:ascii="宋体" w:hAnsi="宋体"/>
          <w:b/>
          <w:bCs/>
          <w:sz w:val="52"/>
          <w:szCs w:val="52"/>
        </w:rPr>
        <w:t xml:space="preserve">                              </w:t>
      </w:r>
      <w:r>
        <w:rPr>
          <w:rFonts w:hint="eastAsia" w:ascii="Arial" w:hAnsi="宋体" w:cs="Arial"/>
          <w:b/>
          <w:bCs/>
          <w:sz w:val="52"/>
          <w:szCs w:val="52"/>
        </w:rPr>
        <w:t>车身部涂装车间</w:t>
      </w:r>
      <w:r>
        <w:rPr>
          <w:rFonts w:hint="eastAsia" w:ascii="Arial" w:hAnsi="宋体" w:cs="Arial"/>
          <w:b/>
          <w:sz w:val="52"/>
          <w:szCs w:val="52"/>
        </w:rPr>
        <w:t>专业保洁</w:t>
      </w:r>
    </w:p>
    <w:p>
      <w:pPr>
        <w:jc w:val="center"/>
        <w:rPr>
          <w:rFonts w:hint="eastAsia" w:ascii="Arial" w:hAnsi="宋体" w:cs="Arial"/>
          <w:b/>
          <w:sz w:val="52"/>
          <w:szCs w:val="52"/>
        </w:rPr>
      </w:pPr>
    </w:p>
    <w:p>
      <w:pPr>
        <w:jc w:val="center"/>
        <w:rPr>
          <w:rFonts w:hint="eastAsia" w:ascii="Arial" w:hAnsi="宋体" w:cs="Arial"/>
          <w:b/>
          <w:sz w:val="52"/>
          <w:szCs w:val="52"/>
        </w:rPr>
      </w:pPr>
      <w:r>
        <w:rPr>
          <w:rFonts w:hint="eastAsia" w:ascii="Arial" w:hAnsi="宋体" w:cs="Arial"/>
          <w:b/>
          <w:sz w:val="52"/>
          <w:szCs w:val="52"/>
        </w:rPr>
        <w:t>技</w:t>
      </w:r>
    </w:p>
    <w:p>
      <w:pPr>
        <w:jc w:val="center"/>
        <w:rPr>
          <w:rFonts w:hint="eastAsia" w:ascii="Arial" w:hAnsi="宋体" w:cs="Arial"/>
          <w:b/>
          <w:sz w:val="52"/>
          <w:szCs w:val="52"/>
        </w:rPr>
      </w:pPr>
    </w:p>
    <w:p>
      <w:pPr>
        <w:jc w:val="center"/>
        <w:rPr>
          <w:rFonts w:hint="eastAsia" w:ascii="Arial" w:hAnsi="宋体" w:cs="Arial"/>
          <w:b/>
          <w:sz w:val="52"/>
          <w:szCs w:val="52"/>
        </w:rPr>
      </w:pPr>
      <w:r>
        <w:rPr>
          <w:rFonts w:hint="eastAsia" w:ascii="Arial" w:hAnsi="宋体" w:cs="Arial"/>
          <w:b/>
          <w:sz w:val="52"/>
          <w:szCs w:val="52"/>
        </w:rPr>
        <w:t>术</w:t>
      </w:r>
    </w:p>
    <w:p>
      <w:pPr>
        <w:jc w:val="center"/>
        <w:rPr>
          <w:rFonts w:hint="eastAsia" w:ascii="Arial" w:hAnsi="宋体" w:cs="Arial"/>
          <w:b/>
          <w:sz w:val="52"/>
          <w:szCs w:val="52"/>
        </w:rPr>
      </w:pPr>
    </w:p>
    <w:p>
      <w:pPr>
        <w:jc w:val="center"/>
        <w:rPr>
          <w:rFonts w:hint="eastAsia" w:ascii="Arial" w:hAnsi="宋体" w:cs="Arial"/>
          <w:b/>
          <w:bCs/>
          <w:sz w:val="52"/>
          <w:szCs w:val="52"/>
        </w:rPr>
      </w:pPr>
      <w:r>
        <w:rPr>
          <w:rFonts w:hint="eastAsia" w:ascii="Arial" w:hAnsi="宋体" w:cs="Arial"/>
          <w:b/>
          <w:bCs/>
          <w:sz w:val="52"/>
          <w:szCs w:val="52"/>
        </w:rPr>
        <w:t>要</w:t>
      </w:r>
    </w:p>
    <w:p>
      <w:pPr>
        <w:jc w:val="center"/>
        <w:rPr>
          <w:rFonts w:hint="eastAsia" w:ascii="Arial" w:hAnsi="宋体" w:cs="Arial"/>
          <w:b/>
          <w:bCs/>
          <w:sz w:val="52"/>
          <w:szCs w:val="52"/>
        </w:rPr>
      </w:pPr>
    </w:p>
    <w:p>
      <w:pPr>
        <w:jc w:val="center"/>
        <w:rPr>
          <w:rFonts w:hint="eastAsia" w:ascii="Arial" w:hAnsi="宋体" w:cs="Arial"/>
          <w:b/>
          <w:bCs/>
          <w:sz w:val="52"/>
          <w:szCs w:val="52"/>
        </w:rPr>
      </w:pPr>
      <w:r>
        <w:rPr>
          <w:rFonts w:hint="eastAsia" w:ascii="Arial" w:hAnsi="宋体" w:cs="Arial"/>
          <w:b/>
          <w:bCs/>
          <w:sz w:val="52"/>
          <w:szCs w:val="52"/>
        </w:rPr>
        <w:t>求</w:t>
      </w:r>
    </w:p>
    <w:p>
      <w:pPr>
        <w:jc w:val="center"/>
        <w:rPr>
          <w:rFonts w:hint="eastAsia" w:ascii="Arial" w:hAnsi="宋体" w:cs="Arial"/>
          <w:b/>
          <w:bCs/>
          <w:sz w:val="32"/>
          <w:szCs w:val="32"/>
        </w:rPr>
      </w:pPr>
    </w:p>
    <w:p>
      <w:pPr>
        <w:pStyle w:val="17"/>
        <w:spacing w:before="156" w:beforeLines="50" w:line="360" w:lineRule="auto"/>
        <w:rPr>
          <w:rFonts w:hint="eastAsia" w:ascii="Arial" w:hAnsi="Arial" w:cs="Arial"/>
          <w:b/>
          <w:sz w:val="24"/>
          <w:szCs w:val="24"/>
        </w:rPr>
      </w:pPr>
    </w:p>
    <w:p>
      <w:pPr>
        <w:pStyle w:val="17"/>
        <w:spacing w:before="156" w:beforeLines="50" w:line="360" w:lineRule="auto"/>
        <w:rPr>
          <w:rFonts w:hint="eastAsia" w:ascii="Arial" w:hAnsi="Arial" w:cs="Arial"/>
          <w:b/>
          <w:sz w:val="24"/>
          <w:szCs w:val="24"/>
        </w:rPr>
      </w:pPr>
    </w:p>
    <w:p>
      <w:pPr>
        <w:pStyle w:val="17"/>
        <w:spacing w:before="156" w:beforeLines="50" w:line="360" w:lineRule="auto"/>
        <w:rPr>
          <w:rFonts w:hint="eastAsia" w:ascii="Arial" w:hAnsi="Arial" w:cs="Arial"/>
          <w:b/>
          <w:sz w:val="24"/>
          <w:szCs w:val="24"/>
        </w:rPr>
      </w:pPr>
    </w:p>
    <w:p>
      <w:pPr>
        <w:pStyle w:val="17"/>
        <w:spacing w:before="156" w:beforeLines="50" w:line="360" w:lineRule="auto"/>
        <w:rPr>
          <w:rFonts w:hint="eastAsia" w:ascii="Arial" w:hAnsi="Arial" w:cs="Arial"/>
          <w:b/>
          <w:sz w:val="24"/>
          <w:szCs w:val="24"/>
        </w:rPr>
      </w:pPr>
    </w:p>
    <w:p>
      <w:pPr>
        <w:pStyle w:val="17"/>
        <w:spacing w:before="156" w:beforeLines="50" w:line="360" w:lineRule="auto"/>
        <w:rPr>
          <w:rFonts w:hint="eastAsia" w:ascii="Arial" w:hAnsi="Arial" w:cs="Arial"/>
          <w:szCs w:val="21"/>
        </w:rPr>
      </w:pPr>
    </w:p>
    <w:p>
      <w:pPr>
        <w:pStyle w:val="17"/>
        <w:spacing w:before="156" w:beforeLines="50" w:line="360" w:lineRule="auto"/>
        <w:rPr>
          <w:rFonts w:hint="eastAsia" w:ascii="Arial" w:hAnsi="宋体" w:cs="Arial"/>
          <w:szCs w:val="21"/>
        </w:rPr>
      </w:pPr>
    </w:p>
    <w:p>
      <w:pPr>
        <w:pStyle w:val="17"/>
        <w:spacing w:before="156" w:beforeLines="50" w:line="360" w:lineRule="auto"/>
        <w:rPr>
          <w:rFonts w:hint="eastAsia" w:ascii="Arial" w:hAnsi="Arial" w:cs="Arial"/>
          <w:b/>
          <w:szCs w:val="21"/>
        </w:rPr>
      </w:pPr>
    </w:p>
    <w:p>
      <w:pPr>
        <w:pStyle w:val="17"/>
        <w:spacing w:before="156" w:beforeLines="50" w:line="360" w:lineRule="auto"/>
        <w:rPr>
          <w:rFonts w:ascii="Arial" w:hAnsi="Arial" w:cs="Arial"/>
          <w:b/>
          <w:szCs w:val="21"/>
        </w:rPr>
      </w:pPr>
      <w:r>
        <w:rPr>
          <w:rFonts w:hint="eastAsia" w:ascii="Arial" w:hAnsi="Arial" w:cs="Arial"/>
          <w:b/>
          <w:szCs w:val="21"/>
        </w:rPr>
        <w:t>一、</w:t>
      </w:r>
      <w:r>
        <w:rPr>
          <w:rFonts w:ascii="Arial" w:hAnsi="宋体" w:cs="Arial"/>
          <w:b/>
          <w:szCs w:val="21"/>
        </w:rPr>
        <w:t>项目概况</w:t>
      </w:r>
    </w:p>
    <w:p>
      <w:pPr>
        <w:pStyle w:val="17"/>
        <w:spacing w:line="360" w:lineRule="auto"/>
        <w:rPr>
          <w:rFonts w:ascii="Arial" w:hAnsi="Arial" w:cs="Arial"/>
          <w:szCs w:val="21"/>
        </w:rPr>
      </w:pPr>
      <w:r>
        <w:rPr>
          <w:rFonts w:hint="eastAsia" w:ascii="Arial" w:hAnsi="Arial" w:cs="Arial"/>
          <w:b/>
          <w:szCs w:val="21"/>
        </w:rPr>
        <w:t>1、</w:t>
      </w:r>
      <w:r>
        <w:rPr>
          <w:rFonts w:ascii="Arial" w:hAnsi="宋体" w:cs="Arial"/>
          <w:b/>
          <w:szCs w:val="21"/>
        </w:rPr>
        <w:t>项目名称</w:t>
      </w:r>
      <w:r>
        <w:rPr>
          <w:rFonts w:ascii="Arial" w:hAnsi="宋体" w:cs="Arial"/>
          <w:szCs w:val="21"/>
        </w:rPr>
        <w:t>：</w:t>
      </w:r>
      <w:r>
        <w:rPr>
          <w:rFonts w:hint="eastAsia" w:ascii="Arial" w:hAnsi="宋体" w:cs="Arial"/>
          <w:szCs w:val="21"/>
        </w:rPr>
        <w:t>重汽（重庆）轻型汽车有限公司双福工厂车身部涂装车间</w:t>
      </w:r>
      <w:r>
        <w:rPr>
          <w:rFonts w:ascii="Arial" w:hAnsi="宋体" w:cs="Arial"/>
          <w:szCs w:val="21"/>
        </w:rPr>
        <w:t>专业保洁。</w:t>
      </w:r>
    </w:p>
    <w:p>
      <w:pPr>
        <w:pStyle w:val="17"/>
        <w:spacing w:line="360" w:lineRule="auto"/>
        <w:rPr>
          <w:rFonts w:hint="eastAsia" w:ascii="Arial" w:hAnsi="宋体" w:cs="Arial"/>
          <w:szCs w:val="21"/>
        </w:rPr>
      </w:pPr>
      <w:r>
        <w:rPr>
          <w:rFonts w:hint="eastAsia" w:ascii="Arial" w:hAnsi="Arial" w:cs="Arial"/>
          <w:b/>
          <w:szCs w:val="21"/>
        </w:rPr>
        <w:t>2、</w:t>
      </w:r>
      <w:r>
        <w:rPr>
          <w:rFonts w:ascii="Arial" w:hAnsi="宋体" w:cs="Arial"/>
          <w:b/>
          <w:szCs w:val="21"/>
        </w:rPr>
        <w:t>项目地点</w:t>
      </w:r>
      <w:r>
        <w:rPr>
          <w:rFonts w:ascii="Arial" w:hAnsi="宋体" w:cs="Arial"/>
          <w:szCs w:val="21"/>
        </w:rPr>
        <w:t>：</w:t>
      </w:r>
      <w:r>
        <w:rPr>
          <w:rFonts w:hint="eastAsia" w:ascii="Arial" w:hAnsi="宋体" w:cs="Arial"/>
          <w:szCs w:val="21"/>
        </w:rPr>
        <w:t>重汽（重庆）轻型汽车有限公司双福工厂（重庆市江津区双福新区潍柴路2号）。</w:t>
      </w:r>
    </w:p>
    <w:p>
      <w:pPr>
        <w:pStyle w:val="17"/>
        <w:spacing w:line="360" w:lineRule="auto"/>
        <w:rPr>
          <w:rFonts w:hint="eastAsia" w:ascii="Arial" w:hAnsi="宋体" w:cs="Arial"/>
          <w:b/>
        </w:rPr>
      </w:pPr>
      <w:r>
        <w:rPr>
          <w:rFonts w:hint="eastAsia" w:ascii="Arial" w:hAnsi="Arial" w:cs="Arial"/>
          <w:b/>
        </w:rPr>
        <w:t>二、</w:t>
      </w:r>
      <w:r>
        <w:rPr>
          <w:rFonts w:hint="eastAsia" w:ascii="Arial" w:hAnsi="宋体" w:cs="Arial"/>
          <w:b/>
        </w:rPr>
        <w:t>委托</w:t>
      </w:r>
      <w:r>
        <w:rPr>
          <w:rFonts w:ascii="Arial" w:hAnsi="宋体" w:cs="Arial"/>
          <w:b/>
        </w:rPr>
        <w:t>服务范围</w:t>
      </w:r>
    </w:p>
    <w:p>
      <w:pPr>
        <w:spacing w:line="360" w:lineRule="auto"/>
        <w:ind w:firstLine="539"/>
        <w:rPr>
          <w:rFonts w:hint="eastAsia" w:ascii="Arial" w:hAnsi="宋体" w:cs="Arial"/>
          <w:szCs w:val="21"/>
        </w:rPr>
      </w:pPr>
      <w:r>
        <w:rPr>
          <w:rFonts w:hint="eastAsia" w:ascii="Arial" w:hAnsi="宋体" w:cs="Arial"/>
          <w:szCs w:val="21"/>
        </w:rPr>
        <w:t>重汽（重庆）轻型汽车有限公司双福工厂车身部涂装车间所有专业保洁。</w:t>
      </w:r>
    </w:p>
    <w:p>
      <w:pPr>
        <w:rPr>
          <w:rFonts w:hint="eastAsia" w:ascii="Arial" w:hAnsi="Arial" w:cs="Arial"/>
          <w:b/>
        </w:rPr>
      </w:pPr>
      <w:r>
        <w:rPr>
          <w:rFonts w:hint="eastAsia" w:ascii="Arial" w:hAnsi="Arial" w:cs="Arial"/>
          <w:b/>
        </w:rPr>
        <w:t>三、服务内容</w:t>
      </w:r>
    </w:p>
    <w:p>
      <w:pPr>
        <w:numPr>
          <w:ilvl w:val="0"/>
          <w:numId w:val="16"/>
        </w:numPr>
        <w:spacing w:line="360" w:lineRule="auto"/>
        <w:rPr>
          <w:rFonts w:hint="eastAsia" w:ascii="宋体" w:hAnsi="宋体"/>
          <w:b/>
          <w:szCs w:val="21"/>
        </w:rPr>
      </w:pPr>
      <w:r>
        <w:rPr>
          <w:rFonts w:hint="eastAsia" w:ascii="宋体" w:hAnsi="宋体"/>
          <w:b/>
          <w:szCs w:val="21"/>
        </w:rPr>
        <w:t>服务基础</w:t>
      </w:r>
    </w:p>
    <w:p>
      <w:pPr>
        <w:spacing w:line="360" w:lineRule="auto"/>
        <w:ind w:left="244"/>
        <w:rPr>
          <w:rFonts w:hint="eastAsia" w:ascii="宋体" w:hAnsi="宋体"/>
          <w:szCs w:val="21"/>
        </w:rPr>
      </w:pPr>
      <w:r>
        <w:rPr>
          <w:rFonts w:hint="eastAsia" w:ascii="宋体" w:hAnsi="宋体"/>
          <w:szCs w:val="21"/>
        </w:rPr>
        <w:t>（1）涂装车间：</w:t>
      </w:r>
      <w:r>
        <w:rPr>
          <w:rFonts w:hint="eastAsia" w:ascii="宋体" w:hAnsi="宋体"/>
          <w:color w:val="000000"/>
          <w:szCs w:val="21"/>
        </w:rPr>
        <w:t>厂房面积约34000㎡，</w:t>
      </w:r>
      <w:r>
        <w:rPr>
          <w:rFonts w:hint="eastAsia" w:ascii="宋体" w:hAnsi="宋体"/>
          <w:szCs w:val="21"/>
        </w:rPr>
        <w:t>含辅房（辅料间、冷冻机房、循环水池、调漆间、变配电站、空调平台等），具体见双福涂装车间现场；</w:t>
      </w:r>
    </w:p>
    <w:p>
      <w:pPr>
        <w:numPr>
          <w:ilvl w:val="0"/>
          <w:numId w:val="17"/>
        </w:numPr>
        <w:spacing w:line="360" w:lineRule="auto"/>
        <w:rPr>
          <w:rFonts w:hint="eastAsia" w:ascii="宋体" w:hAnsi="宋体"/>
          <w:szCs w:val="21"/>
        </w:rPr>
      </w:pPr>
      <w:r>
        <w:rPr>
          <w:rFonts w:hint="eastAsia" w:ascii="宋体" w:hAnsi="宋体"/>
          <w:szCs w:val="21"/>
        </w:rPr>
        <w:t>能源情况：需方免费提供保洁所需的水、电、气；</w:t>
      </w:r>
    </w:p>
    <w:p>
      <w:pPr>
        <w:numPr>
          <w:ilvl w:val="0"/>
          <w:numId w:val="17"/>
        </w:numPr>
        <w:spacing w:line="360" w:lineRule="auto"/>
        <w:rPr>
          <w:rFonts w:hint="eastAsia" w:ascii="宋体" w:hAnsi="宋体"/>
          <w:szCs w:val="21"/>
        </w:rPr>
      </w:pPr>
      <w:r>
        <w:rPr>
          <w:rFonts w:hint="eastAsia" w:ascii="宋体" w:hAnsi="宋体"/>
          <w:szCs w:val="21"/>
        </w:rPr>
        <w:t>办公设施：需方提供必要的办公场地和仓储场地、设备工作场地，供方自备办公所需的座椅、电脑等办公设施；</w:t>
      </w:r>
    </w:p>
    <w:p>
      <w:pPr>
        <w:numPr>
          <w:ilvl w:val="0"/>
          <w:numId w:val="17"/>
        </w:numPr>
        <w:spacing w:line="360" w:lineRule="auto"/>
        <w:rPr>
          <w:rFonts w:hint="eastAsia" w:ascii="宋体" w:hAnsi="宋体"/>
          <w:szCs w:val="21"/>
        </w:rPr>
      </w:pPr>
      <w:r>
        <w:rPr>
          <w:rFonts w:hint="eastAsia" w:ascii="宋体" w:hAnsi="宋体"/>
          <w:szCs w:val="21"/>
        </w:rPr>
        <w:t>人员：由供方提供保洁所需的人员，（向甲方提供保洁人数，若中途增加人员或员工离职，需向甲方提前报备），支付员工的工资及福利；</w:t>
      </w:r>
    </w:p>
    <w:p>
      <w:pPr>
        <w:numPr>
          <w:ilvl w:val="0"/>
          <w:numId w:val="17"/>
        </w:numPr>
        <w:spacing w:line="360" w:lineRule="auto"/>
        <w:rPr>
          <w:rFonts w:hint="eastAsia" w:ascii="宋体" w:hAnsi="宋体"/>
          <w:szCs w:val="21"/>
        </w:rPr>
      </w:pPr>
      <w:r>
        <w:rPr>
          <w:rFonts w:hint="eastAsia" w:ascii="宋体" w:hAnsi="宋体"/>
          <w:szCs w:val="21"/>
        </w:rPr>
        <w:t>设备：由供方提供保洁所需的设备、工具等，如洗衣机（容量30Kg以上）、单擦机、烘干设备（容量30Kg以上）、吸尘器、缝纫机、中压水枪（500KG）、粒子计数器、颗粒分析仪、金像显微镜（100倍）、滑撬清洗防护装备等，供方所用设备需满足需方现场要求；</w:t>
      </w:r>
    </w:p>
    <w:p>
      <w:pPr>
        <w:numPr>
          <w:ilvl w:val="0"/>
          <w:numId w:val="17"/>
        </w:numPr>
        <w:spacing w:line="360" w:lineRule="auto"/>
        <w:rPr>
          <w:rFonts w:hint="eastAsia" w:ascii="宋体" w:hAnsi="宋体"/>
          <w:szCs w:val="21"/>
        </w:rPr>
      </w:pPr>
      <w:r>
        <w:rPr>
          <w:rFonts w:hint="eastAsia" w:ascii="宋体" w:hAnsi="宋体"/>
          <w:szCs w:val="21"/>
        </w:rPr>
        <w:t xml:space="preserve">材料：由供方提供保洁所需的工具、耗材（粘尘布、漆渣收集袋、静电服拉链、水管、塑料薄膜等）、及化学药品（油漆隔离剂、脱漆剂、工服清洗剂、地坪清洗剂等），供方使用的所有材料均需要经过需方确认后使用； </w:t>
      </w:r>
    </w:p>
    <w:p>
      <w:pPr>
        <w:numPr>
          <w:ilvl w:val="0"/>
          <w:numId w:val="17"/>
        </w:numPr>
        <w:spacing w:line="360" w:lineRule="auto"/>
        <w:rPr>
          <w:rFonts w:hint="eastAsia" w:ascii="宋体" w:hAnsi="宋体"/>
          <w:szCs w:val="21"/>
        </w:rPr>
      </w:pPr>
      <w:r>
        <w:rPr>
          <w:rFonts w:hint="eastAsia" w:ascii="宋体" w:hAnsi="宋体"/>
          <w:szCs w:val="21"/>
        </w:rPr>
        <w:t>本保洁项目的服务范围包括了涂装车间内的所有设施、设备的一般性清扫，前处理电泳、烘炉、喷漆室、点补室、调漆室、空调机组等重点设施的专业技术清洁，PDAP分析以及涂装车间的深度保洁。</w:t>
      </w:r>
    </w:p>
    <w:p>
      <w:pPr>
        <w:numPr>
          <w:ilvl w:val="0"/>
          <w:numId w:val="16"/>
        </w:numPr>
        <w:spacing w:line="360" w:lineRule="auto"/>
        <w:rPr>
          <w:rFonts w:hint="eastAsia" w:ascii="宋体" w:hAnsi="宋体"/>
          <w:b/>
          <w:szCs w:val="21"/>
        </w:rPr>
      </w:pPr>
      <w:r>
        <w:rPr>
          <w:rFonts w:hint="eastAsia" w:ascii="宋体" w:hAnsi="宋体"/>
          <w:b/>
          <w:szCs w:val="21"/>
        </w:rPr>
        <w:t>服务内容</w:t>
      </w:r>
    </w:p>
    <w:p>
      <w:pPr>
        <w:spacing w:line="360" w:lineRule="auto"/>
        <w:ind w:firstLine="420" w:firstLineChars="200"/>
        <w:rPr>
          <w:rFonts w:hint="eastAsia" w:ascii="宋体" w:hAnsi="宋体"/>
          <w:szCs w:val="21"/>
        </w:rPr>
      </w:pPr>
      <w:r>
        <w:rPr>
          <w:rFonts w:hint="eastAsia" w:ascii="宋体" w:hAnsi="宋体"/>
          <w:szCs w:val="21"/>
        </w:rPr>
        <w:t>保洁服务的内容包括常规和技术性保洁、深度保洁两部分，常规和技术性保洁内容如下：</w:t>
      </w:r>
    </w:p>
    <w:p>
      <w:pPr>
        <w:numPr>
          <w:ilvl w:val="0"/>
          <w:numId w:val="18"/>
        </w:numPr>
        <w:spacing w:line="360" w:lineRule="auto"/>
        <w:rPr>
          <w:rFonts w:hint="eastAsia" w:ascii="宋体" w:hAnsi="宋体"/>
          <w:szCs w:val="21"/>
        </w:rPr>
      </w:pPr>
      <w:r>
        <w:rPr>
          <w:rFonts w:hint="eastAsia" w:ascii="宋体" w:hAnsi="宋体"/>
          <w:szCs w:val="21"/>
        </w:rPr>
        <w:t>厂房主体建筑及公用设施：包括厂房内部的顶棚、内墙、梁、构架、柱子、门窗、通道(包括焊装、涂装及总装之间过渡区域,即WBS和PBS区域)、灯管（罩）、消火栓、灭火器等，以及车间内制冷机组、纯水站、压缩空气站、液压站、配电室、整流电源间、风机房、制冷站设备外表及周围环境；</w:t>
      </w:r>
    </w:p>
    <w:p>
      <w:pPr>
        <w:numPr>
          <w:ilvl w:val="0"/>
          <w:numId w:val="18"/>
        </w:numPr>
        <w:spacing w:line="360" w:lineRule="auto"/>
        <w:rPr>
          <w:rFonts w:hint="eastAsia" w:ascii="宋体" w:hAnsi="宋体"/>
          <w:szCs w:val="21"/>
        </w:rPr>
      </w:pPr>
      <w:r>
        <w:rPr>
          <w:rFonts w:hint="eastAsia" w:ascii="宋体" w:hAnsi="宋体"/>
          <w:szCs w:val="21"/>
        </w:rPr>
        <w:t>前处理电泳部分：包括各槽体、壁板、通道、各类喷嘴、接油盘、输送系统，和各个配套间的设备、地面和墙面等的清洁和以及过滤袋更换；</w:t>
      </w:r>
    </w:p>
    <w:p>
      <w:pPr>
        <w:numPr>
          <w:ilvl w:val="0"/>
          <w:numId w:val="18"/>
        </w:numPr>
        <w:spacing w:line="360" w:lineRule="auto"/>
        <w:rPr>
          <w:rFonts w:hint="eastAsia" w:ascii="宋体" w:hAnsi="宋体"/>
          <w:szCs w:val="21"/>
        </w:rPr>
      </w:pPr>
      <w:r>
        <w:rPr>
          <w:rFonts w:hint="eastAsia" w:ascii="宋体" w:hAnsi="宋体"/>
          <w:szCs w:val="21"/>
        </w:rPr>
        <w:t>烘房系统：包含电泳烘炉、中涂烘炉、面漆烘炉、强冷室、三元体室、废气燃烧系统、管道等的清洁及过滤器、过滤棉等的更换；</w:t>
      </w:r>
    </w:p>
    <w:p>
      <w:pPr>
        <w:numPr>
          <w:ilvl w:val="0"/>
          <w:numId w:val="18"/>
        </w:numPr>
        <w:spacing w:line="360" w:lineRule="auto"/>
        <w:rPr>
          <w:rFonts w:ascii="宋体" w:hAnsi="宋体"/>
          <w:szCs w:val="21"/>
        </w:rPr>
      </w:pPr>
      <w:r>
        <w:rPr>
          <w:rFonts w:hint="eastAsia" w:ascii="宋体" w:hAnsi="宋体"/>
          <w:szCs w:val="21"/>
        </w:rPr>
        <w:t xml:space="preserve">喷漆室系统：包括各喷漆室内外表面、喷漆室内的格栅、喷漆室内输送链段、擦净室、流平室、动/静压室、隔膜泵、喷枪、喷管、照明设备、消防管道表面、电机、换热器及结构架的清洁，和过滤袋、过滤器、过滤棉等的更换，循环水池清理（含设备外表面和漆渣），以及机器人喷漆系统的一般清洁维护，另喷漆室、流平室墙壁需要用静电防尘涂料刷涂（涂料供方提供）；             </w:t>
      </w:r>
    </w:p>
    <w:p>
      <w:pPr>
        <w:numPr>
          <w:ilvl w:val="0"/>
          <w:numId w:val="18"/>
        </w:numPr>
        <w:spacing w:line="360" w:lineRule="auto"/>
        <w:rPr>
          <w:rFonts w:hint="eastAsia" w:ascii="宋体" w:hAnsi="宋体"/>
          <w:szCs w:val="21"/>
        </w:rPr>
      </w:pPr>
      <w:r>
        <w:rPr>
          <w:rFonts w:hint="eastAsia" w:ascii="宋体" w:hAnsi="宋体"/>
          <w:szCs w:val="21"/>
        </w:rPr>
        <w:t>空调机组、排风道、风机房：包括所有空调机组系统的清洁以及过滤材料更换、排风管道系统、送风管道系统、风机房以及相应管道等的清洁；</w:t>
      </w:r>
    </w:p>
    <w:p>
      <w:pPr>
        <w:numPr>
          <w:ilvl w:val="0"/>
          <w:numId w:val="18"/>
        </w:numPr>
        <w:spacing w:line="360" w:lineRule="auto"/>
        <w:rPr>
          <w:rFonts w:hint="eastAsia" w:ascii="宋体" w:hAnsi="宋体"/>
          <w:szCs w:val="21"/>
        </w:rPr>
      </w:pPr>
      <w:r>
        <w:rPr>
          <w:rFonts w:hint="eastAsia" w:ascii="宋体" w:hAnsi="宋体"/>
          <w:szCs w:val="21"/>
        </w:rPr>
        <w:t>废弃物的清理：包括如漆渣打捞转运，前处理、电泳废弃物、工位垃圾、油漆废弃桶、密封胶桶的转运，以及危废处理站废弃物转运上车（需方须提供叉车支持）；</w:t>
      </w:r>
    </w:p>
    <w:p>
      <w:pPr>
        <w:numPr>
          <w:ilvl w:val="0"/>
          <w:numId w:val="18"/>
        </w:numPr>
        <w:spacing w:line="360" w:lineRule="auto"/>
        <w:rPr>
          <w:rFonts w:hint="eastAsia" w:ascii="宋体" w:hAnsi="宋体"/>
          <w:szCs w:val="21"/>
        </w:rPr>
      </w:pPr>
      <w:r>
        <w:rPr>
          <w:rFonts w:hint="eastAsia" w:ascii="宋体" w:hAnsi="宋体"/>
          <w:szCs w:val="21"/>
        </w:rPr>
        <w:t>一般场所清洁：打磨擦净区域、注胶区域、钣金修复区域、点补区域、精饰区域的室体内外壁面、玻璃、灯管（罩）、格栅、管道、地板等的清洁；</w:t>
      </w:r>
    </w:p>
    <w:p>
      <w:pPr>
        <w:numPr>
          <w:ilvl w:val="0"/>
          <w:numId w:val="18"/>
        </w:numPr>
        <w:spacing w:line="360" w:lineRule="auto"/>
        <w:rPr>
          <w:rFonts w:hint="eastAsia" w:ascii="宋体" w:hAnsi="宋体"/>
          <w:szCs w:val="21"/>
        </w:rPr>
      </w:pPr>
      <w:r>
        <w:rPr>
          <w:rFonts w:hint="eastAsia" w:ascii="宋体" w:hAnsi="宋体"/>
          <w:szCs w:val="21"/>
        </w:rPr>
        <w:t>输送系统：包括滑撬、输送链轨道、链条、框架、升降机、防护装置、吊具、前处理抱具、抱具定位销及支撑点、移行机、全线接油盘的清洁；</w:t>
      </w:r>
    </w:p>
    <w:p>
      <w:pPr>
        <w:numPr>
          <w:ilvl w:val="0"/>
          <w:numId w:val="18"/>
        </w:numPr>
        <w:spacing w:line="360" w:lineRule="auto"/>
        <w:rPr>
          <w:rFonts w:hint="eastAsia" w:ascii="宋体" w:hAnsi="宋体"/>
          <w:szCs w:val="21"/>
        </w:rPr>
      </w:pPr>
      <w:r>
        <w:rPr>
          <w:rFonts w:hint="eastAsia" w:ascii="宋体" w:hAnsi="宋体"/>
          <w:szCs w:val="21"/>
        </w:rPr>
        <w:t>整个车间照明系统和整个车间控制系统一般清洁维护；</w:t>
      </w:r>
    </w:p>
    <w:p>
      <w:pPr>
        <w:numPr>
          <w:ilvl w:val="0"/>
          <w:numId w:val="18"/>
        </w:numPr>
        <w:spacing w:line="360" w:lineRule="auto"/>
        <w:rPr>
          <w:rFonts w:hint="eastAsia" w:ascii="宋体" w:hAnsi="宋体"/>
          <w:szCs w:val="21"/>
        </w:rPr>
      </w:pPr>
      <w:r>
        <w:rPr>
          <w:rFonts w:hint="eastAsia" w:ascii="宋体" w:hAnsi="宋体"/>
          <w:szCs w:val="21"/>
        </w:rPr>
        <w:t>车间内所有厕所及办公区域的清洁（卫生球及清洗剂由供方提供）</w:t>
      </w:r>
    </w:p>
    <w:p>
      <w:pPr>
        <w:numPr>
          <w:ilvl w:val="0"/>
          <w:numId w:val="18"/>
        </w:numPr>
        <w:spacing w:line="360" w:lineRule="auto"/>
        <w:rPr>
          <w:rFonts w:hint="eastAsia" w:ascii="宋体" w:hAnsi="宋体"/>
          <w:szCs w:val="21"/>
        </w:rPr>
      </w:pPr>
      <w:r>
        <w:rPr>
          <w:rFonts w:hint="eastAsia" w:ascii="宋体" w:hAnsi="宋体"/>
          <w:szCs w:val="21"/>
        </w:rPr>
        <w:t>静电服清洗(含修补及发放，并需要有发放记录)，车间人员出入记录及门卫管理；</w:t>
      </w:r>
    </w:p>
    <w:p>
      <w:pPr>
        <w:numPr>
          <w:ilvl w:val="0"/>
          <w:numId w:val="18"/>
        </w:numPr>
        <w:spacing w:line="360" w:lineRule="auto"/>
        <w:rPr>
          <w:rFonts w:hint="eastAsia" w:ascii="宋体" w:hAnsi="宋体"/>
          <w:szCs w:val="21"/>
        </w:rPr>
      </w:pPr>
      <w:r>
        <w:rPr>
          <w:rFonts w:hint="eastAsia" w:ascii="宋体" w:hAnsi="宋体"/>
          <w:szCs w:val="21"/>
        </w:rPr>
        <w:t>改造、扩建生产线的施工废物和施工生产的污染物清理等；</w:t>
      </w:r>
    </w:p>
    <w:p>
      <w:pPr>
        <w:numPr>
          <w:ilvl w:val="0"/>
          <w:numId w:val="18"/>
        </w:numPr>
        <w:spacing w:line="360" w:lineRule="auto"/>
        <w:rPr>
          <w:rFonts w:hint="eastAsia" w:ascii="宋体" w:hAnsi="宋体"/>
          <w:szCs w:val="21"/>
        </w:rPr>
      </w:pPr>
      <w:r>
        <w:rPr>
          <w:rFonts w:hint="eastAsia" w:ascii="宋体" w:hAnsi="宋体"/>
          <w:szCs w:val="21"/>
        </w:rPr>
        <w:t>生产情况下每日提供PDAP分析以及颗粒分析报告（所用设备由供方提供）；</w:t>
      </w:r>
    </w:p>
    <w:p>
      <w:pPr>
        <w:numPr>
          <w:ilvl w:val="0"/>
          <w:numId w:val="18"/>
        </w:numPr>
        <w:spacing w:line="360" w:lineRule="auto"/>
        <w:rPr>
          <w:rFonts w:hint="eastAsia" w:ascii="宋体" w:hAnsi="宋体"/>
          <w:color w:val="FF0000"/>
          <w:szCs w:val="21"/>
        </w:rPr>
      </w:pPr>
      <w:r>
        <w:rPr>
          <w:rFonts w:hint="eastAsia" w:ascii="宋体" w:hAnsi="宋体"/>
          <w:szCs w:val="21"/>
        </w:rPr>
        <w:t>深度保洁频次：车身部涂装车间深度保洁的频次为每年一次（含</w:t>
      </w:r>
      <w:r>
        <w:rPr>
          <w:rFonts w:hint="eastAsia" w:ascii="Arial" w:hAnsi="Arial" w:cs="Arial"/>
          <w:bCs/>
          <w:szCs w:val="21"/>
        </w:rPr>
        <w:t>脱漆剂等费用</w:t>
      </w:r>
      <w:r>
        <w:rPr>
          <w:rFonts w:hint="eastAsia" w:ascii="宋体" w:hAnsi="宋体"/>
          <w:szCs w:val="21"/>
        </w:rPr>
        <w:t>），在停产时进行，主是五一、高温假、十一、春节期间，根据污染情况具体选择时间。</w:t>
      </w:r>
    </w:p>
    <w:p>
      <w:pPr>
        <w:numPr>
          <w:ilvl w:val="0"/>
          <w:numId w:val="16"/>
        </w:numPr>
        <w:spacing w:line="360" w:lineRule="auto"/>
        <w:rPr>
          <w:rFonts w:hint="eastAsia" w:ascii="宋体" w:hAnsi="宋体"/>
          <w:b/>
          <w:szCs w:val="21"/>
        </w:rPr>
      </w:pPr>
      <w:r>
        <w:rPr>
          <w:rFonts w:hint="eastAsia" w:ascii="宋体" w:hAnsi="宋体"/>
          <w:b/>
          <w:szCs w:val="21"/>
        </w:rPr>
        <w:t>保洁服务对象的界定</w:t>
      </w:r>
    </w:p>
    <w:p>
      <w:pPr>
        <w:spacing w:line="360" w:lineRule="auto"/>
        <w:ind w:firstLine="525" w:firstLineChars="250"/>
        <w:rPr>
          <w:rFonts w:hint="eastAsia" w:ascii="宋体" w:hAnsi="宋体"/>
          <w:szCs w:val="21"/>
        </w:rPr>
      </w:pPr>
      <w:r>
        <w:rPr>
          <w:rFonts w:hint="eastAsia" w:ascii="宋体" w:hAnsi="宋体"/>
          <w:szCs w:val="21"/>
        </w:rPr>
        <w:t>涉及到涂装车间的设施、设备，专业保洁应遵循以下原则：</w:t>
      </w:r>
    </w:p>
    <w:p>
      <w:pPr>
        <w:numPr>
          <w:ilvl w:val="0"/>
          <w:numId w:val="19"/>
        </w:numPr>
        <w:spacing w:line="360" w:lineRule="auto"/>
        <w:rPr>
          <w:rFonts w:hint="eastAsia" w:ascii="宋体" w:hAnsi="宋体"/>
          <w:szCs w:val="21"/>
        </w:rPr>
      </w:pPr>
      <w:r>
        <w:rPr>
          <w:rFonts w:hint="eastAsia" w:ascii="宋体" w:hAnsi="宋体"/>
          <w:szCs w:val="21"/>
        </w:rPr>
        <w:t>设备外表面的清洁，设备检修后的污染物；</w:t>
      </w:r>
    </w:p>
    <w:p>
      <w:pPr>
        <w:numPr>
          <w:ilvl w:val="0"/>
          <w:numId w:val="19"/>
        </w:numPr>
        <w:spacing w:line="360" w:lineRule="auto"/>
        <w:rPr>
          <w:rFonts w:hint="eastAsia" w:ascii="宋体" w:hAnsi="宋体"/>
          <w:szCs w:val="21"/>
        </w:rPr>
      </w:pPr>
      <w:r>
        <w:rPr>
          <w:rFonts w:hint="eastAsia" w:ascii="宋体" w:hAnsi="宋体"/>
          <w:szCs w:val="21"/>
        </w:rPr>
        <w:t>电器设备、控制柜只作外表面不深入内部；</w:t>
      </w:r>
    </w:p>
    <w:p>
      <w:pPr>
        <w:numPr>
          <w:ilvl w:val="0"/>
          <w:numId w:val="19"/>
        </w:numPr>
        <w:spacing w:line="360" w:lineRule="auto"/>
        <w:rPr>
          <w:rFonts w:hint="eastAsia" w:ascii="宋体" w:hAnsi="宋体"/>
          <w:szCs w:val="21"/>
        </w:rPr>
      </w:pPr>
      <w:r>
        <w:rPr>
          <w:rFonts w:hint="eastAsia" w:ascii="宋体" w:hAnsi="宋体"/>
          <w:szCs w:val="21"/>
        </w:rPr>
        <w:t>清洁设备时需关闭电源才能进行保洁；</w:t>
      </w:r>
    </w:p>
    <w:p>
      <w:pPr>
        <w:spacing w:line="360" w:lineRule="auto"/>
        <w:ind w:left="284"/>
        <w:rPr>
          <w:rFonts w:hint="eastAsia" w:ascii="宋体" w:hAnsi="宋体"/>
          <w:szCs w:val="21"/>
        </w:rPr>
      </w:pPr>
      <w:r>
        <w:rPr>
          <w:rFonts w:hint="eastAsia" w:ascii="宋体" w:hAnsi="宋体"/>
          <w:szCs w:val="21"/>
        </w:rPr>
        <w:t>（4）工艺设备只清洁不调试，如在清洁过程中对其有所影响，则需通知需方进行处理</w:t>
      </w:r>
    </w:p>
    <w:p>
      <w:pPr>
        <w:spacing w:line="360" w:lineRule="auto"/>
        <w:ind w:left="284"/>
        <w:rPr>
          <w:rFonts w:hint="eastAsia" w:ascii="宋体" w:hAnsi="宋体"/>
          <w:szCs w:val="21"/>
        </w:rPr>
      </w:pPr>
      <w:r>
        <w:rPr>
          <w:rFonts w:hint="eastAsia" w:ascii="宋体" w:hAnsi="宋体"/>
          <w:szCs w:val="21"/>
        </w:rPr>
        <w:t>和跟踪。</w:t>
      </w:r>
    </w:p>
    <w:p>
      <w:pPr>
        <w:numPr>
          <w:ilvl w:val="0"/>
          <w:numId w:val="20"/>
        </w:numPr>
        <w:rPr>
          <w:rFonts w:hint="eastAsia" w:ascii="Arial" w:hAnsi="Arial" w:cs="Arial"/>
          <w:b/>
        </w:rPr>
      </w:pPr>
      <w:r>
        <w:rPr>
          <w:rFonts w:hint="eastAsia" w:ascii="Arial" w:hAnsi="Arial" w:cs="Arial"/>
          <w:b/>
        </w:rPr>
        <w:t>服务标准</w:t>
      </w:r>
    </w:p>
    <w:p>
      <w:pPr>
        <w:rPr>
          <w:rFonts w:hint="eastAsia" w:ascii="Arial" w:hAnsi="Arial" w:cs="Arial"/>
          <w:b/>
        </w:rPr>
      </w:pPr>
      <w:r>
        <w:rPr>
          <w:rFonts w:hint="eastAsia" w:ascii="Arial" w:hAnsi="Arial" w:cs="Arial"/>
          <w:b/>
        </w:rPr>
        <w:t>1、双福工厂车身部涂装车间</w:t>
      </w:r>
    </w:p>
    <w:p>
      <w:pPr>
        <w:rPr>
          <w:rFonts w:ascii="Arial" w:hAnsi="Arial" w:cs="Arial"/>
          <w:b/>
        </w:rPr>
      </w:pPr>
      <w:r>
        <w:rPr>
          <w:rFonts w:hint="eastAsia" w:ascii="Arial" w:hAnsi="Arial" w:cs="Arial"/>
          <w:b/>
        </w:rPr>
        <w:t>（1）、日常保洁</w:t>
      </w:r>
    </w:p>
    <w:tbl>
      <w:tblPr>
        <w:tblStyle w:val="36"/>
        <w:tblW w:w="8746" w:type="dxa"/>
        <w:tblInd w:w="93" w:type="dxa"/>
        <w:tblLayout w:type="autofit"/>
        <w:tblCellMar>
          <w:top w:w="0" w:type="dxa"/>
          <w:left w:w="108" w:type="dxa"/>
          <w:bottom w:w="0" w:type="dxa"/>
          <w:right w:w="108" w:type="dxa"/>
        </w:tblCellMar>
      </w:tblPr>
      <w:tblGrid>
        <w:gridCol w:w="1080"/>
        <w:gridCol w:w="5314"/>
        <w:gridCol w:w="416"/>
        <w:gridCol w:w="416"/>
        <w:gridCol w:w="416"/>
        <w:gridCol w:w="1104"/>
      </w:tblGrid>
      <w:tr>
        <w:tblPrEx>
          <w:tblCellMar>
            <w:top w:w="0" w:type="dxa"/>
            <w:left w:w="108" w:type="dxa"/>
            <w:bottom w:w="0" w:type="dxa"/>
            <w:right w:w="108" w:type="dxa"/>
          </w:tblCellMar>
        </w:tblPrEx>
        <w:trPr>
          <w:trHeight w:val="480" w:hRule="atLeast"/>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区域</w:t>
            </w:r>
          </w:p>
        </w:tc>
        <w:tc>
          <w:tcPr>
            <w:tcW w:w="531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内容</w:t>
            </w:r>
          </w:p>
        </w:tc>
        <w:tc>
          <w:tcPr>
            <w:tcW w:w="1248"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质量要求</w:t>
            </w:r>
          </w:p>
        </w:tc>
        <w:tc>
          <w:tcPr>
            <w:tcW w:w="110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频次</w:t>
            </w:r>
          </w:p>
        </w:tc>
      </w:tr>
      <w:tr>
        <w:tblPrEx>
          <w:tblCellMar>
            <w:top w:w="0" w:type="dxa"/>
            <w:left w:w="108" w:type="dxa"/>
            <w:bottom w:w="0" w:type="dxa"/>
            <w:right w:w="108" w:type="dxa"/>
          </w:tblCellMar>
        </w:tblPrEx>
        <w:trPr>
          <w:trHeight w:val="435" w:hRule="atLeast"/>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A</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B</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C</w:t>
            </w: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技术支持</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PDAP颗粒分析（PDAP分析设备由供方提供）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PDAP空气颗粒计数（颗粒计数仪由供方提供）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right w:val="single" w:color="auto" w:sz="4" w:space="0"/>
            </w:tcBorders>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公共区域</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静电服清洗及缝补（缝纫机、静电服拉链由供方提供）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循环返修车清洁（需有清洁记录）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2次/周</w:t>
            </w:r>
          </w:p>
        </w:tc>
      </w:tr>
      <w:tr>
        <w:tblPrEx>
          <w:tblCellMar>
            <w:top w:w="0" w:type="dxa"/>
            <w:left w:w="108" w:type="dxa"/>
            <w:bottom w:w="0" w:type="dxa"/>
            <w:right w:w="108" w:type="dxa"/>
          </w:tblCellMar>
        </w:tblPrEx>
        <w:trPr>
          <w:trHeight w:val="480"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涂装车间内地坑清洁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1次/2月</w:t>
            </w:r>
          </w:p>
        </w:tc>
      </w:tr>
      <w:tr>
        <w:tblPrEx>
          <w:tblCellMar>
            <w:top w:w="0" w:type="dxa"/>
            <w:left w:w="108" w:type="dxa"/>
            <w:bottom w:w="0" w:type="dxa"/>
            <w:right w:w="108" w:type="dxa"/>
          </w:tblCellMar>
        </w:tblPrEx>
        <w:trPr>
          <w:trHeight w:val="480" w:hRule="atLeast"/>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滑撬清洗（清洗防护装备由供方提供）（需有清洁记录）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随时</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预处理区域</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抱具定位销及支撑点清洁（需有清洁记录）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更换预处理过滤袋（需有清洁记录）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按频次清洗预处理各个槽体及护栏、内壁等</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1次/2周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接油盘除油清洁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工装清洗及转运（清洗药剂由供方提供）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漆渣焊渣打捞及转运上车</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吊具平台上铺薄膜（薄膜由供方提供）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1次/6月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阳极箱清洗</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各类喷嘴及喷淋管道系统清洗（需有清洁记录）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各类喷嘴疏通（需有清洁记录）</w:t>
            </w:r>
          </w:p>
        </w:tc>
        <w:tc>
          <w:tcPr>
            <w:tcW w:w="41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p>
        </w:tc>
        <w:tc>
          <w:tcPr>
            <w:tcW w:w="41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p>
        </w:tc>
        <w:tc>
          <w:tcPr>
            <w:tcW w:w="1104"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随时</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室体内外壁板、玻璃门窗及结构架、灯箱等</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工位格栅下水盒清洁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各类水洗槽倒槽清洗</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锆化槽倒槽清洗</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电泳槽及备用槽倒槽清洗</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磁棒打捞铁屑及清洁（需有清洁记录）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预处理废漆桶及废溶剂桶转运</w:t>
            </w:r>
          </w:p>
        </w:tc>
        <w:tc>
          <w:tcPr>
            <w:tcW w:w="416" w:type="dxa"/>
            <w:tcBorders>
              <w:top w:val="nil"/>
              <w:left w:val="nil"/>
              <w:bottom w:val="single" w:color="auto" w:sz="4" w:space="0"/>
              <w:right w:val="single" w:color="auto" w:sz="4" w:space="0"/>
            </w:tcBorders>
            <w:noWrap/>
            <w:vAlign w:val="center"/>
          </w:tcPr>
          <w:p>
            <w:pPr>
              <w:widowControl/>
              <w:rPr>
                <w:rFonts w:hint="eastAsia" w:ascii="宋体" w:hAnsi="宋体" w:cs="宋体"/>
                <w:kern w:val="0"/>
                <w:sz w:val="20"/>
                <w:szCs w:val="20"/>
              </w:rPr>
            </w:pPr>
          </w:p>
        </w:tc>
        <w:tc>
          <w:tcPr>
            <w:tcW w:w="41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p>
        </w:tc>
        <w:tc>
          <w:tcPr>
            <w:tcW w:w="1104"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电泳烘房系统及设备清洁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密封胶区域</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密封胶、裙边胶废桶及废胶清理转运</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机运上下清洁及更换薄膜（薄膜由供方提供）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各设备清洁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钢结构架及胶管清洁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中面涂区域</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喷漆室体外表面清洁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喷漆室体壁板刷油漆隔离剂（油漆隔离剂由供方提供）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喷漆室所有管道（漆管、消防管道等）清洁并用薄膜包裹</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喷漆室淌水板污漆清洁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动/静压室（需有清洁记录）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循环水池漆渣打捞及刮渣机接渣并转运</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机器人一般清洁维护及衣服更换清洗及缝补（缝纫机由供方提供）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喷漆室流平室每日洒水</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格栅除漆清洗及更换转运（脱漆剂由供方提供）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调漆间设备、地面及涂料仓库清洁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室体内外壁板、玻璃门窗及结构架、灯箱等</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中面漆喷房漆水分离室污漆清洁（需有清洁记录）</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调漆间罐体及漆桶外表面清洁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调漆间过滤器更换</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调漆间废漆桶及废溶剂桶转运</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中面漆区域轨道清洁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中面涂烘房及动静压室过滤器、过滤棉更换</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中面漆所有设备表面清洁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输调漆系统管道清洁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流平室玻璃、壁板、机运及地面清洁，更换薄膜（薄膜由供方提供）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中面涂烘房系统及周边设备清洁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精饰小修</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各室体内工位、玻璃、壁板、管路等清洁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各室体内下水盒清洁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各室体灯箱、结构架及滚床清洁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小修废溶剂转运到调漆间</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其他</w:t>
            </w: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11米平台壁板、控制柜等周边设备清洁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三楼空调清洁及过滤器更换</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三楼墙面、周边设备和地面清洁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1次/周</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风淋室内清洁及过滤器更换</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涂装工程部内卫生间清洁及各辅料房、大厅清洁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各工位垃圾清理及转运至垃圾场（垃圾桶、垃圾袋由供方提供）</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机器人衣服，静电服，手套，鞋套，蓝色小方帕等织物清洗（洗衣设备由供方提供，并自行负责安装）</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各工位下底棉、活性碳板更换</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1次/3月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三楼空调积水处理</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焊装到涂装通廊通道</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涂装工程部外二楼办公区域清洁</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1次/天</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涂装到总装通廊通道</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1次/月</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single" w:color="auto" w:sz="4" w:space="0"/>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危废处理站固废品装车</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nil"/>
              <w:right w:val="single" w:color="auto" w:sz="4" w:space="0"/>
            </w:tcBorders>
            <w:noWrap w:val="0"/>
            <w:vAlign w:val="center"/>
          </w:tcPr>
          <w:p>
            <w:pPr>
              <w:widowControl/>
              <w:jc w:val="left"/>
              <w:rPr>
                <w:rFonts w:ascii="宋体" w:hAnsi="宋体" w:cs="宋体"/>
                <w:color w:val="000000"/>
                <w:kern w:val="0"/>
                <w:sz w:val="20"/>
                <w:szCs w:val="20"/>
              </w:rPr>
            </w:pPr>
          </w:p>
        </w:tc>
        <w:tc>
          <w:tcPr>
            <w:tcW w:w="5314" w:type="dxa"/>
            <w:tcBorders>
              <w:top w:val="nil"/>
              <w:left w:val="nil"/>
              <w:bottom w:val="nil"/>
              <w:right w:val="single" w:color="auto" w:sz="4" w:space="0"/>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污水处理站捞漆渣</w:t>
            </w:r>
          </w:p>
        </w:tc>
        <w:tc>
          <w:tcPr>
            <w:tcW w:w="416" w:type="dxa"/>
            <w:tcBorders>
              <w:top w:val="nil"/>
              <w:left w:val="nil"/>
              <w:bottom w:val="nil"/>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nil"/>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16" w:type="dxa"/>
            <w:tcBorders>
              <w:top w:val="nil"/>
              <w:left w:val="nil"/>
              <w:bottom w:val="nil"/>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1104" w:type="dxa"/>
            <w:tcBorders>
              <w:top w:val="nil"/>
              <w:left w:val="nil"/>
              <w:bottom w:val="nil"/>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按需要</w:t>
            </w:r>
          </w:p>
        </w:tc>
      </w:tr>
      <w:tr>
        <w:tblPrEx>
          <w:tblCellMar>
            <w:top w:w="0" w:type="dxa"/>
            <w:left w:w="108" w:type="dxa"/>
            <w:bottom w:w="0" w:type="dxa"/>
            <w:right w:w="108" w:type="dxa"/>
          </w:tblCellMar>
        </w:tblPrEx>
        <w:trPr>
          <w:trHeight w:val="480" w:hRule="atLeast"/>
        </w:trPr>
        <w:tc>
          <w:tcPr>
            <w:tcW w:w="8746" w:type="dxa"/>
            <w:gridSpan w:val="6"/>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rPr>
          <w:rFonts w:hint="eastAsia" w:ascii="Arial" w:hAnsi="Arial" w:cs="Arial"/>
          <w:b/>
        </w:rPr>
      </w:pPr>
    </w:p>
    <w:p>
      <w:pPr>
        <w:rPr>
          <w:rFonts w:hint="eastAsia" w:ascii="Arial" w:hAnsi="Arial" w:cs="Arial"/>
          <w:b/>
        </w:rPr>
      </w:pPr>
    </w:p>
    <w:p>
      <w:pPr>
        <w:rPr>
          <w:rFonts w:hint="eastAsia" w:ascii="Arial" w:hAnsi="Arial" w:cs="Arial"/>
          <w:b/>
        </w:rPr>
      </w:pPr>
      <w:r>
        <w:rPr>
          <w:rFonts w:hint="eastAsia" w:ascii="Arial" w:hAnsi="Arial" w:cs="Arial"/>
          <w:b/>
        </w:rPr>
        <w:t>2、深度保洁</w:t>
      </w:r>
    </w:p>
    <w:tbl>
      <w:tblPr>
        <w:tblStyle w:val="3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2"/>
        <w:gridCol w:w="32"/>
        <w:gridCol w:w="3773"/>
        <w:gridCol w:w="2888"/>
        <w:gridCol w:w="540"/>
        <w:gridCol w:w="540"/>
        <w:gridCol w:w="5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9" w:hRule="atLeast"/>
          <w:jc w:val="center"/>
        </w:trPr>
        <w:tc>
          <w:tcPr>
            <w:tcW w:w="714" w:type="dxa"/>
            <w:gridSpan w:val="2"/>
            <w:vMerge w:val="restart"/>
            <w:noWrap w:val="0"/>
            <w:vAlign w:val="center"/>
          </w:tcPr>
          <w:p>
            <w:pPr>
              <w:jc w:val="center"/>
              <w:rPr>
                <w:rFonts w:hint="eastAsia" w:ascii="宋体" w:hAnsi="宋体"/>
                <w:szCs w:val="21"/>
              </w:rPr>
            </w:pPr>
            <w:r>
              <w:rPr>
                <w:rFonts w:hint="eastAsia" w:ascii="宋体" w:hAnsi="宋体"/>
                <w:szCs w:val="21"/>
              </w:rPr>
              <w:t>序号</w:t>
            </w:r>
          </w:p>
        </w:tc>
        <w:tc>
          <w:tcPr>
            <w:tcW w:w="3773" w:type="dxa"/>
            <w:vMerge w:val="restart"/>
            <w:noWrap w:val="0"/>
            <w:vAlign w:val="center"/>
          </w:tcPr>
          <w:p>
            <w:pPr>
              <w:jc w:val="center"/>
              <w:rPr>
                <w:rFonts w:hint="eastAsia" w:ascii="宋体" w:hAnsi="宋体"/>
                <w:szCs w:val="21"/>
              </w:rPr>
            </w:pPr>
            <w:r>
              <w:rPr>
                <w:rFonts w:hint="eastAsia" w:ascii="宋体" w:hAnsi="宋体"/>
                <w:szCs w:val="21"/>
              </w:rPr>
              <w:t>清 洁 范 围</w:t>
            </w:r>
          </w:p>
        </w:tc>
        <w:tc>
          <w:tcPr>
            <w:tcW w:w="2888" w:type="dxa"/>
            <w:vMerge w:val="restart"/>
            <w:noWrap w:val="0"/>
            <w:vAlign w:val="center"/>
          </w:tcPr>
          <w:p>
            <w:pPr>
              <w:jc w:val="center"/>
              <w:rPr>
                <w:rFonts w:hint="eastAsia" w:ascii="宋体" w:hAnsi="宋体"/>
                <w:szCs w:val="21"/>
              </w:rPr>
            </w:pPr>
            <w:r>
              <w:rPr>
                <w:rFonts w:hint="eastAsia" w:ascii="宋体" w:hAnsi="宋体"/>
                <w:szCs w:val="21"/>
              </w:rPr>
              <w:t>清 洁 对 象</w:t>
            </w:r>
          </w:p>
        </w:tc>
        <w:tc>
          <w:tcPr>
            <w:tcW w:w="1641" w:type="dxa"/>
            <w:gridSpan w:val="3"/>
            <w:noWrap w:val="0"/>
            <w:vAlign w:val="top"/>
          </w:tcPr>
          <w:p>
            <w:pPr>
              <w:jc w:val="center"/>
              <w:rPr>
                <w:rFonts w:hint="eastAsia" w:ascii="宋体" w:hAnsi="宋体"/>
                <w:szCs w:val="21"/>
              </w:rPr>
            </w:pPr>
            <w:r>
              <w:rPr>
                <w:rFonts w:hint="eastAsia" w:ascii="宋体" w:hAnsi="宋体"/>
                <w:szCs w:val="21"/>
              </w:rPr>
              <w:t>质 量 要 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jc w:val="center"/>
        </w:trPr>
        <w:tc>
          <w:tcPr>
            <w:tcW w:w="714" w:type="dxa"/>
            <w:gridSpan w:val="2"/>
            <w:vMerge w:val="continue"/>
            <w:noWrap w:val="0"/>
            <w:vAlign w:val="center"/>
          </w:tcPr>
          <w:p>
            <w:pPr>
              <w:ind w:left="-2" w:leftChars="-137" w:hanging="286" w:hangingChars="136"/>
              <w:jc w:val="center"/>
              <w:rPr>
                <w:rFonts w:hint="eastAsia" w:ascii="宋体" w:hAnsi="宋体"/>
                <w:b/>
                <w:szCs w:val="21"/>
              </w:rPr>
            </w:pPr>
          </w:p>
        </w:tc>
        <w:tc>
          <w:tcPr>
            <w:tcW w:w="3773" w:type="dxa"/>
            <w:vMerge w:val="continue"/>
            <w:noWrap w:val="0"/>
            <w:vAlign w:val="center"/>
          </w:tcPr>
          <w:p>
            <w:pPr>
              <w:rPr>
                <w:rFonts w:hint="eastAsia" w:ascii="宋体" w:hAnsi="宋体"/>
                <w:szCs w:val="21"/>
              </w:rPr>
            </w:pPr>
          </w:p>
        </w:tc>
        <w:tc>
          <w:tcPr>
            <w:tcW w:w="2888" w:type="dxa"/>
            <w:vMerge w:val="continue"/>
            <w:noWrap w:val="0"/>
            <w:vAlign w:val="center"/>
          </w:tcPr>
          <w:p>
            <w:pPr>
              <w:jc w:val="center"/>
              <w:rPr>
                <w:rFonts w:hint="eastAsia" w:ascii="宋体" w:hAnsi="宋体"/>
                <w:szCs w:val="21"/>
              </w:rPr>
            </w:pPr>
          </w:p>
        </w:tc>
        <w:tc>
          <w:tcPr>
            <w:tcW w:w="540" w:type="dxa"/>
            <w:tcBorders>
              <w:right w:val="single" w:color="auto" w:sz="4" w:space="0"/>
            </w:tcBorders>
            <w:noWrap w:val="0"/>
            <w:vAlign w:val="top"/>
          </w:tcPr>
          <w:p>
            <w:pPr>
              <w:jc w:val="center"/>
              <w:rPr>
                <w:rFonts w:hint="eastAsia" w:ascii="宋体" w:hAnsi="宋体"/>
                <w:szCs w:val="21"/>
              </w:rPr>
            </w:pPr>
            <w:r>
              <w:rPr>
                <w:rFonts w:hint="eastAsia" w:ascii="宋体" w:hAnsi="宋体"/>
                <w:szCs w:val="21"/>
              </w:rPr>
              <w:t>A</w:t>
            </w:r>
          </w:p>
        </w:tc>
        <w:tc>
          <w:tcPr>
            <w:tcW w:w="540" w:type="dxa"/>
            <w:tcBorders>
              <w:left w:val="single" w:color="auto" w:sz="4" w:space="0"/>
              <w:right w:val="single" w:color="auto" w:sz="4" w:space="0"/>
            </w:tcBorders>
            <w:noWrap w:val="0"/>
            <w:vAlign w:val="top"/>
          </w:tcPr>
          <w:p>
            <w:pPr>
              <w:jc w:val="center"/>
              <w:rPr>
                <w:rFonts w:hint="eastAsia" w:ascii="宋体" w:hAnsi="宋体"/>
                <w:szCs w:val="21"/>
              </w:rPr>
            </w:pPr>
            <w:r>
              <w:rPr>
                <w:rFonts w:hint="eastAsia" w:ascii="宋体" w:hAnsi="宋体"/>
                <w:szCs w:val="21"/>
              </w:rPr>
              <w:t>B</w:t>
            </w:r>
          </w:p>
        </w:tc>
        <w:tc>
          <w:tcPr>
            <w:tcW w:w="561" w:type="dxa"/>
            <w:tcBorders>
              <w:left w:val="single" w:color="auto" w:sz="4" w:space="0"/>
            </w:tcBorders>
            <w:noWrap w:val="0"/>
            <w:vAlign w:val="top"/>
          </w:tcPr>
          <w:p>
            <w:pPr>
              <w:jc w:val="center"/>
              <w:rPr>
                <w:rFonts w:hint="eastAsia" w:ascii="宋体" w:hAnsi="宋体"/>
                <w:szCs w:val="21"/>
              </w:rPr>
            </w:pPr>
            <w:r>
              <w:rPr>
                <w:rFonts w:hint="eastAsia" w:ascii="宋体" w:hAnsi="宋体"/>
                <w:szCs w:val="21"/>
              </w:rP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2" w:hRule="atLeast"/>
          <w:jc w:val="center"/>
        </w:trPr>
        <w:tc>
          <w:tcPr>
            <w:tcW w:w="714" w:type="dxa"/>
            <w:gridSpan w:val="2"/>
            <w:noWrap w:val="0"/>
            <w:vAlign w:val="center"/>
          </w:tcPr>
          <w:p>
            <w:pPr>
              <w:ind w:firstLine="210" w:firstLineChars="100"/>
              <w:rPr>
                <w:rFonts w:hint="eastAsia" w:ascii="宋体" w:hAnsi="宋体"/>
                <w:b/>
                <w:szCs w:val="21"/>
              </w:rPr>
            </w:pPr>
            <w:r>
              <w:rPr>
                <w:rFonts w:hint="eastAsia" w:ascii="宋体" w:hAnsi="宋体"/>
                <w:b/>
                <w:szCs w:val="21"/>
              </w:rPr>
              <w:t>一</w:t>
            </w:r>
          </w:p>
        </w:tc>
        <w:tc>
          <w:tcPr>
            <w:tcW w:w="8302" w:type="dxa"/>
            <w:gridSpan w:val="5"/>
            <w:noWrap w:val="0"/>
            <w:vAlign w:val="center"/>
          </w:tcPr>
          <w:p>
            <w:pPr>
              <w:rPr>
                <w:rFonts w:hint="eastAsia" w:ascii="宋体" w:hAnsi="宋体"/>
                <w:b/>
                <w:szCs w:val="21"/>
              </w:rPr>
            </w:pPr>
            <w:r>
              <w:rPr>
                <w:rFonts w:hint="eastAsia"/>
                <w:b/>
              </w:rPr>
              <w:t>厂房主体建筑及公用设施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714" w:type="dxa"/>
            <w:gridSpan w:val="2"/>
            <w:noWrap w:val="0"/>
            <w:vAlign w:val="center"/>
          </w:tcPr>
          <w:p>
            <w:pPr>
              <w:ind w:left="-3" w:leftChars="-137" w:hanging="285" w:hangingChars="136"/>
              <w:jc w:val="center"/>
              <w:rPr>
                <w:rFonts w:hint="eastAsia" w:ascii="宋体" w:hAnsi="宋体"/>
                <w:szCs w:val="21"/>
              </w:rPr>
            </w:pPr>
            <w:r>
              <w:rPr>
                <w:rFonts w:hint="eastAsia" w:ascii="宋体" w:hAnsi="宋体"/>
                <w:szCs w:val="21"/>
              </w:rPr>
              <w:t xml:space="preserve">   1</w:t>
            </w:r>
          </w:p>
        </w:tc>
        <w:tc>
          <w:tcPr>
            <w:tcW w:w="3773" w:type="dxa"/>
            <w:noWrap w:val="0"/>
            <w:vAlign w:val="center"/>
          </w:tcPr>
          <w:p>
            <w:pPr>
              <w:rPr>
                <w:rFonts w:hint="eastAsia" w:ascii="宋体" w:hAnsi="宋体"/>
                <w:szCs w:val="21"/>
              </w:rPr>
            </w:pPr>
            <w:r>
              <w:rPr>
                <w:rFonts w:hint="eastAsia" w:ascii="宋体" w:hAnsi="宋体"/>
                <w:szCs w:val="21"/>
              </w:rPr>
              <w:t>厂房内部各结构的顶棚、内墙、顶梁、构架、柱子、分厂屋顶、门窗</w:t>
            </w:r>
          </w:p>
        </w:tc>
        <w:tc>
          <w:tcPr>
            <w:tcW w:w="2888" w:type="dxa"/>
            <w:noWrap w:val="0"/>
            <w:vAlign w:val="center"/>
          </w:tcPr>
          <w:p>
            <w:pPr>
              <w:jc w:val="center"/>
              <w:rPr>
                <w:rFonts w:hint="eastAsia" w:ascii="宋体" w:hAnsi="宋体"/>
                <w:szCs w:val="21"/>
              </w:rPr>
            </w:pPr>
            <w:r>
              <w:rPr>
                <w:rFonts w:hint="eastAsia" w:ascii="宋体" w:hAnsi="宋体"/>
                <w:szCs w:val="21"/>
              </w:rPr>
              <w:t>表面上灰尘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2</w:t>
            </w:r>
          </w:p>
        </w:tc>
        <w:tc>
          <w:tcPr>
            <w:tcW w:w="3773" w:type="dxa"/>
            <w:noWrap w:val="0"/>
            <w:vAlign w:val="center"/>
          </w:tcPr>
          <w:p>
            <w:pPr>
              <w:rPr>
                <w:rFonts w:hint="eastAsia" w:ascii="宋体" w:hAnsi="宋体"/>
                <w:szCs w:val="21"/>
              </w:rPr>
            </w:pPr>
            <w:r>
              <w:rPr>
                <w:rFonts w:hint="eastAsia" w:ascii="宋体" w:hAnsi="宋体"/>
                <w:szCs w:val="21"/>
              </w:rPr>
              <w:t>焊装到涂装、涂装到总装吊具通道、墙壁、钢构及顶棚</w:t>
            </w:r>
          </w:p>
        </w:tc>
        <w:tc>
          <w:tcPr>
            <w:tcW w:w="2888" w:type="dxa"/>
            <w:noWrap w:val="0"/>
            <w:vAlign w:val="center"/>
          </w:tcPr>
          <w:p>
            <w:pPr>
              <w:jc w:val="center"/>
              <w:rPr>
                <w:rFonts w:hint="eastAsia" w:ascii="宋体" w:hAnsi="宋体"/>
                <w:szCs w:val="21"/>
              </w:rPr>
            </w:pPr>
            <w:r>
              <w:rPr>
                <w:rFonts w:hint="eastAsia" w:ascii="宋体" w:hAnsi="宋体"/>
                <w:szCs w:val="21"/>
              </w:rPr>
              <w:t>表面上灰尘</w:t>
            </w:r>
          </w:p>
        </w:tc>
        <w:tc>
          <w:tcPr>
            <w:tcW w:w="540" w:type="dxa"/>
            <w:tcBorders>
              <w:right w:val="single" w:color="auto" w:sz="4" w:space="0"/>
            </w:tcBorders>
            <w:noWrap w:val="0"/>
            <w:vAlign w:val="center"/>
          </w:tcPr>
          <w:p>
            <w:pPr>
              <w:jc w:val="center"/>
              <w:rPr>
                <w:rFonts w:hint="eastAsia" w:ascii="宋体" w:hAnsi="宋体"/>
                <w:i/>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3</w:t>
            </w:r>
          </w:p>
        </w:tc>
        <w:tc>
          <w:tcPr>
            <w:tcW w:w="3773" w:type="dxa"/>
            <w:noWrap w:val="0"/>
            <w:vAlign w:val="center"/>
          </w:tcPr>
          <w:p>
            <w:pPr>
              <w:rPr>
                <w:rFonts w:hint="eastAsia" w:ascii="宋体" w:hAnsi="宋体"/>
                <w:szCs w:val="21"/>
              </w:rPr>
            </w:pPr>
            <w:r>
              <w:rPr>
                <w:rFonts w:hint="eastAsia" w:ascii="宋体" w:hAnsi="宋体"/>
                <w:szCs w:val="21"/>
              </w:rPr>
              <w:t>各钢筋混凝平台、楼梯、扶手、栏杆</w:t>
            </w:r>
          </w:p>
        </w:tc>
        <w:tc>
          <w:tcPr>
            <w:tcW w:w="2888" w:type="dxa"/>
            <w:noWrap w:val="0"/>
            <w:vAlign w:val="center"/>
          </w:tcPr>
          <w:p>
            <w:pPr>
              <w:jc w:val="center"/>
              <w:rPr>
                <w:rFonts w:hint="eastAsia" w:ascii="宋体" w:hAnsi="宋体"/>
                <w:szCs w:val="21"/>
              </w:rPr>
            </w:pPr>
            <w:r>
              <w:rPr>
                <w:rFonts w:hint="eastAsia" w:ascii="宋体" w:hAnsi="宋体"/>
                <w:szCs w:val="21"/>
              </w:rPr>
              <w:t>表面上灰尘</w:t>
            </w:r>
          </w:p>
        </w:tc>
        <w:tc>
          <w:tcPr>
            <w:tcW w:w="540" w:type="dxa"/>
            <w:tcBorders>
              <w:right w:val="single" w:color="auto" w:sz="4" w:space="0"/>
            </w:tcBorders>
            <w:noWrap w:val="0"/>
            <w:vAlign w:val="center"/>
          </w:tcPr>
          <w:p>
            <w:pPr>
              <w:jc w:val="center"/>
              <w:rPr>
                <w:rFonts w:hint="eastAsia" w:ascii="宋体" w:hAnsi="宋体"/>
                <w:i/>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4</w:t>
            </w:r>
          </w:p>
        </w:tc>
        <w:tc>
          <w:tcPr>
            <w:tcW w:w="3773" w:type="dxa"/>
            <w:noWrap w:val="0"/>
            <w:vAlign w:val="center"/>
          </w:tcPr>
          <w:p>
            <w:pPr>
              <w:rPr>
                <w:rFonts w:hint="eastAsia" w:ascii="宋体" w:hAnsi="宋体"/>
                <w:szCs w:val="21"/>
              </w:rPr>
            </w:pPr>
            <w:r>
              <w:rPr>
                <w:rFonts w:hint="eastAsia" w:ascii="宋体" w:hAnsi="宋体"/>
                <w:szCs w:val="21"/>
              </w:rPr>
              <w:t>灯光设备、风扇、电缆、电机水泵（停止运转时）、各类输运管道外表面</w:t>
            </w:r>
          </w:p>
        </w:tc>
        <w:tc>
          <w:tcPr>
            <w:tcW w:w="2888" w:type="dxa"/>
            <w:noWrap w:val="0"/>
            <w:vAlign w:val="center"/>
          </w:tcPr>
          <w:p>
            <w:pPr>
              <w:jc w:val="center"/>
              <w:rPr>
                <w:rFonts w:hint="eastAsia" w:ascii="宋体" w:hAnsi="宋体"/>
                <w:szCs w:val="21"/>
              </w:rPr>
            </w:pPr>
            <w:r>
              <w:rPr>
                <w:rFonts w:hint="eastAsia" w:ascii="宋体" w:hAnsi="宋体"/>
                <w:szCs w:val="21"/>
              </w:rPr>
              <w:t>表面污垢与灰尘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i/>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 xml:space="preserve">5 </w:t>
            </w:r>
          </w:p>
        </w:tc>
        <w:tc>
          <w:tcPr>
            <w:tcW w:w="3773" w:type="dxa"/>
            <w:noWrap w:val="0"/>
            <w:vAlign w:val="center"/>
          </w:tcPr>
          <w:p>
            <w:pPr>
              <w:rPr>
                <w:rFonts w:hint="eastAsia" w:ascii="宋体" w:hAnsi="宋体"/>
                <w:szCs w:val="21"/>
              </w:rPr>
            </w:pPr>
            <w:r>
              <w:rPr>
                <w:rFonts w:hint="eastAsia" w:ascii="宋体" w:hAnsi="宋体"/>
                <w:szCs w:val="21"/>
              </w:rPr>
              <w:t>人可在内活动的通风管道</w:t>
            </w:r>
          </w:p>
        </w:tc>
        <w:tc>
          <w:tcPr>
            <w:tcW w:w="2888" w:type="dxa"/>
            <w:noWrap w:val="0"/>
            <w:vAlign w:val="center"/>
          </w:tcPr>
          <w:p>
            <w:pPr>
              <w:jc w:val="center"/>
              <w:rPr>
                <w:rFonts w:hint="eastAsia" w:ascii="宋体" w:hAnsi="宋体"/>
                <w:szCs w:val="21"/>
              </w:rPr>
            </w:pPr>
            <w:r>
              <w:rPr>
                <w:rFonts w:hint="eastAsia" w:ascii="宋体" w:hAnsi="宋体"/>
                <w:szCs w:val="21"/>
              </w:rPr>
              <w:t>内部灰尘</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6</w:t>
            </w:r>
          </w:p>
        </w:tc>
        <w:tc>
          <w:tcPr>
            <w:tcW w:w="3773" w:type="dxa"/>
            <w:noWrap w:val="0"/>
            <w:vAlign w:val="center"/>
          </w:tcPr>
          <w:p>
            <w:pPr>
              <w:rPr>
                <w:rFonts w:hint="eastAsia" w:ascii="宋体" w:hAnsi="宋体"/>
                <w:szCs w:val="21"/>
              </w:rPr>
            </w:pPr>
            <w:r>
              <w:rPr>
                <w:rFonts w:hint="eastAsia" w:ascii="宋体" w:hAnsi="宋体"/>
                <w:szCs w:val="21"/>
              </w:rPr>
              <w:t>涂装车间所有辅房及其内部设备、设施外表、地面、内墙等环境</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7</w:t>
            </w:r>
          </w:p>
        </w:tc>
        <w:tc>
          <w:tcPr>
            <w:tcW w:w="3773" w:type="dxa"/>
            <w:noWrap w:val="0"/>
            <w:vAlign w:val="center"/>
          </w:tcPr>
          <w:p>
            <w:pPr>
              <w:rPr>
                <w:rFonts w:hint="eastAsia" w:ascii="宋体" w:hAnsi="宋体"/>
                <w:szCs w:val="21"/>
              </w:rPr>
            </w:pPr>
            <w:r>
              <w:rPr>
                <w:rFonts w:hint="eastAsia" w:ascii="宋体" w:hAnsi="宋体"/>
                <w:szCs w:val="21"/>
              </w:rPr>
              <w:t>各种管路外表面</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8</w:t>
            </w:r>
          </w:p>
        </w:tc>
        <w:tc>
          <w:tcPr>
            <w:tcW w:w="3773" w:type="dxa"/>
            <w:noWrap w:val="0"/>
            <w:vAlign w:val="center"/>
          </w:tcPr>
          <w:p>
            <w:pPr>
              <w:rPr>
                <w:rFonts w:hint="eastAsia" w:ascii="宋体" w:hAnsi="宋体"/>
                <w:szCs w:val="21"/>
              </w:rPr>
            </w:pPr>
            <w:r>
              <w:rPr>
                <w:rFonts w:hint="eastAsia" w:ascii="宋体" w:hAnsi="宋体"/>
                <w:szCs w:val="21"/>
              </w:rPr>
              <w:t>消火栓、灭火器</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9</w:t>
            </w:r>
          </w:p>
        </w:tc>
        <w:tc>
          <w:tcPr>
            <w:tcW w:w="3773" w:type="dxa"/>
            <w:noWrap w:val="0"/>
            <w:vAlign w:val="center"/>
          </w:tcPr>
          <w:p>
            <w:pPr>
              <w:rPr>
                <w:rFonts w:hint="eastAsia" w:ascii="宋体" w:hAnsi="宋体"/>
                <w:szCs w:val="21"/>
              </w:rPr>
            </w:pPr>
            <w:r>
              <w:rPr>
                <w:rFonts w:hint="eastAsia" w:ascii="宋体" w:hAnsi="宋体"/>
                <w:szCs w:val="21"/>
              </w:rPr>
              <w:t>涂装车间的办公区域（含办公室、厕所、过道的地面、门窗、内墙等）</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10</w:t>
            </w:r>
          </w:p>
        </w:tc>
        <w:tc>
          <w:tcPr>
            <w:tcW w:w="3773" w:type="dxa"/>
            <w:noWrap w:val="0"/>
            <w:vAlign w:val="center"/>
          </w:tcPr>
          <w:p>
            <w:pPr>
              <w:rPr>
                <w:rFonts w:hint="eastAsia" w:ascii="宋体" w:hAnsi="宋体"/>
                <w:szCs w:val="21"/>
              </w:rPr>
            </w:pPr>
            <w:r>
              <w:rPr>
                <w:rFonts w:hint="eastAsia" w:ascii="宋体" w:hAnsi="宋体"/>
                <w:szCs w:val="21"/>
              </w:rPr>
              <w:t>涂装车间内所有裸露地面、平台、楼梯</w:t>
            </w:r>
          </w:p>
        </w:tc>
        <w:tc>
          <w:tcPr>
            <w:tcW w:w="2888" w:type="dxa"/>
            <w:noWrap w:val="0"/>
            <w:vAlign w:val="center"/>
          </w:tcPr>
          <w:p>
            <w:pPr>
              <w:jc w:val="center"/>
              <w:rPr>
                <w:rFonts w:hint="eastAsia" w:ascii="宋体" w:hAnsi="宋体"/>
                <w:szCs w:val="21"/>
              </w:rPr>
            </w:pPr>
            <w:r>
              <w:rPr>
                <w:rFonts w:hint="eastAsia" w:ascii="宋体" w:hAnsi="宋体"/>
                <w:szCs w:val="21"/>
              </w:rPr>
              <w:t>表面泥尘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11</w:t>
            </w:r>
          </w:p>
        </w:tc>
        <w:tc>
          <w:tcPr>
            <w:tcW w:w="3773" w:type="dxa"/>
            <w:noWrap w:val="0"/>
            <w:vAlign w:val="center"/>
          </w:tcPr>
          <w:p>
            <w:pPr>
              <w:rPr>
                <w:rFonts w:hint="eastAsia" w:ascii="宋体" w:hAnsi="宋体"/>
                <w:szCs w:val="21"/>
              </w:rPr>
            </w:pPr>
            <w:r>
              <w:rPr>
                <w:rFonts w:hint="eastAsia" w:ascii="宋体" w:hAnsi="宋体"/>
                <w:szCs w:val="21"/>
              </w:rPr>
              <w:t>厕所、更衣室、浴室</w:t>
            </w:r>
          </w:p>
        </w:tc>
        <w:tc>
          <w:tcPr>
            <w:tcW w:w="2888" w:type="dxa"/>
            <w:noWrap w:val="0"/>
            <w:vAlign w:val="center"/>
          </w:tcPr>
          <w:p>
            <w:pPr>
              <w:jc w:val="center"/>
              <w:rPr>
                <w:rFonts w:hint="eastAsia" w:ascii="宋体" w:hAnsi="宋体"/>
                <w:szCs w:val="21"/>
              </w:rPr>
            </w:pPr>
            <w:r>
              <w:rPr>
                <w:rFonts w:hint="eastAsia" w:ascii="宋体" w:hAnsi="宋体"/>
                <w:szCs w:val="21"/>
              </w:rPr>
              <w:t>污渍、异味</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12</w:t>
            </w:r>
          </w:p>
        </w:tc>
        <w:tc>
          <w:tcPr>
            <w:tcW w:w="3773" w:type="dxa"/>
            <w:noWrap w:val="0"/>
            <w:vAlign w:val="center"/>
          </w:tcPr>
          <w:p>
            <w:pPr>
              <w:rPr>
                <w:rFonts w:hint="eastAsia" w:ascii="宋体" w:hAnsi="宋体"/>
                <w:szCs w:val="21"/>
              </w:rPr>
            </w:pPr>
            <w:r>
              <w:rPr>
                <w:rFonts w:hint="eastAsia" w:ascii="宋体" w:hAnsi="宋体"/>
                <w:szCs w:val="21"/>
              </w:rPr>
              <w:t>循环水池等</w:t>
            </w:r>
          </w:p>
        </w:tc>
        <w:tc>
          <w:tcPr>
            <w:tcW w:w="2888" w:type="dxa"/>
            <w:noWrap w:val="0"/>
            <w:vAlign w:val="center"/>
          </w:tcPr>
          <w:p>
            <w:pPr>
              <w:jc w:val="center"/>
              <w:rPr>
                <w:rFonts w:hint="eastAsia" w:ascii="宋体" w:hAnsi="宋体"/>
                <w:szCs w:val="21"/>
              </w:rPr>
            </w:pPr>
            <w:r>
              <w:rPr>
                <w:rFonts w:hint="eastAsia" w:ascii="宋体" w:hAnsi="宋体"/>
                <w:szCs w:val="21"/>
              </w:rPr>
              <w:t>漆渣、淤泥等</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4" w:hRule="atLeast"/>
          <w:jc w:val="center"/>
        </w:trPr>
        <w:tc>
          <w:tcPr>
            <w:tcW w:w="714" w:type="dxa"/>
            <w:gridSpan w:val="2"/>
            <w:noWrap w:val="0"/>
            <w:vAlign w:val="center"/>
          </w:tcPr>
          <w:p>
            <w:pPr>
              <w:jc w:val="center"/>
              <w:rPr>
                <w:rFonts w:hint="eastAsia" w:ascii="宋体" w:hAnsi="宋体"/>
                <w:b/>
                <w:szCs w:val="21"/>
              </w:rPr>
            </w:pPr>
            <w:r>
              <w:rPr>
                <w:rFonts w:hint="eastAsia" w:ascii="宋体" w:hAnsi="宋体"/>
                <w:b/>
                <w:szCs w:val="21"/>
              </w:rPr>
              <w:t>二</w:t>
            </w:r>
          </w:p>
        </w:tc>
        <w:tc>
          <w:tcPr>
            <w:tcW w:w="8302" w:type="dxa"/>
            <w:gridSpan w:val="5"/>
            <w:noWrap w:val="0"/>
            <w:vAlign w:val="center"/>
          </w:tcPr>
          <w:p>
            <w:pPr>
              <w:rPr>
                <w:rFonts w:hint="eastAsia" w:ascii="宋体" w:hAnsi="宋体"/>
                <w:b/>
                <w:szCs w:val="21"/>
              </w:rPr>
            </w:pPr>
            <w:r>
              <w:rPr>
                <w:rFonts w:hint="eastAsia" w:ascii="宋体" w:hAnsi="宋体"/>
                <w:b/>
                <w:szCs w:val="21"/>
              </w:rPr>
              <w:t>前处理电泳部分（含一、二、三楼）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w:t>
            </w:r>
          </w:p>
        </w:tc>
        <w:tc>
          <w:tcPr>
            <w:tcW w:w="3773" w:type="dxa"/>
            <w:noWrap w:val="0"/>
            <w:vAlign w:val="center"/>
          </w:tcPr>
          <w:p>
            <w:pPr>
              <w:rPr>
                <w:rFonts w:hint="eastAsia" w:ascii="宋体" w:hAnsi="宋体"/>
                <w:szCs w:val="21"/>
              </w:rPr>
            </w:pPr>
            <w:r>
              <w:rPr>
                <w:rFonts w:hint="eastAsia" w:ascii="宋体" w:hAnsi="宋体"/>
                <w:szCs w:val="21"/>
              </w:rPr>
              <w:t>前处理人工预擦洗：壁面、格栅、槽板</w:t>
            </w:r>
          </w:p>
        </w:tc>
        <w:tc>
          <w:tcPr>
            <w:tcW w:w="2888" w:type="dxa"/>
            <w:noWrap w:val="0"/>
            <w:vAlign w:val="center"/>
          </w:tcPr>
          <w:p>
            <w:pPr>
              <w:jc w:val="center"/>
              <w:rPr>
                <w:rFonts w:hint="eastAsia" w:ascii="宋体" w:hAnsi="宋体"/>
                <w:szCs w:val="21"/>
              </w:rPr>
            </w:pPr>
            <w:r>
              <w:rPr>
                <w:rFonts w:hint="eastAsia" w:ascii="宋体" w:hAnsi="宋体"/>
                <w:szCs w:val="21"/>
              </w:rPr>
              <w:t>灰尘、污渍、油污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2</w:t>
            </w:r>
          </w:p>
        </w:tc>
        <w:tc>
          <w:tcPr>
            <w:tcW w:w="3773" w:type="dxa"/>
            <w:noWrap w:val="0"/>
            <w:vAlign w:val="center"/>
          </w:tcPr>
          <w:p>
            <w:pPr>
              <w:rPr>
                <w:rFonts w:hint="eastAsia" w:ascii="宋体" w:hAnsi="宋体"/>
                <w:szCs w:val="21"/>
              </w:rPr>
            </w:pPr>
            <w:r>
              <w:rPr>
                <w:rFonts w:hint="eastAsia" w:ascii="宋体" w:hAnsi="宋体"/>
                <w:szCs w:val="21"/>
              </w:rPr>
              <w:t>前处理所有槽体外表面、地坑、各排水沟和排水坑</w:t>
            </w:r>
          </w:p>
        </w:tc>
        <w:tc>
          <w:tcPr>
            <w:tcW w:w="2888" w:type="dxa"/>
            <w:noWrap w:val="0"/>
            <w:vAlign w:val="center"/>
          </w:tcPr>
          <w:p>
            <w:pPr>
              <w:jc w:val="center"/>
              <w:rPr>
                <w:rFonts w:hint="eastAsia" w:ascii="宋体" w:hAnsi="宋体"/>
                <w:szCs w:val="21"/>
              </w:rPr>
            </w:pPr>
            <w:r>
              <w:rPr>
                <w:rFonts w:hint="eastAsia" w:ascii="宋体" w:hAnsi="宋体"/>
                <w:szCs w:val="21"/>
              </w:rPr>
              <w:t>淤泥、灰尘、污渍、油污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3</w:t>
            </w:r>
          </w:p>
        </w:tc>
        <w:tc>
          <w:tcPr>
            <w:tcW w:w="3773" w:type="dxa"/>
            <w:noWrap w:val="0"/>
            <w:vAlign w:val="center"/>
          </w:tcPr>
          <w:p>
            <w:pPr>
              <w:rPr>
                <w:rFonts w:hint="eastAsia" w:ascii="宋体" w:hAnsi="宋体"/>
                <w:szCs w:val="21"/>
              </w:rPr>
            </w:pPr>
            <w:r>
              <w:rPr>
                <w:rFonts w:hint="eastAsia" w:ascii="宋体" w:hAnsi="宋体"/>
                <w:szCs w:val="21"/>
              </w:rPr>
              <w:t>所有水喷淋，去纯水喷淋，浸洗区的槽体外表面</w:t>
            </w:r>
          </w:p>
        </w:tc>
        <w:tc>
          <w:tcPr>
            <w:tcW w:w="2888" w:type="dxa"/>
            <w:noWrap w:val="0"/>
            <w:vAlign w:val="center"/>
          </w:tcPr>
          <w:p>
            <w:pPr>
              <w:jc w:val="center"/>
              <w:rPr>
                <w:rFonts w:hint="eastAsia" w:ascii="宋体" w:hAnsi="宋体"/>
                <w:szCs w:val="21"/>
              </w:rPr>
            </w:pPr>
            <w:r>
              <w:rPr>
                <w:rFonts w:hint="eastAsia" w:ascii="宋体" w:hAnsi="宋体"/>
                <w:szCs w:val="21"/>
              </w:rPr>
              <w:t>灰尘、污渍、油污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4</w:t>
            </w:r>
          </w:p>
        </w:tc>
        <w:tc>
          <w:tcPr>
            <w:tcW w:w="3773" w:type="dxa"/>
            <w:noWrap w:val="0"/>
            <w:vAlign w:val="center"/>
          </w:tcPr>
          <w:p>
            <w:pPr>
              <w:rPr>
                <w:rFonts w:hint="eastAsia" w:ascii="宋体" w:hAnsi="宋体"/>
                <w:szCs w:val="21"/>
              </w:rPr>
            </w:pPr>
            <w:r>
              <w:rPr>
                <w:rFonts w:hint="eastAsia" w:ascii="宋体" w:hAnsi="宋体"/>
                <w:szCs w:val="21"/>
              </w:rPr>
              <w:t>前处理所有室体、槽体内外表面</w:t>
            </w:r>
          </w:p>
        </w:tc>
        <w:tc>
          <w:tcPr>
            <w:tcW w:w="2888" w:type="dxa"/>
            <w:noWrap w:val="0"/>
            <w:vAlign w:val="center"/>
          </w:tcPr>
          <w:p>
            <w:pPr>
              <w:jc w:val="center"/>
              <w:rPr>
                <w:rFonts w:hint="eastAsia" w:ascii="宋体" w:hAnsi="宋体"/>
                <w:szCs w:val="21"/>
              </w:rPr>
            </w:pPr>
            <w:r>
              <w:rPr>
                <w:rFonts w:hint="eastAsia" w:ascii="宋体" w:hAnsi="宋体"/>
                <w:szCs w:val="21"/>
              </w:rPr>
              <w:t>灰尘、污渍、油污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5</w:t>
            </w:r>
          </w:p>
        </w:tc>
        <w:tc>
          <w:tcPr>
            <w:tcW w:w="3773" w:type="dxa"/>
            <w:noWrap w:val="0"/>
            <w:vAlign w:val="center"/>
          </w:tcPr>
          <w:p>
            <w:pPr>
              <w:rPr>
                <w:rFonts w:hint="eastAsia" w:ascii="宋体" w:hAnsi="宋体"/>
                <w:szCs w:val="21"/>
              </w:rPr>
            </w:pPr>
            <w:r>
              <w:rPr>
                <w:rFonts w:hint="eastAsia" w:ascii="宋体" w:hAnsi="宋体"/>
                <w:szCs w:val="21"/>
              </w:rPr>
              <w:t>前处理辅助设备（磁滤机、油分离器、除渣机、加料设备等）的清洁</w:t>
            </w:r>
          </w:p>
        </w:tc>
        <w:tc>
          <w:tcPr>
            <w:tcW w:w="2888" w:type="dxa"/>
            <w:noWrap w:val="0"/>
            <w:vAlign w:val="center"/>
          </w:tcPr>
          <w:p>
            <w:pPr>
              <w:jc w:val="center"/>
              <w:rPr>
                <w:rFonts w:hint="eastAsia" w:ascii="宋体" w:hAnsi="宋体"/>
                <w:szCs w:val="21"/>
              </w:rPr>
            </w:pPr>
            <w:r>
              <w:rPr>
                <w:rFonts w:hint="eastAsia" w:ascii="宋体" w:hAnsi="宋体"/>
                <w:szCs w:val="21"/>
              </w:rPr>
              <w:t>无灰尘、无污物</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6</w:t>
            </w:r>
          </w:p>
        </w:tc>
        <w:tc>
          <w:tcPr>
            <w:tcW w:w="3773" w:type="dxa"/>
            <w:noWrap w:val="0"/>
            <w:vAlign w:val="center"/>
          </w:tcPr>
          <w:p>
            <w:pPr>
              <w:rPr>
                <w:rFonts w:hint="eastAsia" w:ascii="宋体" w:hAnsi="宋体"/>
                <w:szCs w:val="21"/>
              </w:rPr>
            </w:pPr>
            <w:r>
              <w:rPr>
                <w:rFonts w:hint="eastAsia" w:ascii="宋体" w:hAnsi="宋体"/>
                <w:szCs w:val="21"/>
              </w:rPr>
              <w:t>前处理所有管道系统外表面（包含热交换器）</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0"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7</w:t>
            </w:r>
          </w:p>
        </w:tc>
        <w:tc>
          <w:tcPr>
            <w:tcW w:w="3773" w:type="dxa"/>
            <w:noWrap w:val="0"/>
            <w:vAlign w:val="center"/>
          </w:tcPr>
          <w:p>
            <w:pPr>
              <w:rPr>
                <w:rFonts w:hint="eastAsia" w:ascii="宋体" w:hAnsi="宋体"/>
                <w:szCs w:val="21"/>
              </w:rPr>
            </w:pPr>
            <w:r>
              <w:rPr>
                <w:rFonts w:hint="eastAsia" w:ascii="宋体" w:hAnsi="宋体"/>
                <w:szCs w:val="21"/>
              </w:rPr>
              <w:t>前处理系统钢平台、栏杆</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0"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8</w:t>
            </w:r>
          </w:p>
        </w:tc>
        <w:tc>
          <w:tcPr>
            <w:tcW w:w="3773" w:type="dxa"/>
            <w:noWrap w:val="0"/>
            <w:vAlign w:val="center"/>
          </w:tcPr>
          <w:p>
            <w:pPr>
              <w:rPr>
                <w:rFonts w:hint="eastAsia" w:ascii="宋体" w:hAnsi="宋体"/>
                <w:szCs w:val="21"/>
              </w:rPr>
            </w:pPr>
            <w:r>
              <w:rPr>
                <w:rFonts w:hint="eastAsia" w:ascii="宋体" w:hAnsi="宋体"/>
                <w:szCs w:val="21"/>
              </w:rPr>
              <w:t>前处理所有水泵、电机、压力外表面</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9</w:t>
            </w:r>
          </w:p>
        </w:tc>
        <w:tc>
          <w:tcPr>
            <w:tcW w:w="3773" w:type="dxa"/>
            <w:noWrap w:val="0"/>
            <w:vAlign w:val="center"/>
          </w:tcPr>
          <w:p>
            <w:pPr>
              <w:rPr>
                <w:rFonts w:hint="eastAsia" w:ascii="宋体" w:hAnsi="宋体"/>
                <w:szCs w:val="21"/>
              </w:rPr>
            </w:pPr>
            <w:r>
              <w:rPr>
                <w:rFonts w:hint="eastAsia" w:ascii="宋体" w:hAnsi="宋体"/>
                <w:szCs w:val="21"/>
              </w:rPr>
              <w:t>排水沟、积水坑</w:t>
            </w:r>
          </w:p>
        </w:tc>
        <w:tc>
          <w:tcPr>
            <w:tcW w:w="2888" w:type="dxa"/>
            <w:noWrap w:val="0"/>
            <w:vAlign w:val="center"/>
          </w:tcPr>
          <w:p>
            <w:pPr>
              <w:jc w:val="center"/>
              <w:rPr>
                <w:rFonts w:hint="eastAsia" w:ascii="宋体" w:hAnsi="宋体"/>
                <w:szCs w:val="21"/>
              </w:rPr>
            </w:pPr>
            <w:r>
              <w:rPr>
                <w:rFonts w:hint="eastAsia" w:ascii="宋体" w:hAnsi="宋体"/>
                <w:szCs w:val="21"/>
              </w:rPr>
              <w:t>积垢、淤积物</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10</w:t>
            </w:r>
          </w:p>
        </w:tc>
        <w:tc>
          <w:tcPr>
            <w:tcW w:w="3773" w:type="dxa"/>
            <w:noWrap w:val="0"/>
            <w:vAlign w:val="center"/>
          </w:tcPr>
          <w:p>
            <w:pPr>
              <w:rPr>
                <w:rFonts w:hint="eastAsia" w:ascii="宋体" w:hAnsi="宋体"/>
                <w:szCs w:val="21"/>
              </w:rPr>
            </w:pPr>
            <w:r>
              <w:rPr>
                <w:rFonts w:hint="eastAsia" w:ascii="宋体" w:hAnsi="宋体"/>
                <w:szCs w:val="21"/>
              </w:rPr>
              <w:t>电泳部分所有槽体：内表面</w:t>
            </w:r>
          </w:p>
        </w:tc>
        <w:tc>
          <w:tcPr>
            <w:tcW w:w="2888" w:type="dxa"/>
            <w:noWrap w:val="0"/>
            <w:vAlign w:val="center"/>
          </w:tcPr>
          <w:p>
            <w:pPr>
              <w:jc w:val="center"/>
              <w:rPr>
                <w:rFonts w:hint="eastAsia" w:ascii="宋体" w:hAnsi="宋体"/>
                <w:szCs w:val="21"/>
              </w:rPr>
            </w:pPr>
            <w:r>
              <w:rPr>
                <w:rFonts w:hint="eastAsia" w:ascii="宋体" w:hAnsi="宋体"/>
                <w:szCs w:val="21"/>
              </w:rPr>
              <w:t>漆渣、灰尘、淤积物</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11</w:t>
            </w:r>
          </w:p>
        </w:tc>
        <w:tc>
          <w:tcPr>
            <w:tcW w:w="3773" w:type="dxa"/>
            <w:noWrap w:val="0"/>
            <w:vAlign w:val="center"/>
          </w:tcPr>
          <w:p>
            <w:pPr>
              <w:rPr>
                <w:rFonts w:hint="eastAsia" w:ascii="宋体" w:hAnsi="宋体"/>
                <w:szCs w:val="21"/>
              </w:rPr>
            </w:pPr>
            <w:r>
              <w:rPr>
                <w:rFonts w:hint="eastAsia" w:ascii="宋体" w:hAnsi="宋体"/>
                <w:szCs w:val="21"/>
              </w:rPr>
              <w:t>电泳系统所用室体：内外表面、格栅</w:t>
            </w:r>
          </w:p>
        </w:tc>
        <w:tc>
          <w:tcPr>
            <w:tcW w:w="2888" w:type="dxa"/>
            <w:noWrap w:val="0"/>
            <w:vAlign w:val="center"/>
          </w:tcPr>
          <w:p>
            <w:pPr>
              <w:jc w:val="center"/>
              <w:rPr>
                <w:rFonts w:hint="eastAsia" w:ascii="宋体" w:hAnsi="宋体"/>
                <w:szCs w:val="21"/>
              </w:rPr>
            </w:pPr>
            <w:r>
              <w:rPr>
                <w:rFonts w:hint="eastAsia" w:ascii="宋体" w:hAnsi="宋体"/>
                <w:szCs w:val="21"/>
              </w:rPr>
              <w:t>漆渣、灰尘、污渍、油污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12</w:t>
            </w:r>
          </w:p>
        </w:tc>
        <w:tc>
          <w:tcPr>
            <w:tcW w:w="3773" w:type="dxa"/>
            <w:noWrap w:val="0"/>
            <w:vAlign w:val="center"/>
          </w:tcPr>
          <w:p>
            <w:pPr>
              <w:rPr>
                <w:rFonts w:hint="eastAsia" w:ascii="宋体" w:hAnsi="宋体"/>
                <w:szCs w:val="21"/>
              </w:rPr>
            </w:pPr>
            <w:r>
              <w:rPr>
                <w:rFonts w:hint="eastAsia" w:ascii="宋体" w:hAnsi="宋体"/>
                <w:szCs w:val="21"/>
              </w:rPr>
              <w:t>电泳系统所有管道和槽体系统外表面（包含热交换器）</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13</w:t>
            </w:r>
          </w:p>
        </w:tc>
        <w:tc>
          <w:tcPr>
            <w:tcW w:w="3773" w:type="dxa"/>
            <w:noWrap w:val="0"/>
            <w:vAlign w:val="center"/>
          </w:tcPr>
          <w:p>
            <w:pPr>
              <w:rPr>
                <w:rFonts w:hint="eastAsia" w:ascii="宋体" w:hAnsi="宋体"/>
                <w:szCs w:val="21"/>
              </w:rPr>
            </w:pPr>
            <w:r>
              <w:rPr>
                <w:rFonts w:hint="eastAsia" w:ascii="宋体" w:hAnsi="宋体"/>
                <w:szCs w:val="21"/>
              </w:rPr>
              <w:t>所有喷淋管道系统（含喷嘴）的疏通</w:t>
            </w:r>
          </w:p>
        </w:tc>
        <w:tc>
          <w:tcPr>
            <w:tcW w:w="2888" w:type="dxa"/>
            <w:noWrap w:val="0"/>
            <w:vAlign w:val="center"/>
          </w:tcPr>
          <w:p>
            <w:pPr>
              <w:jc w:val="center"/>
              <w:rPr>
                <w:rFonts w:hint="eastAsia" w:ascii="宋体" w:hAnsi="宋体"/>
                <w:szCs w:val="21"/>
              </w:rPr>
            </w:pPr>
            <w:r>
              <w:rPr>
                <w:rFonts w:hint="eastAsia" w:ascii="宋体" w:hAnsi="宋体"/>
                <w:szCs w:val="21"/>
              </w:rPr>
              <w:t>杂质、油渣</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14</w:t>
            </w:r>
          </w:p>
        </w:tc>
        <w:tc>
          <w:tcPr>
            <w:tcW w:w="3773" w:type="dxa"/>
            <w:noWrap w:val="0"/>
            <w:vAlign w:val="center"/>
          </w:tcPr>
          <w:p>
            <w:pPr>
              <w:rPr>
                <w:rFonts w:hint="eastAsia" w:ascii="宋体" w:hAnsi="宋体"/>
                <w:szCs w:val="21"/>
              </w:rPr>
            </w:pPr>
            <w:r>
              <w:rPr>
                <w:rFonts w:hint="eastAsia" w:ascii="宋体" w:hAnsi="宋体"/>
                <w:szCs w:val="21"/>
              </w:rPr>
              <w:t>电泳系统及风机平台、栏杆</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15</w:t>
            </w:r>
          </w:p>
        </w:tc>
        <w:tc>
          <w:tcPr>
            <w:tcW w:w="3773" w:type="dxa"/>
            <w:noWrap w:val="0"/>
            <w:vAlign w:val="center"/>
          </w:tcPr>
          <w:p>
            <w:pPr>
              <w:rPr>
                <w:rFonts w:hint="eastAsia" w:ascii="宋体" w:hAnsi="宋体"/>
                <w:szCs w:val="21"/>
              </w:rPr>
            </w:pPr>
            <w:r>
              <w:rPr>
                <w:rFonts w:hint="eastAsia" w:ascii="宋体" w:hAnsi="宋体"/>
                <w:szCs w:val="21"/>
              </w:rPr>
              <w:t>电泳所有水泵、电机、压力表外表面</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16</w:t>
            </w:r>
          </w:p>
        </w:tc>
        <w:tc>
          <w:tcPr>
            <w:tcW w:w="3773" w:type="dxa"/>
            <w:noWrap w:val="0"/>
            <w:vAlign w:val="center"/>
          </w:tcPr>
          <w:p>
            <w:pPr>
              <w:rPr>
                <w:rFonts w:hint="eastAsia" w:ascii="宋体" w:hAnsi="宋体"/>
                <w:szCs w:val="21"/>
              </w:rPr>
            </w:pPr>
            <w:r>
              <w:rPr>
                <w:rFonts w:hint="eastAsia" w:ascii="宋体" w:hAnsi="宋体"/>
                <w:szCs w:val="21"/>
              </w:rPr>
              <w:t>电泳辅助设备（超滤、纯水、制冷、阳极、加料设备等）的清洁</w:t>
            </w:r>
          </w:p>
        </w:tc>
        <w:tc>
          <w:tcPr>
            <w:tcW w:w="2888" w:type="dxa"/>
            <w:noWrap w:val="0"/>
            <w:vAlign w:val="center"/>
          </w:tcPr>
          <w:p>
            <w:pPr>
              <w:jc w:val="center"/>
              <w:rPr>
                <w:rFonts w:hint="eastAsia" w:ascii="宋体" w:hAnsi="宋体"/>
                <w:szCs w:val="21"/>
              </w:rPr>
            </w:pPr>
            <w:r>
              <w:rPr>
                <w:rFonts w:hint="eastAsia" w:ascii="宋体" w:hAnsi="宋体"/>
                <w:szCs w:val="21"/>
              </w:rPr>
              <w:t>无灰尘、无污物</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17</w:t>
            </w:r>
          </w:p>
        </w:tc>
        <w:tc>
          <w:tcPr>
            <w:tcW w:w="3773" w:type="dxa"/>
            <w:noWrap w:val="0"/>
            <w:vAlign w:val="center"/>
          </w:tcPr>
          <w:p>
            <w:pPr>
              <w:rPr>
                <w:rFonts w:hint="eastAsia" w:ascii="宋体" w:hAnsi="宋体"/>
                <w:szCs w:val="21"/>
              </w:rPr>
            </w:pPr>
            <w:r>
              <w:rPr>
                <w:rFonts w:hint="eastAsia" w:ascii="宋体" w:hAnsi="宋体"/>
                <w:szCs w:val="21"/>
              </w:rPr>
              <w:t>前处理滑触线的保洁</w:t>
            </w:r>
          </w:p>
        </w:tc>
        <w:tc>
          <w:tcPr>
            <w:tcW w:w="2888" w:type="dxa"/>
            <w:noWrap w:val="0"/>
            <w:vAlign w:val="center"/>
          </w:tcPr>
          <w:p>
            <w:pPr>
              <w:jc w:val="center"/>
              <w:rPr>
                <w:rFonts w:hint="eastAsia" w:ascii="宋体" w:hAnsi="宋体"/>
                <w:szCs w:val="21"/>
              </w:rPr>
            </w:pPr>
            <w:r>
              <w:rPr>
                <w:rFonts w:hint="eastAsia" w:ascii="宋体" w:hAnsi="宋体"/>
                <w:szCs w:val="21"/>
              </w:rPr>
              <w:t>灰尘、油污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3" w:hRule="atLeast"/>
          <w:jc w:val="center"/>
        </w:trPr>
        <w:tc>
          <w:tcPr>
            <w:tcW w:w="714" w:type="dxa"/>
            <w:gridSpan w:val="2"/>
            <w:noWrap w:val="0"/>
            <w:vAlign w:val="center"/>
          </w:tcPr>
          <w:p>
            <w:pPr>
              <w:jc w:val="center"/>
              <w:rPr>
                <w:rFonts w:hint="eastAsia" w:ascii="宋体" w:hAnsi="宋体"/>
                <w:b/>
                <w:szCs w:val="21"/>
              </w:rPr>
            </w:pPr>
            <w:r>
              <w:rPr>
                <w:rFonts w:hint="eastAsia" w:ascii="宋体" w:hAnsi="宋体"/>
                <w:b/>
                <w:szCs w:val="21"/>
              </w:rPr>
              <w:t>三</w:t>
            </w:r>
          </w:p>
        </w:tc>
        <w:tc>
          <w:tcPr>
            <w:tcW w:w="8302" w:type="dxa"/>
            <w:gridSpan w:val="5"/>
            <w:noWrap w:val="0"/>
            <w:vAlign w:val="center"/>
          </w:tcPr>
          <w:p>
            <w:pPr>
              <w:rPr>
                <w:rFonts w:hint="eastAsia" w:ascii="宋体" w:hAnsi="宋体"/>
                <w:b/>
                <w:szCs w:val="21"/>
              </w:rPr>
            </w:pPr>
            <w:r>
              <w:rPr>
                <w:rFonts w:hint="eastAsia" w:ascii="宋体" w:hAnsi="宋体"/>
                <w:b/>
                <w:szCs w:val="21"/>
              </w:rPr>
              <w:t>烘房系统（包含底漆炉、中涂炉、面漆炉）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2"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1</w:t>
            </w:r>
          </w:p>
        </w:tc>
        <w:tc>
          <w:tcPr>
            <w:tcW w:w="3773" w:type="dxa"/>
            <w:noWrap w:val="0"/>
            <w:vAlign w:val="center"/>
          </w:tcPr>
          <w:p>
            <w:pPr>
              <w:rPr>
                <w:rFonts w:hint="eastAsia" w:ascii="宋体" w:hAnsi="宋体"/>
                <w:szCs w:val="21"/>
              </w:rPr>
            </w:pPr>
            <w:r>
              <w:rPr>
                <w:rFonts w:hint="eastAsia" w:ascii="宋体" w:hAnsi="宋体"/>
                <w:szCs w:val="21"/>
              </w:rPr>
              <w:t>烘房内壁</w:t>
            </w:r>
          </w:p>
        </w:tc>
        <w:tc>
          <w:tcPr>
            <w:tcW w:w="2888" w:type="dxa"/>
            <w:noWrap w:val="0"/>
            <w:vAlign w:val="center"/>
          </w:tcPr>
          <w:p>
            <w:pPr>
              <w:jc w:val="center"/>
              <w:rPr>
                <w:rFonts w:hint="eastAsia" w:ascii="宋体" w:hAnsi="宋体"/>
                <w:szCs w:val="21"/>
              </w:rPr>
            </w:pPr>
            <w:r>
              <w:rPr>
                <w:rFonts w:hint="eastAsia" w:ascii="宋体" w:hAnsi="宋体"/>
                <w:szCs w:val="21"/>
              </w:rPr>
              <w:t>灰尘、油迹</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8"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2</w:t>
            </w:r>
          </w:p>
        </w:tc>
        <w:tc>
          <w:tcPr>
            <w:tcW w:w="3773" w:type="dxa"/>
            <w:noWrap w:val="0"/>
            <w:vAlign w:val="center"/>
          </w:tcPr>
          <w:p>
            <w:pPr>
              <w:rPr>
                <w:rFonts w:hint="eastAsia" w:ascii="宋体" w:hAnsi="宋体"/>
                <w:szCs w:val="21"/>
              </w:rPr>
            </w:pPr>
            <w:r>
              <w:rPr>
                <w:rFonts w:hint="eastAsia" w:ascii="宋体" w:hAnsi="宋体"/>
                <w:szCs w:val="21"/>
              </w:rPr>
              <w:t>烘房外壁</w:t>
            </w:r>
          </w:p>
        </w:tc>
        <w:tc>
          <w:tcPr>
            <w:tcW w:w="2888" w:type="dxa"/>
            <w:noWrap w:val="0"/>
            <w:vAlign w:val="center"/>
          </w:tcPr>
          <w:p>
            <w:pPr>
              <w:jc w:val="center"/>
              <w:rPr>
                <w:rFonts w:hint="eastAsia" w:ascii="宋体" w:hAnsi="宋体"/>
                <w:szCs w:val="21"/>
              </w:rPr>
            </w:pPr>
            <w:r>
              <w:rPr>
                <w:rFonts w:hint="eastAsia" w:ascii="宋体" w:hAnsi="宋体"/>
                <w:szCs w:val="21"/>
              </w:rPr>
              <w:t>灰尘、油迹</w:t>
            </w:r>
          </w:p>
        </w:tc>
        <w:tc>
          <w:tcPr>
            <w:tcW w:w="540" w:type="dxa"/>
            <w:tcBorders>
              <w:right w:val="single" w:color="auto" w:sz="4" w:space="0"/>
            </w:tcBorders>
            <w:noWrap w:val="0"/>
            <w:vAlign w:val="center"/>
          </w:tcPr>
          <w:p>
            <w:pPr>
              <w:rPr>
                <w:rFonts w:hint="eastAsia" w:ascii="宋体" w:hAnsi="宋体"/>
                <w:szCs w:val="21"/>
              </w:rPr>
            </w:pPr>
          </w:p>
        </w:tc>
        <w:tc>
          <w:tcPr>
            <w:tcW w:w="540" w:type="dxa"/>
            <w:tcBorders>
              <w:left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6"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3</w:t>
            </w:r>
          </w:p>
        </w:tc>
        <w:tc>
          <w:tcPr>
            <w:tcW w:w="3773" w:type="dxa"/>
            <w:noWrap w:val="0"/>
            <w:vAlign w:val="center"/>
          </w:tcPr>
          <w:p>
            <w:pPr>
              <w:rPr>
                <w:rFonts w:hint="eastAsia" w:ascii="宋体" w:hAnsi="宋体"/>
                <w:szCs w:val="21"/>
              </w:rPr>
            </w:pPr>
            <w:r>
              <w:rPr>
                <w:rFonts w:hint="eastAsia" w:ascii="宋体" w:hAnsi="宋体"/>
                <w:szCs w:val="21"/>
              </w:rPr>
              <w:t>烘房风箱内外壁、进出口</w:t>
            </w:r>
          </w:p>
        </w:tc>
        <w:tc>
          <w:tcPr>
            <w:tcW w:w="2888" w:type="dxa"/>
            <w:noWrap w:val="0"/>
            <w:vAlign w:val="center"/>
          </w:tcPr>
          <w:p>
            <w:pPr>
              <w:jc w:val="center"/>
              <w:rPr>
                <w:rFonts w:hint="eastAsia" w:ascii="宋体" w:hAnsi="宋体"/>
                <w:szCs w:val="21"/>
              </w:rPr>
            </w:pPr>
            <w:r>
              <w:rPr>
                <w:rFonts w:hint="eastAsia" w:ascii="宋体" w:hAnsi="宋体"/>
                <w:szCs w:val="21"/>
              </w:rPr>
              <w:t>灰尘、油迹</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4</w:t>
            </w:r>
          </w:p>
        </w:tc>
        <w:tc>
          <w:tcPr>
            <w:tcW w:w="3773" w:type="dxa"/>
            <w:noWrap w:val="0"/>
            <w:vAlign w:val="center"/>
          </w:tcPr>
          <w:p>
            <w:pPr>
              <w:rPr>
                <w:rFonts w:hint="eastAsia" w:ascii="宋体" w:hAnsi="宋体"/>
                <w:szCs w:val="21"/>
              </w:rPr>
            </w:pPr>
            <w:r>
              <w:rPr>
                <w:rFonts w:hint="eastAsia" w:ascii="宋体" w:hAnsi="宋体"/>
                <w:szCs w:val="21"/>
              </w:rPr>
              <w:t>整个加热系统内外表面</w:t>
            </w:r>
          </w:p>
        </w:tc>
        <w:tc>
          <w:tcPr>
            <w:tcW w:w="2888" w:type="dxa"/>
            <w:noWrap w:val="0"/>
            <w:vAlign w:val="center"/>
          </w:tcPr>
          <w:p>
            <w:pPr>
              <w:jc w:val="center"/>
              <w:rPr>
                <w:rFonts w:hint="eastAsia" w:ascii="宋体" w:hAnsi="宋体"/>
                <w:szCs w:val="21"/>
              </w:rPr>
            </w:pPr>
            <w:r>
              <w:rPr>
                <w:rFonts w:hint="eastAsia" w:ascii="宋体" w:hAnsi="宋体"/>
                <w:szCs w:val="21"/>
              </w:rPr>
              <w:t>灰尘、油迹</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5</w:t>
            </w:r>
          </w:p>
        </w:tc>
        <w:tc>
          <w:tcPr>
            <w:tcW w:w="3773" w:type="dxa"/>
            <w:noWrap w:val="0"/>
            <w:vAlign w:val="center"/>
          </w:tcPr>
          <w:p>
            <w:pPr>
              <w:rPr>
                <w:rFonts w:hint="eastAsia" w:ascii="宋体" w:hAnsi="宋体"/>
                <w:szCs w:val="21"/>
              </w:rPr>
            </w:pPr>
            <w:r>
              <w:rPr>
                <w:rFonts w:hint="eastAsia" w:ascii="宋体" w:hAnsi="宋体"/>
                <w:szCs w:val="21"/>
              </w:rPr>
              <w:t>排烟管道内外</w:t>
            </w:r>
          </w:p>
        </w:tc>
        <w:tc>
          <w:tcPr>
            <w:tcW w:w="2888" w:type="dxa"/>
            <w:noWrap w:val="0"/>
            <w:vAlign w:val="center"/>
          </w:tcPr>
          <w:p>
            <w:pPr>
              <w:jc w:val="center"/>
              <w:rPr>
                <w:rFonts w:hint="eastAsia" w:ascii="宋体" w:hAnsi="宋体"/>
                <w:szCs w:val="21"/>
              </w:rPr>
            </w:pPr>
            <w:r>
              <w:rPr>
                <w:rFonts w:hint="eastAsia" w:ascii="宋体" w:hAnsi="宋体"/>
                <w:szCs w:val="21"/>
              </w:rPr>
              <w:t>灰尘、油烟</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2" w:hRule="atLeast"/>
          <w:jc w:val="center"/>
        </w:trPr>
        <w:tc>
          <w:tcPr>
            <w:tcW w:w="714" w:type="dxa"/>
            <w:gridSpan w:val="2"/>
            <w:noWrap w:val="0"/>
            <w:vAlign w:val="center"/>
          </w:tcPr>
          <w:p>
            <w:pPr>
              <w:rPr>
                <w:rFonts w:hint="eastAsia" w:ascii="宋体" w:hAnsi="宋体"/>
                <w:szCs w:val="21"/>
              </w:rPr>
            </w:pPr>
            <w:r>
              <w:rPr>
                <w:rFonts w:hint="eastAsia" w:ascii="宋体" w:hAnsi="宋体"/>
                <w:szCs w:val="21"/>
              </w:rPr>
              <w:t xml:space="preserve">  6</w:t>
            </w:r>
          </w:p>
        </w:tc>
        <w:tc>
          <w:tcPr>
            <w:tcW w:w="3773" w:type="dxa"/>
            <w:noWrap w:val="0"/>
            <w:vAlign w:val="center"/>
          </w:tcPr>
          <w:p>
            <w:pPr>
              <w:rPr>
                <w:rFonts w:hint="eastAsia" w:ascii="宋体" w:hAnsi="宋体"/>
                <w:szCs w:val="21"/>
              </w:rPr>
            </w:pPr>
            <w:r>
              <w:rPr>
                <w:rFonts w:hint="eastAsia" w:ascii="宋体" w:hAnsi="宋体"/>
                <w:szCs w:val="21"/>
              </w:rPr>
              <w:t>烘房区域周边环境可及处</w:t>
            </w:r>
          </w:p>
        </w:tc>
        <w:tc>
          <w:tcPr>
            <w:tcW w:w="2888" w:type="dxa"/>
            <w:noWrap w:val="0"/>
            <w:vAlign w:val="center"/>
          </w:tcPr>
          <w:p>
            <w:pPr>
              <w:jc w:val="center"/>
              <w:rPr>
                <w:rFonts w:hint="eastAsia" w:ascii="宋体" w:hAnsi="宋体"/>
                <w:szCs w:val="21"/>
              </w:rPr>
            </w:pPr>
            <w:r>
              <w:rPr>
                <w:rFonts w:hint="eastAsia" w:ascii="宋体" w:hAnsi="宋体"/>
                <w:szCs w:val="21"/>
              </w:rPr>
              <w:t>灰尘、油迹</w:t>
            </w:r>
          </w:p>
        </w:tc>
        <w:tc>
          <w:tcPr>
            <w:tcW w:w="540" w:type="dxa"/>
            <w:tcBorders>
              <w:right w:val="single" w:color="auto" w:sz="4" w:space="0"/>
            </w:tcBorders>
            <w:noWrap w:val="0"/>
            <w:vAlign w:val="center"/>
          </w:tcPr>
          <w:p>
            <w:pPr>
              <w:rPr>
                <w:rFonts w:hint="eastAsia" w:ascii="宋体" w:hAnsi="宋体"/>
                <w:szCs w:val="21"/>
              </w:rPr>
            </w:pPr>
          </w:p>
        </w:tc>
        <w:tc>
          <w:tcPr>
            <w:tcW w:w="540" w:type="dxa"/>
            <w:tcBorders>
              <w:left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7</w:t>
            </w:r>
          </w:p>
        </w:tc>
        <w:tc>
          <w:tcPr>
            <w:tcW w:w="3773" w:type="dxa"/>
            <w:noWrap w:val="0"/>
            <w:vAlign w:val="center"/>
          </w:tcPr>
          <w:p>
            <w:pPr>
              <w:rPr>
                <w:rFonts w:hint="eastAsia" w:ascii="宋体" w:hAnsi="宋体"/>
                <w:szCs w:val="21"/>
              </w:rPr>
            </w:pPr>
            <w:r>
              <w:rPr>
                <w:rFonts w:hint="eastAsia" w:ascii="宋体" w:hAnsi="宋体"/>
                <w:szCs w:val="21"/>
              </w:rPr>
              <w:t>下水盒、淌水板</w:t>
            </w:r>
          </w:p>
        </w:tc>
        <w:tc>
          <w:tcPr>
            <w:tcW w:w="2888" w:type="dxa"/>
            <w:noWrap w:val="0"/>
            <w:vAlign w:val="center"/>
          </w:tcPr>
          <w:p>
            <w:pPr>
              <w:jc w:val="center"/>
              <w:rPr>
                <w:rFonts w:hint="eastAsia" w:ascii="宋体" w:hAnsi="宋体"/>
                <w:szCs w:val="21"/>
              </w:rPr>
            </w:pPr>
            <w:r>
              <w:rPr>
                <w:rFonts w:hint="eastAsia" w:ascii="宋体" w:hAnsi="宋体"/>
                <w:szCs w:val="21"/>
              </w:rPr>
              <w:t>漆渣</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4"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8</w:t>
            </w:r>
          </w:p>
        </w:tc>
        <w:tc>
          <w:tcPr>
            <w:tcW w:w="3773" w:type="dxa"/>
            <w:noWrap w:val="0"/>
            <w:vAlign w:val="center"/>
          </w:tcPr>
          <w:p>
            <w:pPr>
              <w:rPr>
                <w:rFonts w:hint="eastAsia" w:ascii="宋体" w:hAnsi="宋体"/>
                <w:szCs w:val="21"/>
              </w:rPr>
            </w:pPr>
            <w:r>
              <w:rPr>
                <w:rFonts w:hint="eastAsia" w:ascii="宋体" w:hAnsi="宋体"/>
                <w:szCs w:val="21"/>
              </w:rPr>
              <w:t>强冷室、风幕段</w:t>
            </w:r>
          </w:p>
        </w:tc>
        <w:tc>
          <w:tcPr>
            <w:tcW w:w="2888" w:type="dxa"/>
            <w:noWrap w:val="0"/>
            <w:vAlign w:val="center"/>
          </w:tcPr>
          <w:p>
            <w:pPr>
              <w:jc w:val="center"/>
              <w:rPr>
                <w:rFonts w:hint="eastAsia" w:ascii="宋体" w:hAnsi="宋体"/>
                <w:szCs w:val="21"/>
              </w:rPr>
            </w:pPr>
            <w:r>
              <w:rPr>
                <w:rFonts w:hint="eastAsia" w:ascii="宋体" w:hAnsi="宋体"/>
                <w:szCs w:val="21"/>
              </w:rPr>
              <w:t>灰尘、油烟</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8"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9</w:t>
            </w:r>
          </w:p>
        </w:tc>
        <w:tc>
          <w:tcPr>
            <w:tcW w:w="3773" w:type="dxa"/>
            <w:noWrap w:val="0"/>
            <w:vAlign w:val="center"/>
          </w:tcPr>
          <w:p>
            <w:pPr>
              <w:rPr>
                <w:rFonts w:hint="eastAsia" w:ascii="宋体" w:hAnsi="宋体"/>
                <w:szCs w:val="21"/>
              </w:rPr>
            </w:pPr>
            <w:r>
              <w:rPr>
                <w:rFonts w:hint="eastAsia" w:ascii="宋体" w:hAnsi="宋体"/>
                <w:szCs w:val="21"/>
              </w:rPr>
              <w:t>设备内外表面</w:t>
            </w:r>
          </w:p>
        </w:tc>
        <w:tc>
          <w:tcPr>
            <w:tcW w:w="2888" w:type="dxa"/>
            <w:noWrap w:val="0"/>
            <w:vAlign w:val="center"/>
          </w:tcPr>
          <w:p>
            <w:pPr>
              <w:jc w:val="center"/>
              <w:rPr>
                <w:rFonts w:hint="eastAsia" w:ascii="宋体" w:hAnsi="宋体"/>
                <w:szCs w:val="21"/>
              </w:rPr>
            </w:pPr>
            <w:r>
              <w:rPr>
                <w:rFonts w:hint="eastAsia" w:ascii="宋体" w:hAnsi="宋体"/>
                <w:szCs w:val="21"/>
              </w:rPr>
              <w:t>外表面灰尘、内表面：积垢</w:t>
            </w:r>
          </w:p>
        </w:tc>
        <w:tc>
          <w:tcPr>
            <w:tcW w:w="540" w:type="dxa"/>
            <w:tcBorders>
              <w:right w:val="single" w:color="auto" w:sz="4" w:space="0"/>
            </w:tcBorders>
            <w:noWrap w:val="0"/>
            <w:vAlign w:val="center"/>
          </w:tcPr>
          <w:p>
            <w:pPr>
              <w:rPr>
                <w:rFonts w:hint="eastAsia" w:ascii="宋体" w:hAnsi="宋体"/>
                <w:szCs w:val="21"/>
              </w:rPr>
            </w:pPr>
          </w:p>
        </w:tc>
        <w:tc>
          <w:tcPr>
            <w:tcW w:w="540" w:type="dxa"/>
            <w:tcBorders>
              <w:left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0" w:hRule="atLeast"/>
          <w:jc w:val="center"/>
        </w:trPr>
        <w:tc>
          <w:tcPr>
            <w:tcW w:w="714" w:type="dxa"/>
            <w:gridSpan w:val="2"/>
            <w:noWrap w:val="0"/>
            <w:vAlign w:val="center"/>
          </w:tcPr>
          <w:p>
            <w:pPr>
              <w:ind w:firstLine="105" w:firstLineChars="50"/>
              <w:rPr>
                <w:rFonts w:hint="eastAsia" w:ascii="宋体" w:hAnsi="宋体"/>
                <w:szCs w:val="21"/>
              </w:rPr>
            </w:pPr>
            <w:r>
              <w:rPr>
                <w:rFonts w:hint="eastAsia" w:ascii="宋体" w:hAnsi="宋体"/>
                <w:szCs w:val="21"/>
              </w:rPr>
              <w:t>10</w:t>
            </w:r>
          </w:p>
        </w:tc>
        <w:tc>
          <w:tcPr>
            <w:tcW w:w="3773" w:type="dxa"/>
            <w:noWrap w:val="0"/>
            <w:vAlign w:val="center"/>
          </w:tcPr>
          <w:p>
            <w:pPr>
              <w:rPr>
                <w:rFonts w:hint="eastAsia" w:ascii="宋体" w:hAnsi="宋体"/>
                <w:szCs w:val="21"/>
              </w:rPr>
            </w:pPr>
            <w:r>
              <w:rPr>
                <w:rFonts w:hint="eastAsia" w:ascii="宋体" w:hAnsi="宋体"/>
                <w:szCs w:val="21"/>
              </w:rPr>
              <w:t>烘房内输送链段及其接油盘，升降机</w:t>
            </w:r>
          </w:p>
        </w:tc>
        <w:tc>
          <w:tcPr>
            <w:tcW w:w="2888" w:type="dxa"/>
            <w:noWrap w:val="0"/>
            <w:vAlign w:val="center"/>
          </w:tcPr>
          <w:p>
            <w:pPr>
              <w:jc w:val="center"/>
              <w:rPr>
                <w:rFonts w:hint="eastAsia" w:ascii="宋体" w:hAnsi="宋体"/>
                <w:szCs w:val="21"/>
              </w:rPr>
            </w:pPr>
            <w:r>
              <w:rPr>
                <w:rFonts w:hint="eastAsia" w:ascii="宋体" w:hAnsi="宋体"/>
                <w:szCs w:val="21"/>
              </w:rPr>
              <w:t>灰尘、油烟</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6" w:hRule="atLeast"/>
          <w:jc w:val="center"/>
        </w:trPr>
        <w:tc>
          <w:tcPr>
            <w:tcW w:w="714" w:type="dxa"/>
            <w:gridSpan w:val="2"/>
            <w:noWrap w:val="0"/>
            <w:vAlign w:val="center"/>
          </w:tcPr>
          <w:p>
            <w:pPr>
              <w:ind w:firstLine="105" w:firstLineChars="50"/>
              <w:rPr>
                <w:rFonts w:hint="eastAsia" w:ascii="宋体" w:hAnsi="宋体"/>
                <w:szCs w:val="21"/>
              </w:rPr>
            </w:pPr>
            <w:r>
              <w:rPr>
                <w:rFonts w:hint="eastAsia" w:ascii="宋体" w:hAnsi="宋体"/>
                <w:szCs w:val="21"/>
              </w:rPr>
              <w:t>11</w:t>
            </w:r>
          </w:p>
        </w:tc>
        <w:tc>
          <w:tcPr>
            <w:tcW w:w="3773" w:type="dxa"/>
            <w:noWrap w:val="0"/>
            <w:vAlign w:val="center"/>
          </w:tcPr>
          <w:p>
            <w:pPr>
              <w:rPr>
                <w:rFonts w:hint="eastAsia" w:ascii="宋体" w:hAnsi="宋体"/>
                <w:szCs w:val="21"/>
              </w:rPr>
            </w:pPr>
            <w:r>
              <w:rPr>
                <w:rFonts w:hint="eastAsia" w:ascii="宋体" w:hAnsi="宋体"/>
                <w:szCs w:val="21"/>
              </w:rPr>
              <w:t>四元体、过滤网、换热器</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6" w:hRule="atLeast"/>
          <w:jc w:val="center"/>
        </w:trPr>
        <w:tc>
          <w:tcPr>
            <w:tcW w:w="714" w:type="dxa"/>
            <w:gridSpan w:val="2"/>
            <w:noWrap w:val="0"/>
            <w:vAlign w:val="center"/>
          </w:tcPr>
          <w:p>
            <w:pPr>
              <w:jc w:val="center"/>
              <w:rPr>
                <w:rFonts w:hint="eastAsia" w:ascii="宋体" w:hAnsi="宋体"/>
                <w:b/>
                <w:szCs w:val="21"/>
              </w:rPr>
            </w:pPr>
            <w:r>
              <w:rPr>
                <w:rFonts w:hint="eastAsia" w:ascii="宋体" w:hAnsi="宋体"/>
                <w:b/>
                <w:szCs w:val="21"/>
              </w:rPr>
              <w:t>四</w:t>
            </w:r>
          </w:p>
        </w:tc>
        <w:tc>
          <w:tcPr>
            <w:tcW w:w="8302" w:type="dxa"/>
            <w:gridSpan w:val="5"/>
            <w:noWrap w:val="0"/>
            <w:vAlign w:val="center"/>
          </w:tcPr>
          <w:p>
            <w:pPr>
              <w:rPr>
                <w:rFonts w:hint="eastAsia" w:ascii="宋体" w:hAnsi="宋体"/>
                <w:b/>
                <w:szCs w:val="21"/>
              </w:rPr>
            </w:pPr>
            <w:r>
              <w:rPr>
                <w:rFonts w:hint="eastAsia" w:ascii="宋体" w:hAnsi="宋体"/>
                <w:b/>
                <w:szCs w:val="21"/>
              </w:rPr>
              <w:t>喷漆室系统（含点补室）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w:t>
            </w:r>
          </w:p>
        </w:tc>
        <w:tc>
          <w:tcPr>
            <w:tcW w:w="3773" w:type="dxa"/>
            <w:noWrap w:val="0"/>
            <w:vAlign w:val="center"/>
          </w:tcPr>
          <w:p>
            <w:pPr>
              <w:rPr>
                <w:rFonts w:hint="eastAsia" w:ascii="宋体" w:hAnsi="宋体"/>
                <w:szCs w:val="21"/>
              </w:rPr>
            </w:pPr>
            <w:r>
              <w:rPr>
                <w:rFonts w:hint="eastAsia" w:ascii="宋体" w:hAnsi="宋体"/>
                <w:szCs w:val="21"/>
              </w:rPr>
              <w:t>各喷漆室外表面（含门、窗等）</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2</w:t>
            </w:r>
          </w:p>
        </w:tc>
        <w:tc>
          <w:tcPr>
            <w:tcW w:w="3773" w:type="dxa"/>
            <w:noWrap w:val="0"/>
            <w:vAlign w:val="center"/>
          </w:tcPr>
          <w:p>
            <w:pPr>
              <w:rPr>
                <w:rFonts w:hint="eastAsia" w:ascii="宋体" w:hAnsi="宋体"/>
                <w:szCs w:val="21"/>
              </w:rPr>
            </w:pPr>
            <w:r>
              <w:rPr>
                <w:rFonts w:hint="eastAsia" w:ascii="宋体" w:hAnsi="宋体"/>
                <w:szCs w:val="21"/>
              </w:rPr>
              <w:t>喷漆室内壁（含门、窗等）</w:t>
            </w:r>
          </w:p>
        </w:tc>
        <w:tc>
          <w:tcPr>
            <w:tcW w:w="2888" w:type="dxa"/>
            <w:noWrap w:val="0"/>
            <w:vAlign w:val="center"/>
          </w:tcPr>
          <w:p>
            <w:pPr>
              <w:jc w:val="center"/>
              <w:rPr>
                <w:rFonts w:hint="eastAsia" w:ascii="宋体" w:hAnsi="宋体"/>
                <w:szCs w:val="21"/>
              </w:rPr>
            </w:pPr>
            <w:r>
              <w:rPr>
                <w:rFonts w:hint="eastAsia" w:ascii="宋体" w:hAnsi="宋体"/>
                <w:szCs w:val="21"/>
              </w:rPr>
              <w:t>油漆</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3</w:t>
            </w:r>
          </w:p>
        </w:tc>
        <w:tc>
          <w:tcPr>
            <w:tcW w:w="3773" w:type="dxa"/>
            <w:noWrap w:val="0"/>
            <w:vAlign w:val="center"/>
          </w:tcPr>
          <w:p>
            <w:pPr>
              <w:rPr>
                <w:rFonts w:hint="eastAsia" w:ascii="宋体" w:hAnsi="宋体"/>
                <w:szCs w:val="21"/>
              </w:rPr>
            </w:pPr>
            <w:r>
              <w:rPr>
                <w:rFonts w:hint="eastAsia" w:ascii="宋体" w:hAnsi="宋体"/>
                <w:szCs w:val="21"/>
              </w:rPr>
              <w:t>擦净室、流平室</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4</w:t>
            </w:r>
          </w:p>
        </w:tc>
        <w:tc>
          <w:tcPr>
            <w:tcW w:w="3773" w:type="dxa"/>
            <w:noWrap w:val="0"/>
            <w:vAlign w:val="center"/>
          </w:tcPr>
          <w:p>
            <w:pPr>
              <w:rPr>
                <w:rFonts w:hint="eastAsia" w:ascii="宋体" w:hAnsi="宋体"/>
                <w:szCs w:val="21"/>
              </w:rPr>
            </w:pPr>
            <w:r>
              <w:rPr>
                <w:rFonts w:hint="eastAsia" w:ascii="宋体" w:hAnsi="宋体"/>
                <w:szCs w:val="21"/>
              </w:rPr>
              <w:t>循环水池</w:t>
            </w:r>
          </w:p>
        </w:tc>
        <w:tc>
          <w:tcPr>
            <w:tcW w:w="2888" w:type="dxa"/>
            <w:noWrap w:val="0"/>
            <w:vAlign w:val="center"/>
          </w:tcPr>
          <w:p>
            <w:pPr>
              <w:jc w:val="center"/>
              <w:rPr>
                <w:rFonts w:hint="eastAsia" w:ascii="宋体" w:hAnsi="宋体"/>
                <w:szCs w:val="21"/>
              </w:rPr>
            </w:pPr>
            <w:r>
              <w:rPr>
                <w:rFonts w:hint="eastAsia" w:ascii="宋体" w:hAnsi="宋体"/>
                <w:szCs w:val="21"/>
              </w:rPr>
              <w:t>废漆渣</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5</w:t>
            </w:r>
          </w:p>
        </w:tc>
        <w:tc>
          <w:tcPr>
            <w:tcW w:w="3773" w:type="dxa"/>
            <w:noWrap w:val="0"/>
            <w:vAlign w:val="center"/>
          </w:tcPr>
          <w:p>
            <w:pPr>
              <w:rPr>
                <w:rFonts w:hint="eastAsia" w:ascii="宋体" w:hAnsi="宋体"/>
                <w:szCs w:val="21"/>
              </w:rPr>
            </w:pPr>
            <w:r>
              <w:rPr>
                <w:rFonts w:hint="eastAsia" w:ascii="宋体" w:hAnsi="宋体"/>
                <w:szCs w:val="21"/>
              </w:rPr>
              <w:t>喷漆室所有水泵、电机、化学品加药系统</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6</w:t>
            </w:r>
          </w:p>
        </w:tc>
        <w:tc>
          <w:tcPr>
            <w:tcW w:w="3773" w:type="dxa"/>
            <w:noWrap w:val="0"/>
            <w:vAlign w:val="center"/>
          </w:tcPr>
          <w:p>
            <w:pPr>
              <w:rPr>
                <w:rFonts w:hint="eastAsia" w:ascii="宋体" w:hAnsi="宋体"/>
                <w:szCs w:val="21"/>
              </w:rPr>
            </w:pPr>
            <w:r>
              <w:rPr>
                <w:rFonts w:hint="eastAsia" w:ascii="宋体" w:hAnsi="宋体"/>
                <w:szCs w:val="21"/>
              </w:rPr>
              <w:t>隔膜泵、喷枪的清洗</w:t>
            </w:r>
          </w:p>
        </w:tc>
        <w:tc>
          <w:tcPr>
            <w:tcW w:w="2888" w:type="dxa"/>
            <w:noWrap w:val="0"/>
            <w:vAlign w:val="center"/>
          </w:tcPr>
          <w:p>
            <w:pPr>
              <w:jc w:val="center"/>
              <w:rPr>
                <w:rFonts w:hint="eastAsia" w:ascii="宋体" w:hAnsi="宋体"/>
                <w:szCs w:val="21"/>
              </w:rPr>
            </w:pPr>
            <w:r>
              <w:rPr>
                <w:rFonts w:hint="eastAsia" w:ascii="宋体" w:hAnsi="宋体"/>
                <w:szCs w:val="21"/>
              </w:rPr>
              <w:t>油漆</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7</w:t>
            </w:r>
          </w:p>
        </w:tc>
        <w:tc>
          <w:tcPr>
            <w:tcW w:w="3773" w:type="dxa"/>
            <w:noWrap w:val="0"/>
            <w:vAlign w:val="center"/>
          </w:tcPr>
          <w:p>
            <w:pPr>
              <w:rPr>
                <w:rFonts w:hint="eastAsia" w:ascii="宋体" w:hAnsi="宋体"/>
                <w:szCs w:val="21"/>
              </w:rPr>
            </w:pPr>
            <w:r>
              <w:rPr>
                <w:rFonts w:hint="eastAsia" w:ascii="宋体" w:hAnsi="宋体"/>
                <w:szCs w:val="21"/>
              </w:rPr>
              <w:t>面涂色漆前手喷</w:t>
            </w:r>
          </w:p>
        </w:tc>
        <w:tc>
          <w:tcPr>
            <w:tcW w:w="2888" w:type="dxa"/>
            <w:noWrap w:val="0"/>
            <w:vAlign w:val="center"/>
          </w:tcPr>
          <w:p>
            <w:pPr>
              <w:jc w:val="center"/>
              <w:rPr>
                <w:rFonts w:hint="eastAsia" w:ascii="宋体" w:hAnsi="宋体"/>
                <w:szCs w:val="21"/>
              </w:rPr>
            </w:pPr>
            <w:r>
              <w:rPr>
                <w:rFonts w:hint="eastAsia" w:ascii="宋体" w:hAnsi="宋体"/>
                <w:szCs w:val="21"/>
              </w:rPr>
              <w:t>玻璃、内壁、门窗</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8</w:t>
            </w:r>
          </w:p>
        </w:tc>
        <w:tc>
          <w:tcPr>
            <w:tcW w:w="3773" w:type="dxa"/>
            <w:noWrap w:val="0"/>
            <w:vAlign w:val="center"/>
          </w:tcPr>
          <w:p>
            <w:pPr>
              <w:rPr>
                <w:rFonts w:hint="eastAsia" w:ascii="宋体" w:hAnsi="宋体"/>
                <w:szCs w:val="21"/>
              </w:rPr>
            </w:pPr>
            <w:r>
              <w:rPr>
                <w:rFonts w:hint="eastAsia" w:ascii="宋体" w:hAnsi="宋体"/>
                <w:szCs w:val="21"/>
              </w:rPr>
              <w:t>中涂前手喷漆段</w:t>
            </w:r>
          </w:p>
        </w:tc>
        <w:tc>
          <w:tcPr>
            <w:tcW w:w="2888" w:type="dxa"/>
            <w:noWrap w:val="0"/>
            <w:vAlign w:val="center"/>
          </w:tcPr>
          <w:p>
            <w:pPr>
              <w:jc w:val="center"/>
              <w:rPr>
                <w:rFonts w:hint="eastAsia" w:ascii="宋体" w:hAnsi="宋体"/>
                <w:szCs w:val="21"/>
              </w:rPr>
            </w:pPr>
            <w:r>
              <w:rPr>
                <w:rFonts w:hint="eastAsia" w:ascii="宋体" w:hAnsi="宋体"/>
                <w:szCs w:val="21"/>
              </w:rPr>
              <w:t>内壁、往复机外表面、传送带</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9</w:t>
            </w:r>
          </w:p>
        </w:tc>
        <w:tc>
          <w:tcPr>
            <w:tcW w:w="3773" w:type="dxa"/>
            <w:noWrap w:val="0"/>
            <w:vAlign w:val="center"/>
          </w:tcPr>
          <w:p>
            <w:pPr>
              <w:rPr>
                <w:rFonts w:hint="eastAsia" w:ascii="宋体" w:hAnsi="宋体"/>
                <w:szCs w:val="21"/>
              </w:rPr>
            </w:pPr>
            <w:r>
              <w:rPr>
                <w:rFonts w:hint="eastAsia" w:ascii="宋体" w:hAnsi="宋体"/>
                <w:szCs w:val="21"/>
              </w:rPr>
              <w:t>中涂自动喷漆段</w:t>
            </w:r>
          </w:p>
        </w:tc>
        <w:tc>
          <w:tcPr>
            <w:tcW w:w="2888" w:type="dxa"/>
            <w:noWrap w:val="0"/>
            <w:vAlign w:val="center"/>
          </w:tcPr>
          <w:p>
            <w:pPr>
              <w:jc w:val="center"/>
              <w:rPr>
                <w:rFonts w:hint="eastAsia" w:ascii="宋体" w:hAnsi="宋体"/>
                <w:szCs w:val="21"/>
              </w:rPr>
            </w:pPr>
            <w:r>
              <w:rPr>
                <w:rFonts w:hint="eastAsia" w:ascii="宋体" w:hAnsi="宋体"/>
                <w:szCs w:val="21"/>
              </w:rPr>
              <w:t>内壁、往复机外表面、传送带</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10</w:t>
            </w:r>
          </w:p>
        </w:tc>
        <w:tc>
          <w:tcPr>
            <w:tcW w:w="3773" w:type="dxa"/>
            <w:noWrap w:val="0"/>
            <w:vAlign w:val="center"/>
          </w:tcPr>
          <w:p>
            <w:pPr>
              <w:rPr>
                <w:rFonts w:hint="eastAsia" w:ascii="宋体" w:hAnsi="宋体"/>
                <w:szCs w:val="21"/>
              </w:rPr>
            </w:pPr>
            <w:r>
              <w:rPr>
                <w:rFonts w:hint="eastAsia" w:ascii="宋体" w:hAnsi="宋体"/>
                <w:szCs w:val="21"/>
              </w:rPr>
              <w:t>中涂后手喷漆段</w:t>
            </w:r>
          </w:p>
        </w:tc>
        <w:tc>
          <w:tcPr>
            <w:tcW w:w="2888" w:type="dxa"/>
            <w:noWrap w:val="0"/>
            <w:vAlign w:val="center"/>
          </w:tcPr>
          <w:p>
            <w:pPr>
              <w:jc w:val="center"/>
              <w:rPr>
                <w:rFonts w:hint="eastAsia" w:ascii="宋体" w:hAnsi="宋体"/>
                <w:szCs w:val="21"/>
              </w:rPr>
            </w:pPr>
            <w:r>
              <w:rPr>
                <w:rFonts w:hint="eastAsia" w:ascii="宋体" w:hAnsi="宋体"/>
                <w:szCs w:val="21"/>
              </w:rPr>
              <w:t>内壁、往复机外表面、传送带</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8" w:hRule="atLeast"/>
          <w:jc w:val="center"/>
        </w:trPr>
        <w:tc>
          <w:tcPr>
            <w:tcW w:w="714" w:type="dxa"/>
            <w:gridSpan w:val="2"/>
            <w:noWrap w:val="0"/>
            <w:vAlign w:val="center"/>
          </w:tcPr>
          <w:p>
            <w:pPr>
              <w:ind w:firstLine="210" w:firstLineChars="100"/>
              <w:rPr>
                <w:rFonts w:hint="eastAsia" w:ascii="宋体" w:hAnsi="宋体"/>
                <w:szCs w:val="21"/>
              </w:rPr>
            </w:pPr>
            <w:r>
              <w:rPr>
                <w:rFonts w:hint="eastAsia" w:ascii="宋体" w:hAnsi="宋体"/>
                <w:szCs w:val="21"/>
              </w:rPr>
              <w:t>11</w:t>
            </w:r>
          </w:p>
        </w:tc>
        <w:tc>
          <w:tcPr>
            <w:tcW w:w="3773" w:type="dxa"/>
            <w:noWrap w:val="0"/>
            <w:vAlign w:val="center"/>
          </w:tcPr>
          <w:p>
            <w:pPr>
              <w:rPr>
                <w:rFonts w:hint="eastAsia" w:ascii="宋体" w:hAnsi="宋体"/>
                <w:szCs w:val="21"/>
              </w:rPr>
            </w:pPr>
            <w:r>
              <w:rPr>
                <w:rFonts w:hint="eastAsia" w:ascii="宋体" w:hAnsi="宋体"/>
                <w:szCs w:val="21"/>
              </w:rPr>
              <w:t>色漆自动喷漆段</w:t>
            </w:r>
          </w:p>
        </w:tc>
        <w:tc>
          <w:tcPr>
            <w:tcW w:w="2888" w:type="dxa"/>
            <w:noWrap w:val="0"/>
            <w:vAlign w:val="center"/>
          </w:tcPr>
          <w:p>
            <w:pPr>
              <w:jc w:val="center"/>
              <w:rPr>
                <w:rFonts w:hint="eastAsia" w:ascii="宋体" w:hAnsi="宋体"/>
                <w:szCs w:val="21"/>
              </w:rPr>
            </w:pPr>
            <w:r>
              <w:rPr>
                <w:rFonts w:hint="eastAsia" w:ascii="宋体" w:hAnsi="宋体"/>
                <w:szCs w:val="21"/>
              </w:rPr>
              <w:t>内壁、往复机外表面、传送带</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2"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12</w:t>
            </w:r>
          </w:p>
        </w:tc>
        <w:tc>
          <w:tcPr>
            <w:tcW w:w="3773" w:type="dxa"/>
            <w:noWrap w:val="0"/>
            <w:vAlign w:val="center"/>
          </w:tcPr>
          <w:p>
            <w:pPr>
              <w:rPr>
                <w:rFonts w:hint="eastAsia" w:ascii="宋体" w:hAnsi="宋体"/>
                <w:szCs w:val="21"/>
              </w:rPr>
            </w:pPr>
            <w:r>
              <w:rPr>
                <w:rFonts w:hint="eastAsia" w:ascii="宋体" w:hAnsi="宋体"/>
                <w:szCs w:val="21"/>
              </w:rPr>
              <w:t>色漆后手喷漆段</w:t>
            </w:r>
          </w:p>
        </w:tc>
        <w:tc>
          <w:tcPr>
            <w:tcW w:w="2888" w:type="dxa"/>
            <w:noWrap w:val="0"/>
            <w:vAlign w:val="center"/>
          </w:tcPr>
          <w:p>
            <w:pPr>
              <w:jc w:val="center"/>
              <w:rPr>
                <w:rFonts w:hint="eastAsia" w:ascii="宋体" w:hAnsi="宋体"/>
                <w:szCs w:val="21"/>
              </w:rPr>
            </w:pPr>
            <w:r>
              <w:rPr>
                <w:rFonts w:hint="eastAsia" w:ascii="宋体" w:hAnsi="宋体"/>
                <w:szCs w:val="21"/>
              </w:rPr>
              <w:t>玻璃、内壁、门窗、</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13</w:t>
            </w:r>
          </w:p>
        </w:tc>
        <w:tc>
          <w:tcPr>
            <w:tcW w:w="3773" w:type="dxa"/>
            <w:noWrap w:val="0"/>
            <w:vAlign w:val="center"/>
          </w:tcPr>
          <w:p>
            <w:pPr>
              <w:rPr>
                <w:rFonts w:hint="eastAsia" w:ascii="宋体" w:hAnsi="宋体"/>
                <w:szCs w:val="21"/>
              </w:rPr>
            </w:pPr>
            <w:r>
              <w:rPr>
                <w:rFonts w:hint="eastAsia" w:ascii="宋体" w:hAnsi="宋体"/>
                <w:szCs w:val="21"/>
              </w:rPr>
              <w:t>清漆前手喷漆段</w:t>
            </w:r>
          </w:p>
        </w:tc>
        <w:tc>
          <w:tcPr>
            <w:tcW w:w="2888" w:type="dxa"/>
            <w:noWrap w:val="0"/>
            <w:vAlign w:val="center"/>
          </w:tcPr>
          <w:p>
            <w:pPr>
              <w:jc w:val="center"/>
              <w:rPr>
                <w:rFonts w:hint="eastAsia" w:ascii="宋体" w:hAnsi="宋体"/>
                <w:szCs w:val="21"/>
              </w:rPr>
            </w:pPr>
            <w:r>
              <w:rPr>
                <w:rFonts w:hint="eastAsia" w:ascii="宋体" w:hAnsi="宋体"/>
                <w:szCs w:val="21"/>
              </w:rPr>
              <w:t>玻璃、内壁、门窗、</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14</w:t>
            </w:r>
          </w:p>
        </w:tc>
        <w:tc>
          <w:tcPr>
            <w:tcW w:w="3773" w:type="dxa"/>
            <w:noWrap w:val="0"/>
            <w:vAlign w:val="center"/>
          </w:tcPr>
          <w:p>
            <w:pPr>
              <w:rPr>
                <w:rFonts w:hint="eastAsia" w:ascii="宋体" w:hAnsi="宋体"/>
                <w:szCs w:val="21"/>
              </w:rPr>
            </w:pPr>
            <w:r>
              <w:rPr>
                <w:rFonts w:hint="eastAsia" w:ascii="宋体" w:hAnsi="宋体"/>
                <w:szCs w:val="21"/>
              </w:rPr>
              <w:t>清漆自动喷漆段</w:t>
            </w:r>
          </w:p>
        </w:tc>
        <w:tc>
          <w:tcPr>
            <w:tcW w:w="2888" w:type="dxa"/>
            <w:noWrap w:val="0"/>
            <w:vAlign w:val="center"/>
          </w:tcPr>
          <w:p>
            <w:pPr>
              <w:jc w:val="center"/>
              <w:rPr>
                <w:rFonts w:hint="eastAsia" w:ascii="宋体" w:hAnsi="宋体"/>
                <w:szCs w:val="21"/>
              </w:rPr>
            </w:pPr>
            <w:r>
              <w:rPr>
                <w:rFonts w:hint="eastAsia" w:ascii="宋体" w:hAnsi="宋体"/>
                <w:szCs w:val="21"/>
              </w:rPr>
              <w:t>内壁、往复机外表面、传送带</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15</w:t>
            </w:r>
          </w:p>
        </w:tc>
        <w:tc>
          <w:tcPr>
            <w:tcW w:w="3773" w:type="dxa"/>
            <w:noWrap w:val="0"/>
            <w:vAlign w:val="center"/>
          </w:tcPr>
          <w:p>
            <w:pPr>
              <w:rPr>
                <w:rFonts w:hint="eastAsia" w:ascii="宋体" w:hAnsi="宋体"/>
                <w:szCs w:val="21"/>
              </w:rPr>
            </w:pPr>
            <w:r>
              <w:rPr>
                <w:rFonts w:hint="eastAsia" w:ascii="宋体" w:hAnsi="宋体"/>
                <w:szCs w:val="21"/>
              </w:rPr>
              <w:t>清漆后手喷漆段</w:t>
            </w:r>
          </w:p>
        </w:tc>
        <w:tc>
          <w:tcPr>
            <w:tcW w:w="2888" w:type="dxa"/>
            <w:noWrap w:val="0"/>
            <w:vAlign w:val="center"/>
          </w:tcPr>
          <w:p>
            <w:pPr>
              <w:jc w:val="center"/>
              <w:rPr>
                <w:rFonts w:hint="eastAsia" w:ascii="宋体" w:hAnsi="宋体"/>
                <w:szCs w:val="21"/>
              </w:rPr>
            </w:pPr>
            <w:r>
              <w:rPr>
                <w:rFonts w:hint="eastAsia" w:ascii="宋体" w:hAnsi="宋体"/>
                <w:szCs w:val="21"/>
              </w:rPr>
              <w:t>玻璃、内壁、门窗、</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6"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16</w:t>
            </w:r>
          </w:p>
        </w:tc>
        <w:tc>
          <w:tcPr>
            <w:tcW w:w="3773" w:type="dxa"/>
            <w:noWrap w:val="0"/>
            <w:vAlign w:val="center"/>
          </w:tcPr>
          <w:p>
            <w:pPr>
              <w:rPr>
                <w:rFonts w:hint="eastAsia" w:ascii="宋体" w:hAnsi="宋体"/>
                <w:szCs w:val="21"/>
              </w:rPr>
            </w:pPr>
            <w:r>
              <w:rPr>
                <w:rFonts w:hint="eastAsia" w:ascii="宋体" w:hAnsi="宋体"/>
                <w:szCs w:val="21"/>
              </w:rPr>
              <w:t>室内输送链段</w:t>
            </w:r>
          </w:p>
        </w:tc>
        <w:tc>
          <w:tcPr>
            <w:tcW w:w="2888" w:type="dxa"/>
            <w:noWrap w:val="0"/>
            <w:vAlign w:val="center"/>
          </w:tcPr>
          <w:p>
            <w:pPr>
              <w:jc w:val="center"/>
              <w:rPr>
                <w:rFonts w:hint="eastAsia" w:ascii="宋体" w:hAnsi="宋体"/>
                <w:szCs w:val="21"/>
              </w:rPr>
            </w:pPr>
            <w:r>
              <w:rPr>
                <w:rFonts w:hint="eastAsia" w:ascii="宋体" w:hAnsi="宋体"/>
                <w:szCs w:val="21"/>
              </w:rPr>
              <w:t>油漆、润滑油</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17</w:t>
            </w:r>
          </w:p>
        </w:tc>
        <w:tc>
          <w:tcPr>
            <w:tcW w:w="3773" w:type="dxa"/>
            <w:noWrap w:val="0"/>
            <w:vAlign w:val="center"/>
          </w:tcPr>
          <w:p>
            <w:pPr>
              <w:rPr>
                <w:rFonts w:hint="eastAsia" w:ascii="宋体" w:hAnsi="宋体"/>
                <w:szCs w:val="21"/>
              </w:rPr>
            </w:pPr>
            <w:r>
              <w:rPr>
                <w:rFonts w:hint="eastAsia" w:ascii="宋体" w:hAnsi="宋体"/>
                <w:szCs w:val="21"/>
              </w:rPr>
              <w:t>动/静压室</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18</w:t>
            </w:r>
          </w:p>
        </w:tc>
        <w:tc>
          <w:tcPr>
            <w:tcW w:w="3773" w:type="dxa"/>
            <w:noWrap w:val="0"/>
            <w:vAlign w:val="center"/>
          </w:tcPr>
          <w:p>
            <w:pPr>
              <w:rPr>
                <w:rFonts w:hint="eastAsia" w:ascii="宋体" w:hAnsi="宋体"/>
                <w:szCs w:val="21"/>
              </w:rPr>
            </w:pPr>
            <w:r>
              <w:rPr>
                <w:rFonts w:hint="eastAsia" w:ascii="宋体" w:hAnsi="宋体"/>
                <w:szCs w:val="21"/>
              </w:rPr>
              <w:t>喷漆室区域周边环境</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2" w:hRule="atLeast"/>
          <w:jc w:val="center"/>
        </w:trPr>
        <w:tc>
          <w:tcPr>
            <w:tcW w:w="714" w:type="dxa"/>
            <w:gridSpan w:val="2"/>
            <w:noWrap w:val="0"/>
            <w:vAlign w:val="center"/>
          </w:tcPr>
          <w:p>
            <w:pPr>
              <w:jc w:val="center"/>
              <w:rPr>
                <w:rFonts w:hint="eastAsia" w:ascii="宋体" w:hAnsi="宋体"/>
                <w:b/>
                <w:szCs w:val="21"/>
              </w:rPr>
            </w:pPr>
            <w:r>
              <w:rPr>
                <w:rFonts w:hint="eastAsia" w:ascii="宋体" w:hAnsi="宋体"/>
                <w:b/>
                <w:szCs w:val="21"/>
              </w:rPr>
              <w:t>五</w:t>
            </w:r>
          </w:p>
        </w:tc>
        <w:tc>
          <w:tcPr>
            <w:tcW w:w="8302" w:type="dxa"/>
            <w:gridSpan w:val="5"/>
            <w:noWrap w:val="0"/>
            <w:vAlign w:val="center"/>
          </w:tcPr>
          <w:p>
            <w:pPr>
              <w:rPr>
                <w:rFonts w:hint="eastAsia" w:ascii="宋体" w:hAnsi="宋体"/>
                <w:b/>
                <w:szCs w:val="21"/>
              </w:rPr>
            </w:pPr>
            <w:r>
              <w:rPr>
                <w:rFonts w:hint="eastAsia" w:ascii="宋体" w:hAnsi="宋体"/>
                <w:b/>
                <w:szCs w:val="21"/>
              </w:rPr>
              <w:t>空调机组、送排风道、风机房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8"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1</w:t>
            </w:r>
          </w:p>
        </w:tc>
        <w:tc>
          <w:tcPr>
            <w:tcW w:w="3773" w:type="dxa"/>
            <w:noWrap w:val="0"/>
            <w:vAlign w:val="center"/>
          </w:tcPr>
          <w:p>
            <w:pPr>
              <w:rPr>
                <w:rFonts w:hint="eastAsia" w:ascii="宋体" w:hAnsi="宋体"/>
                <w:szCs w:val="21"/>
              </w:rPr>
            </w:pPr>
            <w:r>
              <w:rPr>
                <w:rFonts w:hint="eastAsia" w:ascii="宋体" w:hAnsi="宋体"/>
                <w:szCs w:val="21"/>
              </w:rPr>
              <w:t>所有空调机组系统外部所有设备设施</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2</w:t>
            </w:r>
          </w:p>
        </w:tc>
        <w:tc>
          <w:tcPr>
            <w:tcW w:w="3773" w:type="dxa"/>
            <w:noWrap w:val="0"/>
            <w:vAlign w:val="center"/>
          </w:tcPr>
          <w:p>
            <w:pPr>
              <w:rPr>
                <w:rFonts w:hint="eastAsia" w:ascii="宋体" w:hAnsi="宋体"/>
                <w:szCs w:val="21"/>
              </w:rPr>
            </w:pPr>
            <w:r>
              <w:rPr>
                <w:rFonts w:hint="eastAsia" w:ascii="宋体" w:hAnsi="宋体"/>
                <w:szCs w:val="21"/>
              </w:rPr>
              <w:t>排风管道系统内外（含管道内漆渣清理）</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noWrap w:val="0"/>
            <w:vAlign w:val="center"/>
          </w:tcPr>
          <w:p>
            <w:pPr>
              <w:jc w:val="center"/>
              <w:rPr>
                <w:rFonts w:hint="eastAsia" w:ascii="宋体" w:hAnsi="宋体"/>
                <w:szCs w:val="21"/>
              </w:rPr>
            </w:pPr>
          </w:p>
        </w:tc>
        <w:tc>
          <w:tcPr>
            <w:tcW w:w="540" w:type="dxa"/>
            <w:noWrap w:val="0"/>
            <w:vAlign w:val="center"/>
          </w:tcPr>
          <w:p>
            <w:pPr>
              <w:jc w:val="center"/>
              <w:rPr>
                <w:rFonts w:hint="eastAsia" w:ascii="宋体" w:hAnsi="宋体"/>
                <w:szCs w:val="21"/>
              </w:rPr>
            </w:pPr>
            <w:r>
              <w:rPr>
                <w:rFonts w:hint="eastAsia" w:ascii="宋体" w:hAnsi="宋体"/>
                <w:szCs w:val="21"/>
              </w:rPr>
              <w:t>●</w:t>
            </w:r>
          </w:p>
        </w:tc>
        <w:tc>
          <w:tcPr>
            <w:tcW w:w="561"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14" w:type="dxa"/>
            <w:gridSpan w:val="2"/>
            <w:noWrap w:val="0"/>
            <w:vAlign w:val="center"/>
          </w:tcPr>
          <w:p>
            <w:pPr>
              <w:jc w:val="center"/>
              <w:rPr>
                <w:rFonts w:hint="eastAsia" w:ascii="宋体" w:hAnsi="宋体"/>
                <w:szCs w:val="21"/>
              </w:rPr>
            </w:pPr>
            <w:r>
              <w:rPr>
                <w:rFonts w:hint="eastAsia" w:ascii="宋体" w:hAnsi="宋体"/>
                <w:szCs w:val="21"/>
              </w:rPr>
              <w:t>3</w:t>
            </w:r>
          </w:p>
        </w:tc>
        <w:tc>
          <w:tcPr>
            <w:tcW w:w="3773" w:type="dxa"/>
            <w:noWrap w:val="0"/>
            <w:vAlign w:val="center"/>
          </w:tcPr>
          <w:p>
            <w:pPr>
              <w:rPr>
                <w:rFonts w:hint="eastAsia" w:ascii="宋体" w:hAnsi="宋体"/>
                <w:szCs w:val="21"/>
              </w:rPr>
            </w:pPr>
            <w:r>
              <w:rPr>
                <w:rFonts w:hint="eastAsia" w:ascii="宋体" w:hAnsi="宋体"/>
                <w:szCs w:val="21"/>
              </w:rPr>
              <w:t>所有送风系统管道（内部人员可进出部位含送风管道）</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noWrap w:val="0"/>
            <w:vAlign w:val="center"/>
          </w:tcPr>
          <w:p>
            <w:pPr>
              <w:jc w:val="center"/>
              <w:rPr>
                <w:rFonts w:hint="eastAsia" w:ascii="宋体" w:hAnsi="宋体"/>
                <w:szCs w:val="21"/>
              </w:rPr>
            </w:pPr>
            <w:r>
              <w:rPr>
                <w:rFonts w:hint="eastAsia" w:ascii="宋体" w:hAnsi="宋体"/>
                <w:szCs w:val="21"/>
              </w:rPr>
              <w:t>●</w:t>
            </w:r>
          </w:p>
        </w:tc>
        <w:tc>
          <w:tcPr>
            <w:tcW w:w="540" w:type="dxa"/>
            <w:noWrap w:val="0"/>
            <w:vAlign w:val="center"/>
          </w:tcPr>
          <w:p>
            <w:pPr>
              <w:jc w:val="center"/>
              <w:rPr>
                <w:rFonts w:hint="eastAsia" w:ascii="宋体" w:hAnsi="宋体"/>
                <w:szCs w:val="21"/>
              </w:rPr>
            </w:pPr>
          </w:p>
        </w:tc>
        <w:tc>
          <w:tcPr>
            <w:tcW w:w="561"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4</w:t>
            </w:r>
          </w:p>
        </w:tc>
        <w:tc>
          <w:tcPr>
            <w:tcW w:w="3805" w:type="dxa"/>
            <w:gridSpan w:val="2"/>
            <w:noWrap w:val="0"/>
            <w:vAlign w:val="center"/>
          </w:tcPr>
          <w:p>
            <w:pPr>
              <w:rPr>
                <w:rFonts w:hint="eastAsia" w:ascii="宋体" w:hAnsi="宋体"/>
                <w:szCs w:val="21"/>
              </w:rPr>
            </w:pPr>
            <w:r>
              <w:rPr>
                <w:rFonts w:hint="eastAsia" w:ascii="宋体" w:hAnsi="宋体"/>
                <w:szCs w:val="21"/>
              </w:rPr>
              <w:t>空调平台（地面、格栅、墙面、房顶、钢构等）</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noWrap w:val="0"/>
            <w:vAlign w:val="center"/>
          </w:tcPr>
          <w:p>
            <w:pPr>
              <w:jc w:val="center"/>
              <w:rPr>
                <w:rFonts w:hint="eastAsia" w:ascii="宋体" w:hAnsi="宋体"/>
                <w:szCs w:val="21"/>
              </w:rPr>
            </w:pPr>
          </w:p>
        </w:tc>
        <w:tc>
          <w:tcPr>
            <w:tcW w:w="540" w:type="dxa"/>
            <w:noWrap w:val="0"/>
            <w:vAlign w:val="center"/>
          </w:tcPr>
          <w:p>
            <w:pPr>
              <w:jc w:val="center"/>
              <w:rPr>
                <w:rFonts w:hint="eastAsia" w:ascii="宋体" w:hAnsi="宋体"/>
                <w:szCs w:val="21"/>
              </w:rPr>
            </w:pPr>
            <w:r>
              <w:rPr>
                <w:rFonts w:hint="eastAsia" w:ascii="宋体" w:hAnsi="宋体"/>
                <w:szCs w:val="21"/>
              </w:rPr>
              <w:t>●</w:t>
            </w:r>
          </w:p>
        </w:tc>
        <w:tc>
          <w:tcPr>
            <w:tcW w:w="561"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2" w:type="dxa"/>
            <w:noWrap w:val="0"/>
            <w:vAlign w:val="center"/>
          </w:tcPr>
          <w:p>
            <w:pPr>
              <w:jc w:val="center"/>
              <w:rPr>
                <w:rFonts w:hint="eastAsia" w:ascii="宋体" w:hAnsi="宋体"/>
                <w:b/>
                <w:szCs w:val="21"/>
              </w:rPr>
            </w:pPr>
            <w:r>
              <w:rPr>
                <w:rFonts w:hint="eastAsia" w:ascii="宋体" w:hAnsi="宋体"/>
                <w:b/>
                <w:szCs w:val="21"/>
              </w:rPr>
              <w:t>六</w:t>
            </w:r>
          </w:p>
        </w:tc>
        <w:tc>
          <w:tcPr>
            <w:tcW w:w="8334" w:type="dxa"/>
            <w:gridSpan w:val="6"/>
            <w:noWrap w:val="0"/>
            <w:vAlign w:val="center"/>
          </w:tcPr>
          <w:p>
            <w:pPr>
              <w:rPr>
                <w:rFonts w:hint="eastAsia" w:ascii="宋体" w:hAnsi="宋体"/>
                <w:b/>
                <w:szCs w:val="21"/>
              </w:rPr>
            </w:pPr>
            <w:r>
              <w:rPr>
                <w:rFonts w:hint="eastAsia" w:ascii="宋体" w:hAnsi="宋体"/>
                <w:b/>
                <w:szCs w:val="21"/>
              </w:rPr>
              <w:t>打磨擦净、注胶线、PVC区、点补、精饰区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4"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1</w:t>
            </w:r>
          </w:p>
        </w:tc>
        <w:tc>
          <w:tcPr>
            <w:tcW w:w="3805" w:type="dxa"/>
            <w:gridSpan w:val="2"/>
            <w:noWrap w:val="0"/>
            <w:vAlign w:val="center"/>
          </w:tcPr>
          <w:p>
            <w:pPr>
              <w:rPr>
                <w:rFonts w:hint="eastAsia" w:ascii="宋体" w:hAnsi="宋体"/>
                <w:szCs w:val="21"/>
              </w:rPr>
            </w:pPr>
            <w:r>
              <w:rPr>
                <w:rFonts w:hint="eastAsia" w:ascii="宋体" w:hAnsi="宋体"/>
                <w:szCs w:val="21"/>
              </w:rPr>
              <w:t>室体内外壁面、玻璃窗</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2</w:t>
            </w:r>
          </w:p>
        </w:tc>
        <w:tc>
          <w:tcPr>
            <w:tcW w:w="3805" w:type="dxa"/>
            <w:gridSpan w:val="2"/>
            <w:noWrap w:val="0"/>
            <w:vAlign w:val="center"/>
          </w:tcPr>
          <w:p>
            <w:pPr>
              <w:rPr>
                <w:rFonts w:hint="eastAsia" w:ascii="宋体" w:hAnsi="宋体"/>
                <w:szCs w:val="21"/>
              </w:rPr>
            </w:pPr>
            <w:r>
              <w:rPr>
                <w:rFonts w:hint="eastAsia" w:ascii="宋体" w:hAnsi="宋体"/>
                <w:szCs w:val="21"/>
              </w:rPr>
              <w:t>网格板、格栅板及其下水盒</w:t>
            </w:r>
          </w:p>
        </w:tc>
        <w:tc>
          <w:tcPr>
            <w:tcW w:w="2888" w:type="dxa"/>
            <w:noWrap w:val="0"/>
            <w:vAlign w:val="center"/>
          </w:tcPr>
          <w:p>
            <w:pPr>
              <w:jc w:val="center"/>
              <w:rPr>
                <w:rFonts w:hint="eastAsia" w:ascii="宋体" w:hAnsi="宋体"/>
                <w:szCs w:val="21"/>
              </w:rPr>
            </w:pPr>
            <w:r>
              <w:rPr>
                <w:rFonts w:hint="eastAsia" w:ascii="宋体" w:hAnsi="宋体"/>
                <w:szCs w:val="21"/>
              </w:rPr>
              <w:t>灰尘、更换</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w:t>
            </w:r>
          </w:p>
        </w:tc>
        <w:tc>
          <w:tcPr>
            <w:tcW w:w="561" w:type="dxa"/>
            <w:tcBorders>
              <w:left w:val="single" w:color="auto" w:sz="4" w:space="0"/>
            </w:tcBorders>
            <w:noWrap w:val="0"/>
            <w:vAlign w:val="center"/>
          </w:tcPr>
          <w:p>
            <w:pPr>
              <w:jc w:val="center"/>
              <w:rPr>
                <w:rFonts w:hint="eastAsia" w:ascii="宋体" w:hAnsi="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3</w:t>
            </w:r>
          </w:p>
        </w:tc>
        <w:tc>
          <w:tcPr>
            <w:tcW w:w="3805" w:type="dxa"/>
            <w:gridSpan w:val="2"/>
            <w:noWrap w:val="0"/>
            <w:vAlign w:val="center"/>
          </w:tcPr>
          <w:p>
            <w:pPr>
              <w:rPr>
                <w:rFonts w:hint="eastAsia" w:ascii="宋体" w:hAnsi="宋体"/>
                <w:szCs w:val="21"/>
              </w:rPr>
            </w:pPr>
            <w:r>
              <w:rPr>
                <w:rFonts w:hint="eastAsia" w:ascii="宋体" w:hAnsi="宋体"/>
                <w:szCs w:val="21"/>
              </w:rPr>
              <w:t>工位平台及其下地板</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1"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4</w:t>
            </w:r>
          </w:p>
        </w:tc>
        <w:tc>
          <w:tcPr>
            <w:tcW w:w="3805" w:type="dxa"/>
            <w:gridSpan w:val="2"/>
            <w:noWrap w:val="0"/>
            <w:vAlign w:val="center"/>
          </w:tcPr>
          <w:p>
            <w:pPr>
              <w:rPr>
                <w:rFonts w:hint="eastAsia" w:ascii="宋体" w:hAnsi="宋体"/>
                <w:szCs w:val="21"/>
              </w:rPr>
            </w:pPr>
            <w:r>
              <w:rPr>
                <w:rFonts w:hint="eastAsia" w:ascii="宋体" w:hAnsi="宋体"/>
                <w:szCs w:val="21"/>
              </w:rPr>
              <w:t>工位结构架、灯箱（罩）</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2"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5</w:t>
            </w:r>
          </w:p>
        </w:tc>
        <w:tc>
          <w:tcPr>
            <w:tcW w:w="3805" w:type="dxa"/>
            <w:gridSpan w:val="2"/>
            <w:noWrap w:val="0"/>
            <w:vAlign w:val="center"/>
          </w:tcPr>
          <w:p>
            <w:pPr>
              <w:rPr>
                <w:rFonts w:hint="eastAsia" w:ascii="宋体" w:hAnsi="宋体"/>
                <w:szCs w:val="21"/>
              </w:rPr>
            </w:pPr>
            <w:r>
              <w:rPr>
                <w:rFonts w:hint="eastAsia" w:ascii="宋体" w:hAnsi="宋体"/>
                <w:szCs w:val="21"/>
              </w:rPr>
              <w:t>密封胶、PVC、裙边胶胶管</w:t>
            </w:r>
          </w:p>
        </w:tc>
        <w:tc>
          <w:tcPr>
            <w:tcW w:w="2888" w:type="dxa"/>
            <w:noWrap w:val="0"/>
            <w:vAlign w:val="center"/>
          </w:tcPr>
          <w:p>
            <w:pPr>
              <w:jc w:val="center"/>
              <w:rPr>
                <w:rFonts w:hint="eastAsia" w:ascii="宋体" w:hAnsi="宋体"/>
                <w:szCs w:val="21"/>
              </w:rPr>
            </w:pPr>
            <w:r>
              <w:rPr>
                <w:rFonts w:hint="eastAsia" w:ascii="宋体" w:hAnsi="宋体"/>
                <w:szCs w:val="21"/>
              </w:rPr>
              <w:t>灰尘、残胶</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9" w:hRule="atLeast"/>
          <w:jc w:val="center"/>
        </w:trPr>
        <w:tc>
          <w:tcPr>
            <w:tcW w:w="682" w:type="dxa"/>
            <w:noWrap w:val="0"/>
            <w:vAlign w:val="center"/>
          </w:tcPr>
          <w:p>
            <w:pPr>
              <w:jc w:val="center"/>
              <w:rPr>
                <w:rFonts w:hint="eastAsia" w:ascii="宋体" w:hAnsi="宋体"/>
                <w:b/>
                <w:szCs w:val="21"/>
              </w:rPr>
            </w:pPr>
            <w:r>
              <w:rPr>
                <w:rFonts w:hint="eastAsia" w:ascii="宋体" w:hAnsi="宋体"/>
                <w:b/>
                <w:szCs w:val="21"/>
              </w:rPr>
              <w:t>七</w:t>
            </w:r>
          </w:p>
        </w:tc>
        <w:tc>
          <w:tcPr>
            <w:tcW w:w="8334" w:type="dxa"/>
            <w:gridSpan w:val="6"/>
            <w:noWrap w:val="0"/>
            <w:vAlign w:val="center"/>
          </w:tcPr>
          <w:p>
            <w:pPr>
              <w:rPr>
                <w:rFonts w:hint="eastAsia" w:ascii="宋体" w:hAnsi="宋体"/>
                <w:b/>
                <w:szCs w:val="21"/>
              </w:rPr>
            </w:pPr>
            <w:r>
              <w:rPr>
                <w:rFonts w:hint="eastAsia" w:ascii="宋体" w:hAnsi="宋体"/>
                <w:b/>
                <w:szCs w:val="21"/>
              </w:rPr>
              <w:t>输送链系统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1"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1</w:t>
            </w:r>
          </w:p>
        </w:tc>
        <w:tc>
          <w:tcPr>
            <w:tcW w:w="3805" w:type="dxa"/>
            <w:gridSpan w:val="2"/>
            <w:noWrap w:val="0"/>
            <w:vAlign w:val="center"/>
          </w:tcPr>
          <w:p>
            <w:pPr>
              <w:rPr>
                <w:rFonts w:hint="eastAsia" w:ascii="宋体" w:hAnsi="宋体"/>
                <w:szCs w:val="21"/>
              </w:rPr>
            </w:pPr>
            <w:r>
              <w:rPr>
                <w:rFonts w:hint="eastAsia" w:ascii="宋体" w:hAnsi="宋体"/>
                <w:szCs w:val="21"/>
              </w:rPr>
              <w:t>输送链轨道、链条、框架、传动站、升降机、防护装置、吊具、台车（滑撬）存储区、全线接油盘</w:t>
            </w:r>
          </w:p>
        </w:tc>
        <w:tc>
          <w:tcPr>
            <w:tcW w:w="2888" w:type="dxa"/>
            <w:noWrap w:val="0"/>
            <w:vAlign w:val="center"/>
          </w:tcPr>
          <w:p>
            <w:pPr>
              <w:jc w:val="center"/>
              <w:rPr>
                <w:rFonts w:hint="eastAsia" w:ascii="宋体" w:hAnsi="宋体"/>
                <w:szCs w:val="21"/>
              </w:rPr>
            </w:pPr>
            <w:r>
              <w:rPr>
                <w:rFonts w:hint="eastAsia" w:ascii="宋体" w:hAnsi="宋体"/>
                <w:szCs w:val="21"/>
              </w:rPr>
              <w:t>灰尘、铁屑、油污</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jc w:val="center"/>
        </w:trPr>
        <w:tc>
          <w:tcPr>
            <w:tcW w:w="682" w:type="dxa"/>
            <w:noWrap w:val="0"/>
            <w:vAlign w:val="center"/>
          </w:tcPr>
          <w:p>
            <w:pPr>
              <w:jc w:val="center"/>
              <w:rPr>
                <w:rFonts w:hint="eastAsia" w:ascii="宋体" w:hAnsi="宋体"/>
                <w:b/>
                <w:szCs w:val="21"/>
              </w:rPr>
            </w:pPr>
            <w:r>
              <w:rPr>
                <w:rFonts w:hint="eastAsia" w:ascii="宋体" w:hAnsi="宋体"/>
                <w:b/>
                <w:szCs w:val="21"/>
              </w:rPr>
              <w:t>八</w:t>
            </w:r>
          </w:p>
        </w:tc>
        <w:tc>
          <w:tcPr>
            <w:tcW w:w="8334" w:type="dxa"/>
            <w:gridSpan w:val="6"/>
            <w:noWrap w:val="0"/>
            <w:vAlign w:val="center"/>
          </w:tcPr>
          <w:p>
            <w:pPr>
              <w:rPr>
                <w:rFonts w:hint="eastAsia" w:ascii="宋体" w:hAnsi="宋体"/>
                <w:b/>
                <w:szCs w:val="21"/>
              </w:rPr>
            </w:pPr>
            <w:r>
              <w:rPr>
                <w:rFonts w:hint="eastAsia" w:ascii="宋体" w:hAnsi="宋体"/>
                <w:b/>
                <w:szCs w:val="21"/>
              </w:rPr>
              <w:t>整个车间照明、控制系统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1</w:t>
            </w:r>
          </w:p>
        </w:tc>
        <w:tc>
          <w:tcPr>
            <w:tcW w:w="3805" w:type="dxa"/>
            <w:gridSpan w:val="2"/>
            <w:noWrap w:val="0"/>
            <w:vAlign w:val="center"/>
          </w:tcPr>
          <w:p>
            <w:pPr>
              <w:rPr>
                <w:rFonts w:hint="eastAsia" w:ascii="宋体" w:hAnsi="宋体"/>
                <w:szCs w:val="21"/>
              </w:rPr>
            </w:pPr>
            <w:r>
              <w:rPr>
                <w:rFonts w:hint="eastAsia" w:ascii="宋体" w:hAnsi="宋体"/>
                <w:szCs w:val="21"/>
              </w:rPr>
              <w:t>灯具、灯箱</w:t>
            </w:r>
          </w:p>
        </w:tc>
        <w:tc>
          <w:tcPr>
            <w:tcW w:w="2888" w:type="dxa"/>
            <w:noWrap w:val="0"/>
            <w:vAlign w:val="center"/>
          </w:tcPr>
          <w:p>
            <w:pPr>
              <w:jc w:val="center"/>
              <w:rPr>
                <w:rFonts w:hint="eastAsia" w:ascii="宋体" w:hAnsi="宋体"/>
                <w:szCs w:val="21"/>
              </w:rPr>
            </w:pPr>
            <w:r>
              <w:rPr>
                <w:rFonts w:hint="eastAsia" w:ascii="宋体" w:hAnsi="宋体"/>
                <w:szCs w:val="21"/>
              </w:rPr>
              <w:t>灰尘、铁屑</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8"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2</w:t>
            </w:r>
          </w:p>
        </w:tc>
        <w:tc>
          <w:tcPr>
            <w:tcW w:w="3805" w:type="dxa"/>
            <w:gridSpan w:val="2"/>
            <w:noWrap w:val="0"/>
            <w:vAlign w:val="center"/>
          </w:tcPr>
          <w:p>
            <w:pPr>
              <w:rPr>
                <w:rFonts w:hint="eastAsia" w:ascii="宋体" w:hAnsi="宋体"/>
                <w:szCs w:val="21"/>
              </w:rPr>
            </w:pPr>
            <w:r>
              <w:rPr>
                <w:rFonts w:hint="eastAsia" w:ascii="宋体" w:hAnsi="宋体"/>
                <w:szCs w:val="21"/>
              </w:rPr>
              <w:t>各控制柜外表面、控制线</w:t>
            </w:r>
          </w:p>
        </w:tc>
        <w:tc>
          <w:tcPr>
            <w:tcW w:w="2888" w:type="dxa"/>
            <w:noWrap w:val="0"/>
            <w:vAlign w:val="center"/>
          </w:tcPr>
          <w:p>
            <w:pPr>
              <w:jc w:val="center"/>
              <w:rPr>
                <w:rFonts w:hint="eastAsia" w:ascii="宋体" w:hAnsi="宋体"/>
                <w:szCs w:val="21"/>
              </w:rPr>
            </w:pPr>
            <w:r>
              <w:rPr>
                <w:rFonts w:hint="eastAsia" w:ascii="宋体" w:hAnsi="宋体"/>
                <w:szCs w:val="21"/>
              </w:rPr>
              <w:t>灰尘</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8" w:hRule="atLeast"/>
          <w:jc w:val="center"/>
        </w:trPr>
        <w:tc>
          <w:tcPr>
            <w:tcW w:w="682" w:type="dxa"/>
            <w:noWrap w:val="0"/>
            <w:vAlign w:val="center"/>
          </w:tcPr>
          <w:p>
            <w:pPr>
              <w:jc w:val="center"/>
              <w:rPr>
                <w:rFonts w:hint="eastAsia" w:ascii="宋体" w:hAnsi="宋体"/>
                <w:b/>
                <w:szCs w:val="21"/>
              </w:rPr>
            </w:pPr>
            <w:r>
              <w:rPr>
                <w:rFonts w:hint="eastAsia" w:ascii="宋体" w:hAnsi="宋体"/>
                <w:b/>
                <w:szCs w:val="21"/>
              </w:rPr>
              <w:t>九</w:t>
            </w:r>
          </w:p>
        </w:tc>
        <w:tc>
          <w:tcPr>
            <w:tcW w:w="8334" w:type="dxa"/>
            <w:gridSpan w:val="6"/>
            <w:noWrap w:val="0"/>
            <w:vAlign w:val="center"/>
          </w:tcPr>
          <w:p>
            <w:pPr>
              <w:rPr>
                <w:rFonts w:hint="eastAsia" w:ascii="宋体" w:hAnsi="宋体"/>
                <w:b/>
                <w:szCs w:val="21"/>
              </w:rPr>
            </w:pPr>
            <w:r>
              <w:rPr>
                <w:rFonts w:hint="eastAsia" w:ascii="宋体" w:hAnsi="宋体"/>
                <w:b/>
                <w:szCs w:val="21"/>
              </w:rPr>
              <w:t>台车（滑撬）、吊具、工装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0"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1</w:t>
            </w:r>
          </w:p>
        </w:tc>
        <w:tc>
          <w:tcPr>
            <w:tcW w:w="3805" w:type="dxa"/>
            <w:gridSpan w:val="2"/>
            <w:noWrap w:val="0"/>
            <w:vAlign w:val="center"/>
          </w:tcPr>
          <w:p>
            <w:pPr>
              <w:rPr>
                <w:rFonts w:hint="eastAsia" w:ascii="宋体" w:hAnsi="宋体"/>
                <w:szCs w:val="21"/>
              </w:rPr>
            </w:pPr>
            <w:r>
              <w:rPr>
                <w:rFonts w:hint="eastAsia" w:ascii="宋体" w:hAnsi="宋体"/>
                <w:szCs w:val="21"/>
              </w:rPr>
              <w:t>工装、配件返修车清洁</w:t>
            </w:r>
          </w:p>
        </w:tc>
        <w:tc>
          <w:tcPr>
            <w:tcW w:w="2888" w:type="dxa"/>
            <w:noWrap w:val="0"/>
            <w:vAlign w:val="center"/>
          </w:tcPr>
          <w:p>
            <w:pPr>
              <w:rPr>
                <w:rFonts w:hint="eastAsia" w:ascii="宋体" w:hAnsi="宋体"/>
                <w:szCs w:val="21"/>
              </w:rPr>
            </w:pPr>
            <w:r>
              <w:rPr>
                <w:rFonts w:hint="eastAsia" w:ascii="宋体" w:hAnsi="宋体"/>
                <w:szCs w:val="21"/>
              </w:rPr>
              <w:t>浸泡、除垢、清洗</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2</w:t>
            </w:r>
          </w:p>
        </w:tc>
        <w:tc>
          <w:tcPr>
            <w:tcW w:w="3805" w:type="dxa"/>
            <w:gridSpan w:val="2"/>
            <w:noWrap w:val="0"/>
            <w:vAlign w:val="center"/>
          </w:tcPr>
          <w:p>
            <w:pPr>
              <w:rPr>
                <w:rFonts w:hint="eastAsia" w:ascii="宋体" w:hAnsi="宋体"/>
                <w:szCs w:val="21"/>
              </w:rPr>
            </w:pPr>
            <w:r>
              <w:rPr>
                <w:rFonts w:hint="eastAsia" w:ascii="宋体" w:hAnsi="宋体"/>
                <w:szCs w:val="21"/>
              </w:rPr>
              <w:t>前处理吊具</w:t>
            </w:r>
            <w:r>
              <w:rPr>
                <w:rFonts w:hint="eastAsia" w:ascii="宋体" w:hAnsi="宋体"/>
                <w:color w:val="000000"/>
                <w:szCs w:val="21"/>
              </w:rPr>
              <w:t>、PVC抱具</w:t>
            </w:r>
            <w:r>
              <w:rPr>
                <w:rFonts w:hint="eastAsia" w:ascii="宋体" w:hAnsi="宋体"/>
                <w:szCs w:val="21"/>
              </w:rPr>
              <w:t>清洁</w:t>
            </w:r>
          </w:p>
        </w:tc>
        <w:tc>
          <w:tcPr>
            <w:tcW w:w="2888" w:type="dxa"/>
            <w:noWrap w:val="0"/>
            <w:vAlign w:val="center"/>
          </w:tcPr>
          <w:p>
            <w:pPr>
              <w:rPr>
                <w:rFonts w:hint="eastAsia" w:ascii="宋体" w:hAnsi="宋体"/>
                <w:szCs w:val="21"/>
              </w:rPr>
            </w:pPr>
            <w:r>
              <w:rPr>
                <w:rFonts w:hint="eastAsia" w:ascii="宋体" w:hAnsi="宋体"/>
                <w:szCs w:val="21"/>
              </w:rPr>
              <w:t>除尘、去垢、冲洗</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2"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3</w:t>
            </w:r>
          </w:p>
        </w:tc>
        <w:tc>
          <w:tcPr>
            <w:tcW w:w="3805" w:type="dxa"/>
            <w:gridSpan w:val="2"/>
            <w:noWrap w:val="0"/>
            <w:vAlign w:val="center"/>
          </w:tcPr>
          <w:p>
            <w:pPr>
              <w:rPr>
                <w:rFonts w:hint="eastAsia" w:ascii="宋体" w:hAnsi="宋体"/>
                <w:szCs w:val="21"/>
              </w:rPr>
            </w:pPr>
            <w:r>
              <w:rPr>
                <w:rFonts w:hint="eastAsia" w:ascii="宋体" w:hAnsi="宋体"/>
                <w:szCs w:val="21"/>
              </w:rPr>
              <w:t>前处理吊具锁紧装置清洁</w:t>
            </w:r>
          </w:p>
        </w:tc>
        <w:tc>
          <w:tcPr>
            <w:tcW w:w="2888" w:type="dxa"/>
            <w:noWrap w:val="0"/>
            <w:vAlign w:val="center"/>
          </w:tcPr>
          <w:p>
            <w:pPr>
              <w:rPr>
                <w:rFonts w:hint="eastAsia" w:ascii="宋体" w:hAnsi="宋体"/>
                <w:szCs w:val="21"/>
              </w:rPr>
            </w:pPr>
            <w:r>
              <w:rPr>
                <w:rFonts w:hint="eastAsia" w:ascii="宋体" w:hAnsi="宋体"/>
                <w:szCs w:val="21"/>
              </w:rPr>
              <w:t>除垢</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3" w:hRule="atLeast"/>
          <w:jc w:val="center"/>
        </w:trPr>
        <w:tc>
          <w:tcPr>
            <w:tcW w:w="682" w:type="dxa"/>
            <w:noWrap w:val="0"/>
            <w:vAlign w:val="center"/>
          </w:tcPr>
          <w:p>
            <w:pPr>
              <w:jc w:val="center"/>
              <w:rPr>
                <w:rFonts w:hint="eastAsia" w:ascii="宋体" w:hAnsi="宋体"/>
                <w:szCs w:val="21"/>
              </w:rPr>
            </w:pPr>
            <w:r>
              <w:rPr>
                <w:rFonts w:hint="eastAsia" w:ascii="宋体" w:hAnsi="宋体"/>
                <w:szCs w:val="21"/>
              </w:rPr>
              <w:t>4</w:t>
            </w:r>
          </w:p>
        </w:tc>
        <w:tc>
          <w:tcPr>
            <w:tcW w:w="3805" w:type="dxa"/>
            <w:gridSpan w:val="2"/>
            <w:noWrap w:val="0"/>
            <w:vAlign w:val="center"/>
          </w:tcPr>
          <w:p>
            <w:pPr>
              <w:rPr>
                <w:rFonts w:hint="eastAsia" w:ascii="宋体" w:hAnsi="宋体"/>
                <w:szCs w:val="21"/>
              </w:rPr>
            </w:pPr>
            <w:r>
              <w:rPr>
                <w:rFonts w:hint="eastAsia" w:ascii="宋体" w:hAnsi="宋体"/>
                <w:szCs w:val="21"/>
              </w:rPr>
              <w:t>滑撬、吊具、工装保证与车身和滑撬有效接地（接触点见金属本色，确保滑撬与车身的接地电阻小于100Ω）</w:t>
            </w:r>
          </w:p>
        </w:tc>
        <w:tc>
          <w:tcPr>
            <w:tcW w:w="2888" w:type="dxa"/>
            <w:noWrap w:val="0"/>
            <w:vAlign w:val="center"/>
          </w:tcPr>
          <w:p>
            <w:pPr>
              <w:rPr>
                <w:rFonts w:hint="eastAsia" w:ascii="宋体" w:hAnsi="宋体"/>
                <w:szCs w:val="21"/>
              </w:rPr>
            </w:pPr>
            <w:r>
              <w:rPr>
                <w:rFonts w:hint="eastAsia" w:ascii="宋体" w:hAnsi="宋体"/>
                <w:szCs w:val="21"/>
              </w:rPr>
              <w:t>剥离表面漆垢，保证与车身有效接地</w:t>
            </w:r>
          </w:p>
        </w:tc>
        <w:tc>
          <w:tcPr>
            <w:tcW w:w="540" w:type="dxa"/>
            <w:tcBorders>
              <w:right w:val="single" w:color="auto" w:sz="4" w:space="0"/>
            </w:tcBorders>
            <w:noWrap w:val="0"/>
            <w:vAlign w:val="center"/>
          </w:tcPr>
          <w:p>
            <w:pPr>
              <w:jc w:val="center"/>
              <w:rPr>
                <w:rFonts w:hint="eastAsia" w:ascii="宋体" w:hAnsi="宋体"/>
                <w:szCs w:val="21"/>
              </w:rPr>
            </w:pPr>
          </w:p>
        </w:tc>
        <w:tc>
          <w:tcPr>
            <w:tcW w:w="540" w:type="dxa"/>
            <w:tcBorders>
              <w:left w:val="single" w:color="auto" w:sz="4" w:space="0"/>
              <w:right w:val="single" w:color="auto" w:sz="4" w:space="0"/>
            </w:tcBorders>
            <w:noWrap w:val="0"/>
            <w:vAlign w:val="center"/>
          </w:tcPr>
          <w:p>
            <w:pPr>
              <w:jc w:val="center"/>
              <w:rPr>
                <w:rFonts w:hint="eastAsia" w:ascii="宋体" w:hAnsi="宋体"/>
                <w:szCs w:val="21"/>
              </w:rPr>
            </w:pPr>
          </w:p>
        </w:tc>
        <w:tc>
          <w:tcPr>
            <w:tcW w:w="561" w:type="dxa"/>
            <w:tcBorders>
              <w:left w:val="single" w:color="auto" w:sz="4" w:space="0"/>
            </w:tcBorders>
            <w:noWrap w:val="0"/>
            <w:vAlign w:val="center"/>
          </w:tcPr>
          <w:p>
            <w:pPr>
              <w:jc w:val="center"/>
              <w:rPr>
                <w:rFonts w:hint="eastAsia" w:ascii="宋体" w:hAnsi="宋体"/>
                <w:szCs w:val="21"/>
              </w:rPr>
            </w:pPr>
            <w:r>
              <w:rPr>
                <w:rFonts w:hint="eastAsia" w:ascii="宋体" w:hAnsi="宋体"/>
                <w:szCs w:val="21"/>
              </w:rPr>
              <w:t>●</w:t>
            </w:r>
          </w:p>
        </w:tc>
      </w:tr>
    </w:tbl>
    <w:p>
      <w:pPr>
        <w:rPr>
          <w:rFonts w:hint="eastAsia" w:ascii="Arial" w:hAnsi="Arial" w:cs="Arial"/>
          <w:b/>
          <w:color w:val="FF0000"/>
        </w:rPr>
      </w:pPr>
    </w:p>
    <w:p>
      <w:pPr>
        <w:rPr>
          <w:rFonts w:hint="eastAsia" w:ascii="Arial" w:hAnsi="Arial" w:cs="Arial"/>
          <w:b/>
        </w:rPr>
      </w:pPr>
      <w:r>
        <w:rPr>
          <w:rFonts w:hint="eastAsia" w:ascii="Arial" w:hAnsi="Arial" w:cs="Arial"/>
          <w:b/>
          <w:highlight w:val="lightGray"/>
        </w:rPr>
        <w:t>五、</w:t>
      </w:r>
      <w:r>
        <w:rPr>
          <w:rFonts w:hint="eastAsia" w:ascii="Arial" w:hAnsi="Arial" w:cs="Arial"/>
          <w:b/>
        </w:rPr>
        <w:t>检查标准等级</w:t>
      </w:r>
    </w:p>
    <w:tbl>
      <w:tblPr>
        <w:tblStyle w:val="36"/>
        <w:tblpPr w:leftFromText="180" w:rightFromText="180" w:vertAnchor="text" w:horzAnchor="margin" w:tblpY="1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193"/>
        <w:gridCol w:w="2465"/>
        <w:gridCol w:w="2158"/>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47" w:type="dxa"/>
            <w:noWrap w:val="0"/>
            <w:vAlign w:val="center"/>
          </w:tcPr>
          <w:p>
            <w:pPr>
              <w:jc w:val="center"/>
              <w:rPr>
                <w:rFonts w:hint="eastAsia" w:ascii="宋体" w:hAnsi="宋体"/>
                <w:szCs w:val="21"/>
              </w:rPr>
            </w:pPr>
            <w:r>
              <w:rPr>
                <w:rFonts w:hint="eastAsia" w:ascii="宋体" w:hAnsi="宋体"/>
                <w:szCs w:val="21"/>
              </w:rPr>
              <w:t>级别</w:t>
            </w:r>
          </w:p>
        </w:tc>
        <w:tc>
          <w:tcPr>
            <w:tcW w:w="1193" w:type="dxa"/>
            <w:noWrap w:val="0"/>
            <w:vAlign w:val="center"/>
          </w:tcPr>
          <w:p>
            <w:pPr>
              <w:jc w:val="center"/>
              <w:rPr>
                <w:rFonts w:hint="eastAsia" w:ascii="宋体" w:hAnsi="宋体"/>
                <w:szCs w:val="21"/>
              </w:rPr>
            </w:pPr>
            <w:r>
              <w:rPr>
                <w:rFonts w:hint="eastAsia" w:ascii="宋体" w:hAnsi="宋体"/>
                <w:szCs w:val="21"/>
              </w:rPr>
              <w:t>名称</w:t>
            </w:r>
          </w:p>
        </w:tc>
        <w:tc>
          <w:tcPr>
            <w:tcW w:w="2465" w:type="dxa"/>
            <w:noWrap w:val="0"/>
            <w:vAlign w:val="center"/>
          </w:tcPr>
          <w:p>
            <w:pPr>
              <w:jc w:val="center"/>
              <w:rPr>
                <w:rFonts w:hint="eastAsia" w:ascii="宋体" w:hAnsi="宋体"/>
                <w:szCs w:val="21"/>
              </w:rPr>
            </w:pPr>
            <w:r>
              <w:rPr>
                <w:rFonts w:hint="eastAsia" w:ascii="宋体" w:hAnsi="宋体"/>
                <w:szCs w:val="21"/>
              </w:rPr>
              <w:t>区域</w:t>
            </w:r>
          </w:p>
        </w:tc>
        <w:tc>
          <w:tcPr>
            <w:tcW w:w="2158" w:type="dxa"/>
            <w:noWrap w:val="0"/>
            <w:vAlign w:val="center"/>
          </w:tcPr>
          <w:p>
            <w:pPr>
              <w:jc w:val="center"/>
              <w:rPr>
                <w:rFonts w:hint="eastAsia" w:ascii="宋体" w:hAnsi="宋体"/>
                <w:szCs w:val="21"/>
              </w:rPr>
            </w:pPr>
            <w:r>
              <w:rPr>
                <w:rFonts w:hint="eastAsia" w:ascii="宋体" w:hAnsi="宋体"/>
                <w:szCs w:val="21"/>
              </w:rPr>
              <w:t>检查方法</w:t>
            </w:r>
          </w:p>
        </w:tc>
        <w:tc>
          <w:tcPr>
            <w:tcW w:w="2157" w:type="dxa"/>
            <w:noWrap w:val="0"/>
            <w:vAlign w:val="center"/>
          </w:tcPr>
          <w:p>
            <w:pPr>
              <w:jc w:val="center"/>
              <w:rPr>
                <w:rFonts w:hint="eastAsia" w:ascii="宋体" w:hAnsi="宋体"/>
                <w:szCs w:val="21"/>
              </w:rPr>
            </w:pPr>
            <w:r>
              <w:rPr>
                <w:rFonts w:hint="eastAsia" w:ascii="宋体" w:hAnsi="宋体"/>
                <w:szCs w:val="21"/>
              </w:rPr>
              <w:t>检查标准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trPr>
        <w:tc>
          <w:tcPr>
            <w:tcW w:w="747" w:type="dxa"/>
            <w:noWrap w:val="0"/>
            <w:vAlign w:val="center"/>
          </w:tcPr>
          <w:p>
            <w:pPr>
              <w:jc w:val="center"/>
              <w:rPr>
                <w:rFonts w:hint="eastAsia" w:ascii="宋体" w:hAnsi="宋体"/>
                <w:szCs w:val="21"/>
              </w:rPr>
            </w:pPr>
            <w:r>
              <w:rPr>
                <w:rFonts w:hint="eastAsia" w:ascii="宋体" w:hAnsi="宋体"/>
                <w:bCs/>
                <w:szCs w:val="21"/>
              </w:rPr>
              <w:t>A</w:t>
            </w:r>
          </w:p>
        </w:tc>
        <w:tc>
          <w:tcPr>
            <w:tcW w:w="1193" w:type="dxa"/>
            <w:noWrap w:val="0"/>
            <w:vAlign w:val="center"/>
          </w:tcPr>
          <w:p>
            <w:pPr>
              <w:jc w:val="center"/>
              <w:rPr>
                <w:rFonts w:hint="eastAsia" w:ascii="宋体" w:hAnsi="宋体"/>
                <w:szCs w:val="21"/>
              </w:rPr>
            </w:pPr>
            <w:r>
              <w:rPr>
                <w:rFonts w:hint="eastAsia" w:ascii="宋体" w:hAnsi="宋体"/>
                <w:szCs w:val="21"/>
              </w:rPr>
              <w:t>超洁净区</w:t>
            </w:r>
          </w:p>
        </w:tc>
        <w:tc>
          <w:tcPr>
            <w:tcW w:w="2465" w:type="dxa"/>
            <w:noWrap w:val="0"/>
            <w:vAlign w:val="center"/>
          </w:tcPr>
          <w:p>
            <w:pPr>
              <w:jc w:val="center"/>
              <w:rPr>
                <w:rFonts w:hint="eastAsia" w:ascii="宋体" w:hAnsi="宋体"/>
                <w:szCs w:val="21"/>
              </w:rPr>
            </w:pPr>
            <w:r>
              <w:rPr>
                <w:rFonts w:hint="eastAsia" w:ascii="宋体" w:hAnsi="宋体"/>
                <w:bCs/>
                <w:szCs w:val="21"/>
              </w:rPr>
              <w:t>擦净室、喷漆室内、流平室、烘干室内、调漆间等区域</w:t>
            </w:r>
          </w:p>
        </w:tc>
        <w:tc>
          <w:tcPr>
            <w:tcW w:w="2158" w:type="dxa"/>
            <w:noWrap w:val="0"/>
            <w:vAlign w:val="center"/>
          </w:tcPr>
          <w:p>
            <w:pPr>
              <w:jc w:val="center"/>
              <w:rPr>
                <w:rFonts w:hint="eastAsia" w:ascii="宋体" w:hAnsi="宋体"/>
                <w:bCs/>
                <w:szCs w:val="21"/>
              </w:rPr>
            </w:pPr>
            <w:r>
              <w:rPr>
                <w:rFonts w:hint="eastAsia" w:ascii="宋体" w:hAnsi="宋体"/>
                <w:bCs/>
                <w:szCs w:val="21"/>
              </w:rPr>
              <w:t>使用白色无纤维抹布、压紧待检区域，滑行50CM</w:t>
            </w:r>
          </w:p>
        </w:tc>
        <w:tc>
          <w:tcPr>
            <w:tcW w:w="2157" w:type="dxa"/>
            <w:noWrap w:val="0"/>
            <w:vAlign w:val="center"/>
          </w:tcPr>
          <w:p>
            <w:pPr>
              <w:jc w:val="center"/>
              <w:rPr>
                <w:rFonts w:hint="eastAsia" w:ascii="宋体" w:hAnsi="宋体"/>
                <w:bCs/>
                <w:szCs w:val="21"/>
              </w:rPr>
            </w:pPr>
            <w:r>
              <w:rPr>
                <w:rFonts w:hint="eastAsia" w:ascii="宋体" w:hAnsi="宋体"/>
                <w:bCs/>
                <w:szCs w:val="21"/>
              </w:rPr>
              <w:t>抹布表面基本无颜色变化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rPr>
        <w:tc>
          <w:tcPr>
            <w:tcW w:w="747" w:type="dxa"/>
            <w:noWrap w:val="0"/>
            <w:vAlign w:val="center"/>
          </w:tcPr>
          <w:p>
            <w:pPr>
              <w:jc w:val="center"/>
              <w:rPr>
                <w:rFonts w:hint="eastAsia" w:ascii="宋体" w:hAnsi="宋体"/>
                <w:bCs/>
                <w:szCs w:val="21"/>
              </w:rPr>
            </w:pPr>
            <w:r>
              <w:rPr>
                <w:rFonts w:hint="eastAsia" w:ascii="宋体" w:hAnsi="宋体"/>
                <w:bCs/>
                <w:szCs w:val="21"/>
              </w:rPr>
              <w:t>B</w:t>
            </w:r>
          </w:p>
        </w:tc>
        <w:tc>
          <w:tcPr>
            <w:tcW w:w="1193" w:type="dxa"/>
            <w:noWrap w:val="0"/>
            <w:vAlign w:val="center"/>
          </w:tcPr>
          <w:p>
            <w:pPr>
              <w:jc w:val="center"/>
              <w:rPr>
                <w:rFonts w:hint="eastAsia" w:ascii="宋体" w:hAnsi="宋体"/>
                <w:bCs/>
                <w:szCs w:val="21"/>
              </w:rPr>
            </w:pPr>
            <w:r>
              <w:rPr>
                <w:rFonts w:hint="eastAsia" w:ascii="宋体" w:hAnsi="宋体"/>
                <w:bCs/>
                <w:szCs w:val="21"/>
              </w:rPr>
              <w:t>洁净区</w:t>
            </w:r>
          </w:p>
        </w:tc>
        <w:tc>
          <w:tcPr>
            <w:tcW w:w="2465" w:type="dxa"/>
            <w:noWrap w:val="0"/>
            <w:vAlign w:val="center"/>
          </w:tcPr>
          <w:p>
            <w:pPr>
              <w:jc w:val="center"/>
              <w:rPr>
                <w:rFonts w:hint="eastAsia" w:ascii="宋体" w:hAnsi="宋体"/>
                <w:bCs/>
                <w:szCs w:val="21"/>
              </w:rPr>
            </w:pPr>
            <w:r>
              <w:rPr>
                <w:rFonts w:hint="eastAsia" w:ascii="宋体" w:hAnsi="宋体"/>
                <w:bCs/>
                <w:szCs w:val="21"/>
              </w:rPr>
              <w:t>喷漆室外围、空气供应室、洁净室、扫尾室等区域</w:t>
            </w:r>
          </w:p>
        </w:tc>
        <w:tc>
          <w:tcPr>
            <w:tcW w:w="2158" w:type="dxa"/>
            <w:noWrap w:val="0"/>
            <w:vAlign w:val="center"/>
          </w:tcPr>
          <w:p>
            <w:pPr>
              <w:jc w:val="center"/>
              <w:rPr>
                <w:szCs w:val="21"/>
              </w:rPr>
            </w:pPr>
            <w:r>
              <w:rPr>
                <w:rFonts w:hint="eastAsia" w:ascii="宋体" w:hAnsi="宋体"/>
                <w:bCs/>
                <w:szCs w:val="21"/>
              </w:rPr>
              <w:t>使用白色无纤维抹布、压紧待检区域，滑行30CM</w:t>
            </w:r>
          </w:p>
        </w:tc>
        <w:tc>
          <w:tcPr>
            <w:tcW w:w="2157" w:type="dxa"/>
            <w:noWrap w:val="0"/>
            <w:vAlign w:val="center"/>
          </w:tcPr>
          <w:p>
            <w:pPr>
              <w:jc w:val="center"/>
              <w:rPr>
                <w:rFonts w:hint="eastAsia" w:ascii="宋体" w:hAnsi="宋体"/>
                <w:bCs/>
                <w:szCs w:val="21"/>
              </w:rPr>
            </w:pPr>
            <w:r>
              <w:rPr>
                <w:rFonts w:hint="eastAsia" w:ascii="宋体" w:hAnsi="宋体"/>
                <w:bCs/>
                <w:szCs w:val="21"/>
              </w:rPr>
              <w:t>抹布表面基本无颜色变化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trPr>
        <w:tc>
          <w:tcPr>
            <w:tcW w:w="747" w:type="dxa"/>
            <w:noWrap w:val="0"/>
            <w:vAlign w:val="center"/>
          </w:tcPr>
          <w:p>
            <w:pPr>
              <w:jc w:val="center"/>
              <w:rPr>
                <w:rFonts w:hint="eastAsia" w:ascii="宋体" w:hAnsi="宋体"/>
                <w:bCs/>
                <w:szCs w:val="21"/>
              </w:rPr>
            </w:pPr>
            <w:r>
              <w:rPr>
                <w:rFonts w:hint="eastAsia" w:ascii="宋体" w:hAnsi="宋体"/>
                <w:bCs/>
                <w:szCs w:val="21"/>
              </w:rPr>
              <w:t>C</w:t>
            </w:r>
          </w:p>
        </w:tc>
        <w:tc>
          <w:tcPr>
            <w:tcW w:w="1193" w:type="dxa"/>
            <w:noWrap w:val="0"/>
            <w:vAlign w:val="center"/>
          </w:tcPr>
          <w:p>
            <w:pPr>
              <w:jc w:val="center"/>
              <w:rPr>
                <w:rFonts w:hint="eastAsia" w:ascii="宋体" w:hAnsi="宋体"/>
                <w:bCs/>
                <w:szCs w:val="21"/>
              </w:rPr>
            </w:pPr>
            <w:r>
              <w:rPr>
                <w:rFonts w:hint="eastAsia" w:ascii="宋体" w:hAnsi="宋体"/>
                <w:bCs/>
                <w:szCs w:val="21"/>
              </w:rPr>
              <w:t>干净</w:t>
            </w:r>
          </w:p>
        </w:tc>
        <w:tc>
          <w:tcPr>
            <w:tcW w:w="2465" w:type="dxa"/>
            <w:noWrap w:val="0"/>
            <w:vAlign w:val="center"/>
          </w:tcPr>
          <w:p>
            <w:pPr>
              <w:jc w:val="center"/>
              <w:rPr>
                <w:rFonts w:hint="eastAsia" w:ascii="宋体" w:hAnsi="宋体"/>
                <w:bCs/>
                <w:szCs w:val="21"/>
              </w:rPr>
            </w:pPr>
            <w:r>
              <w:rPr>
                <w:rFonts w:hint="eastAsia" w:ascii="宋体" w:hAnsi="宋体"/>
                <w:bCs/>
                <w:szCs w:val="21"/>
              </w:rPr>
              <w:t>中涂、面漆准备区，烘干室外围、如打磨室、pvc区前处理、电泳等设备区等区域</w:t>
            </w:r>
          </w:p>
        </w:tc>
        <w:tc>
          <w:tcPr>
            <w:tcW w:w="2158" w:type="dxa"/>
            <w:noWrap w:val="0"/>
            <w:vAlign w:val="center"/>
          </w:tcPr>
          <w:p>
            <w:pPr>
              <w:jc w:val="center"/>
              <w:rPr>
                <w:rFonts w:hint="eastAsia"/>
                <w:szCs w:val="21"/>
              </w:rPr>
            </w:pPr>
            <w:r>
              <w:rPr>
                <w:rFonts w:hint="eastAsia" w:ascii="宋体" w:hAnsi="宋体"/>
                <w:bCs/>
                <w:szCs w:val="21"/>
              </w:rPr>
              <w:t>手擦拭检查10CM</w:t>
            </w:r>
          </w:p>
        </w:tc>
        <w:tc>
          <w:tcPr>
            <w:tcW w:w="2157" w:type="dxa"/>
            <w:noWrap w:val="0"/>
            <w:vAlign w:val="center"/>
          </w:tcPr>
          <w:p>
            <w:pPr>
              <w:jc w:val="center"/>
              <w:rPr>
                <w:rFonts w:hint="eastAsia" w:ascii="宋体" w:hAnsi="宋体"/>
                <w:bCs/>
                <w:szCs w:val="21"/>
              </w:rPr>
            </w:pPr>
            <w:r>
              <w:rPr>
                <w:rFonts w:hint="eastAsia" w:ascii="宋体" w:hAnsi="宋体" w:cs="宋体"/>
                <w:szCs w:val="21"/>
              </w:rPr>
              <w:t>手擦拭无灰尘、无油污、无水迹，待检区域内手拭/目测无明显污渍。</w:t>
            </w:r>
          </w:p>
        </w:tc>
      </w:tr>
    </w:tbl>
    <w:p>
      <w:pPr>
        <w:rPr>
          <w:rFonts w:hint="eastAsia" w:ascii="Arial" w:hAnsi="Arial" w:cs="Arial"/>
          <w:b/>
          <w:color w:val="FF0000"/>
        </w:rPr>
      </w:pPr>
    </w:p>
    <w:p>
      <w:pPr>
        <w:rPr>
          <w:rFonts w:hint="eastAsia" w:ascii="Arial" w:hAnsi="Arial" w:cs="Arial"/>
          <w:b/>
          <w:color w:val="FF0000"/>
        </w:rPr>
      </w:pPr>
    </w:p>
    <w:p>
      <w:pPr>
        <w:rPr>
          <w:rFonts w:hint="eastAsia" w:ascii="Arial" w:hAnsi="Arial" w:cs="Arial"/>
          <w:b/>
          <w:color w:val="FF0000"/>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color w:val="FF0000"/>
          <w:szCs w:val="21"/>
        </w:rPr>
      </w:pPr>
    </w:p>
    <w:p>
      <w:pPr>
        <w:spacing w:line="360" w:lineRule="auto"/>
        <w:rPr>
          <w:rFonts w:hint="eastAsia" w:ascii="宋体" w:hAnsi="宋体"/>
          <w:b/>
          <w:szCs w:val="21"/>
        </w:rPr>
      </w:pPr>
      <w:r>
        <w:rPr>
          <w:rFonts w:hint="eastAsia" w:ascii="宋体" w:hAnsi="宋体"/>
          <w:b/>
          <w:szCs w:val="21"/>
        </w:rPr>
        <w:t>六、保洁的要求</w:t>
      </w:r>
    </w:p>
    <w:p>
      <w:pPr>
        <w:numPr>
          <w:ilvl w:val="0"/>
          <w:numId w:val="21"/>
        </w:numPr>
        <w:spacing w:line="360" w:lineRule="auto"/>
        <w:rPr>
          <w:rFonts w:hint="eastAsia" w:ascii="宋体" w:hAnsi="宋体"/>
          <w:szCs w:val="21"/>
        </w:rPr>
      </w:pPr>
      <w:r>
        <w:rPr>
          <w:rFonts w:hint="eastAsia" w:ascii="宋体" w:hAnsi="宋体"/>
          <w:szCs w:val="21"/>
        </w:rPr>
        <w:t>工作计划</w:t>
      </w:r>
    </w:p>
    <w:p>
      <w:pPr>
        <w:numPr>
          <w:ilvl w:val="0"/>
          <w:numId w:val="22"/>
        </w:numPr>
        <w:spacing w:line="360" w:lineRule="auto"/>
        <w:rPr>
          <w:rFonts w:hint="eastAsia" w:ascii="宋体" w:hAnsi="宋体"/>
          <w:szCs w:val="21"/>
        </w:rPr>
      </w:pPr>
      <w:r>
        <w:rPr>
          <w:rFonts w:hint="eastAsia" w:ascii="宋体" w:hAnsi="宋体"/>
          <w:szCs w:val="21"/>
        </w:rPr>
        <w:t>供方负责制定详细的目标计划，包括周计划、月计划、年计划，并负责按照计划组织、实施保洁服务；</w:t>
      </w:r>
    </w:p>
    <w:p>
      <w:pPr>
        <w:numPr>
          <w:ilvl w:val="0"/>
          <w:numId w:val="22"/>
        </w:numPr>
        <w:spacing w:line="360" w:lineRule="auto"/>
        <w:rPr>
          <w:rFonts w:hint="eastAsia" w:ascii="宋体" w:hAnsi="宋体"/>
          <w:szCs w:val="21"/>
        </w:rPr>
      </w:pPr>
      <w:r>
        <w:rPr>
          <w:rFonts w:hint="eastAsia" w:ascii="宋体" w:hAnsi="宋体"/>
          <w:szCs w:val="21"/>
        </w:rPr>
        <w:t>根据生产需要调整和修改计划，不断的改进清洁计划，在长时间停线（含可预知和不可预知）、节假日期间，需要提前向需方的涂装车间提供清洁计划，每次计划执行前都需要有需方审核、确认方能实施；</w:t>
      </w:r>
    </w:p>
    <w:p>
      <w:pPr>
        <w:numPr>
          <w:ilvl w:val="0"/>
          <w:numId w:val="22"/>
        </w:numPr>
        <w:spacing w:line="360" w:lineRule="auto"/>
        <w:rPr>
          <w:rFonts w:hint="eastAsia" w:ascii="宋体" w:hAnsi="宋体"/>
          <w:szCs w:val="21"/>
        </w:rPr>
      </w:pPr>
      <w:r>
        <w:rPr>
          <w:rFonts w:hint="eastAsia" w:ascii="宋体" w:hAnsi="宋体"/>
          <w:szCs w:val="21"/>
        </w:rPr>
        <w:t>在出现长时间停线的情况，如需要临时调整保洁计划，则由需方拟定临时保洁计划（供方辅助制定），再由双方签字确认后，再实施。</w:t>
      </w:r>
    </w:p>
    <w:p>
      <w:pPr>
        <w:numPr>
          <w:ilvl w:val="0"/>
          <w:numId w:val="21"/>
        </w:numPr>
        <w:spacing w:line="360" w:lineRule="auto"/>
        <w:rPr>
          <w:rFonts w:hint="eastAsia" w:ascii="宋体" w:hAnsi="宋体"/>
          <w:szCs w:val="21"/>
        </w:rPr>
      </w:pPr>
      <w:r>
        <w:rPr>
          <w:rFonts w:hint="eastAsia" w:ascii="宋体" w:hAnsi="宋体"/>
          <w:szCs w:val="21"/>
        </w:rPr>
        <w:t>现场管理</w:t>
      </w:r>
    </w:p>
    <w:p>
      <w:pPr>
        <w:numPr>
          <w:ilvl w:val="0"/>
          <w:numId w:val="23"/>
        </w:numPr>
        <w:spacing w:line="360" w:lineRule="auto"/>
        <w:rPr>
          <w:rFonts w:hint="eastAsia" w:ascii="宋体" w:hAnsi="宋体"/>
          <w:szCs w:val="21"/>
        </w:rPr>
      </w:pPr>
      <w:r>
        <w:rPr>
          <w:rFonts w:hint="eastAsia" w:ascii="宋体" w:hAnsi="宋体"/>
          <w:szCs w:val="21"/>
        </w:rPr>
        <w:t>供方的相关人员应自觉遵守需方的各项规章制度，现场实行“6S”管理，保持良好有序的生产环境；</w:t>
      </w:r>
    </w:p>
    <w:p>
      <w:pPr>
        <w:numPr>
          <w:ilvl w:val="0"/>
          <w:numId w:val="23"/>
        </w:numPr>
        <w:spacing w:line="360" w:lineRule="auto"/>
        <w:rPr>
          <w:rFonts w:hint="eastAsia" w:ascii="宋体" w:hAnsi="宋体"/>
          <w:szCs w:val="21"/>
        </w:rPr>
      </w:pPr>
      <w:r>
        <w:rPr>
          <w:rFonts w:hint="eastAsia" w:ascii="宋体" w:hAnsi="宋体"/>
          <w:szCs w:val="21"/>
        </w:rPr>
        <w:t>供方需编制保洁相关的文件，如作业指导书、员工工作分布图等；</w:t>
      </w:r>
    </w:p>
    <w:p>
      <w:pPr>
        <w:numPr>
          <w:ilvl w:val="0"/>
          <w:numId w:val="23"/>
        </w:numPr>
        <w:spacing w:line="360" w:lineRule="auto"/>
        <w:rPr>
          <w:rFonts w:hint="eastAsia" w:ascii="宋体" w:hAnsi="宋体"/>
          <w:szCs w:val="21"/>
        </w:rPr>
      </w:pPr>
      <w:r>
        <w:rPr>
          <w:rFonts w:hint="eastAsia" w:ascii="宋体" w:hAnsi="宋体"/>
          <w:szCs w:val="21"/>
        </w:rPr>
        <w:t>供方每位员工上岗前必须进行安全、防火、技能、电器、健康、相关化学品知识等方面的培训，将化学品MSDS（安全数据表）提供给需方，如需更换或新增，必须征求需方同意并添加到MSDS；</w:t>
      </w:r>
    </w:p>
    <w:p>
      <w:pPr>
        <w:numPr>
          <w:ilvl w:val="0"/>
          <w:numId w:val="23"/>
        </w:numPr>
        <w:spacing w:line="360" w:lineRule="auto"/>
        <w:rPr>
          <w:rFonts w:hint="eastAsia" w:ascii="宋体" w:hAnsi="宋体"/>
          <w:szCs w:val="21"/>
        </w:rPr>
      </w:pPr>
      <w:r>
        <w:rPr>
          <w:rFonts w:hint="eastAsia" w:ascii="宋体" w:hAnsi="宋体"/>
          <w:szCs w:val="21"/>
        </w:rPr>
        <w:t>供方根据保洁时所使用的MSDS清单，提供所有有害物质排放记录和化学品泄漏的紧急处理措施（即化学品泄漏紧急处理程序）；</w:t>
      </w:r>
    </w:p>
    <w:p>
      <w:pPr>
        <w:numPr>
          <w:ilvl w:val="0"/>
          <w:numId w:val="23"/>
        </w:numPr>
        <w:spacing w:line="360" w:lineRule="auto"/>
        <w:rPr>
          <w:rFonts w:hint="eastAsia" w:ascii="宋体" w:hAnsi="宋体"/>
          <w:szCs w:val="21"/>
        </w:rPr>
      </w:pPr>
      <w:r>
        <w:rPr>
          <w:rFonts w:hint="eastAsia" w:ascii="宋体" w:hAnsi="宋体"/>
          <w:szCs w:val="21"/>
        </w:rPr>
        <w:t>供方需制定相应的化学品使用操作规范以及个人劳保穿戴标准，按照1SO14001的要求制定相应的标准作业程序；</w:t>
      </w:r>
    </w:p>
    <w:p>
      <w:pPr>
        <w:numPr>
          <w:ilvl w:val="0"/>
          <w:numId w:val="23"/>
        </w:numPr>
        <w:spacing w:line="360" w:lineRule="auto"/>
        <w:rPr>
          <w:rFonts w:hint="eastAsia" w:ascii="宋体" w:hAnsi="宋体"/>
          <w:szCs w:val="21"/>
        </w:rPr>
      </w:pPr>
      <w:r>
        <w:rPr>
          <w:rFonts w:hint="eastAsia" w:ascii="宋体" w:hAnsi="宋体"/>
          <w:szCs w:val="21"/>
        </w:rPr>
        <w:t>供方在清理涂装工程部喷漆室时，必须按照涂装行业的安全和要求制定操作规范和落实相关注意事项，尤其是对喷涂设备的保洁（如：保证滑撬和车身的接地电阻小于100Ω）；</w:t>
      </w:r>
    </w:p>
    <w:p>
      <w:pPr>
        <w:numPr>
          <w:ilvl w:val="0"/>
          <w:numId w:val="23"/>
        </w:numPr>
        <w:spacing w:line="360" w:lineRule="auto"/>
        <w:rPr>
          <w:rFonts w:hint="eastAsia" w:ascii="宋体" w:hAnsi="宋体"/>
          <w:szCs w:val="21"/>
        </w:rPr>
      </w:pPr>
      <w:r>
        <w:rPr>
          <w:rFonts w:hint="eastAsia" w:ascii="宋体" w:hAnsi="宋体"/>
          <w:szCs w:val="21"/>
        </w:rPr>
        <w:t>协助涂装车间收集环保信息，满足环境要求，提供可行性的管理方案；</w:t>
      </w:r>
    </w:p>
    <w:p>
      <w:pPr>
        <w:numPr>
          <w:ilvl w:val="0"/>
          <w:numId w:val="23"/>
        </w:numPr>
        <w:spacing w:line="360" w:lineRule="auto"/>
        <w:rPr>
          <w:rFonts w:hint="eastAsia" w:ascii="宋体" w:hAnsi="宋体"/>
          <w:szCs w:val="21"/>
        </w:rPr>
      </w:pPr>
      <w:r>
        <w:rPr>
          <w:rFonts w:hint="eastAsia" w:ascii="宋体" w:hAnsi="宋体"/>
          <w:szCs w:val="21"/>
        </w:rPr>
        <w:t>成立应急处理小组，制定相应应急作业预案。</w:t>
      </w:r>
    </w:p>
    <w:p>
      <w:pPr>
        <w:numPr>
          <w:ilvl w:val="0"/>
          <w:numId w:val="21"/>
        </w:numPr>
        <w:spacing w:line="360" w:lineRule="auto"/>
        <w:rPr>
          <w:rFonts w:hint="eastAsia" w:ascii="宋体" w:hAnsi="宋体"/>
          <w:szCs w:val="21"/>
        </w:rPr>
      </w:pPr>
      <w:r>
        <w:rPr>
          <w:rFonts w:hint="eastAsia" w:ascii="宋体" w:hAnsi="宋体"/>
          <w:szCs w:val="21"/>
        </w:rPr>
        <w:t>技术要求</w:t>
      </w:r>
    </w:p>
    <w:p>
      <w:pPr>
        <w:numPr>
          <w:ilvl w:val="0"/>
          <w:numId w:val="24"/>
        </w:numPr>
        <w:spacing w:line="360" w:lineRule="auto"/>
        <w:rPr>
          <w:rFonts w:hint="eastAsia" w:ascii="宋体" w:hAnsi="宋体"/>
          <w:szCs w:val="21"/>
        </w:rPr>
      </w:pPr>
      <w:r>
        <w:rPr>
          <w:rFonts w:hint="eastAsia" w:ascii="宋体" w:hAnsi="宋体"/>
          <w:szCs w:val="21"/>
        </w:rPr>
        <w:t>供方所使用的粘尘布不能掉纤维，在保洁中使用的药品等耗材不得含有硅酮及其他影响车身油漆质量的物质，以免影响需方产品质量。供方进入现场使用的材料须由需方试验，验证合格后才能使用，未经需方允许，供方擅自使用导致需方产品质量问题的，由供方负全责；</w:t>
      </w:r>
    </w:p>
    <w:p>
      <w:pPr>
        <w:numPr>
          <w:ilvl w:val="0"/>
          <w:numId w:val="24"/>
        </w:numPr>
        <w:spacing w:line="360" w:lineRule="auto"/>
        <w:rPr>
          <w:rFonts w:hint="eastAsia" w:ascii="宋体" w:hAnsi="宋体"/>
          <w:szCs w:val="21"/>
        </w:rPr>
      </w:pPr>
      <w:r>
        <w:rPr>
          <w:rFonts w:hint="eastAsia" w:ascii="宋体" w:hAnsi="宋体"/>
          <w:szCs w:val="21"/>
        </w:rPr>
        <w:t>供方在从事脱漆作业时不得对需方生产现场造成污染，对需方污水处理带来影响；</w:t>
      </w:r>
    </w:p>
    <w:p>
      <w:pPr>
        <w:numPr>
          <w:ilvl w:val="0"/>
          <w:numId w:val="24"/>
        </w:numPr>
        <w:spacing w:line="360" w:lineRule="auto"/>
        <w:rPr>
          <w:rFonts w:hint="eastAsia" w:ascii="宋体" w:hAnsi="宋体"/>
          <w:szCs w:val="21"/>
        </w:rPr>
      </w:pPr>
      <w:r>
        <w:rPr>
          <w:rFonts w:hint="eastAsia" w:ascii="宋体" w:hAnsi="宋体"/>
          <w:szCs w:val="21"/>
        </w:rPr>
        <w:t>静电服管理由保洁公司提供详细的管理办法，保证喷漆工静电服及普通静电服每班清洗、每班更新，同时静电服不能掉纤维和有线头；</w:t>
      </w:r>
    </w:p>
    <w:p>
      <w:pPr>
        <w:numPr>
          <w:ilvl w:val="0"/>
          <w:numId w:val="24"/>
        </w:numPr>
        <w:spacing w:line="360" w:lineRule="auto"/>
        <w:rPr>
          <w:rFonts w:hint="eastAsia" w:ascii="宋体" w:hAnsi="宋体"/>
          <w:szCs w:val="21"/>
        </w:rPr>
      </w:pPr>
      <w:r>
        <w:rPr>
          <w:rFonts w:hint="eastAsia" w:ascii="宋体" w:hAnsi="宋体"/>
          <w:szCs w:val="21"/>
        </w:rPr>
        <w:t>供方每月向需方提供1份保洁服务报告，汇报当月保洁工作完成情况；</w:t>
      </w:r>
    </w:p>
    <w:p>
      <w:pPr>
        <w:numPr>
          <w:ilvl w:val="0"/>
          <w:numId w:val="24"/>
        </w:numPr>
        <w:spacing w:line="360" w:lineRule="auto"/>
        <w:rPr>
          <w:rFonts w:hint="eastAsia" w:ascii="宋体" w:hAnsi="宋体"/>
          <w:szCs w:val="21"/>
        </w:rPr>
      </w:pPr>
      <w:r>
        <w:rPr>
          <w:rFonts w:hint="eastAsia" w:ascii="宋体" w:hAnsi="宋体"/>
          <w:szCs w:val="21"/>
        </w:rPr>
        <w:t>在需方生产情况下，供方每日提供一份车身颗粒、絮状、漆渣等缺陷分析（含电泳底漆、中涂和面漆）报告及涂装工程部空气颗粒报告；</w:t>
      </w:r>
    </w:p>
    <w:p>
      <w:pPr>
        <w:numPr>
          <w:ilvl w:val="0"/>
          <w:numId w:val="25"/>
        </w:numPr>
        <w:spacing w:line="360" w:lineRule="auto"/>
        <w:rPr>
          <w:rFonts w:hint="eastAsia" w:ascii="宋体" w:hAnsi="宋体"/>
          <w:szCs w:val="21"/>
        </w:rPr>
      </w:pPr>
      <w:r>
        <w:rPr>
          <w:rFonts w:hint="eastAsia" w:ascii="宋体" w:hAnsi="宋体"/>
          <w:szCs w:val="21"/>
        </w:rPr>
        <w:t xml:space="preserve"> 缺陷分析服务：针对涂装工程部产生的缺陷进行分析，找出污染源，并提出切实可行的改善措施；</w:t>
      </w:r>
    </w:p>
    <w:p>
      <w:pPr>
        <w:numPr>
          <w:ilvl w:val="0"/>
          <w:numId w:val="25"/>
        </w:numPr>
        <w:spacing w:line="360" w:lineRule="auto"/>
        <w:rPr>
          <w:rFonts w:hint="eastAsia" w:ascii="宋体" w:hAnsi="宋体"/>
          <w:szCs w:val="21"/>
        </w:rPr>
      </w:pPr>
      <w:r>
        <w:rPr>
          <w:rFonts w:hint="eastAsia" w:ascii="宋体" w:hAnsi="宋体"/>
          <w:szCs w:val="21"/>
        </w:rPr>
        <w:t xml:space="preserve"> 空气颗粒测量服务：对关键区域定期进行灰尘颗粒测量并提出改善对策或建议；</w:t>
      </w:r>
    </w:p>
    <w:p>
      <w:pPr>
        <w:numPr>
          <w:ilvl w:val="0"/>
          <w:numId w:val="25"/>
        </w:numPr>
        <w:spacing w:line="360" w:lineRule="auto"/>
        <w:rPr>
          <w:rFonts w:hint="eastAsia" w:ascii="宋体" w:hAnsi="宋体"/>
          <w:szCs w:val="21"/>
        </w:rPr>
      </w:pPr>
      <w:r>
        <w:rPr>
          <w:rFonts w:hint="eastAsia" w:ascii="宋体" w:hAnsi="宋体"/>
          <w:szCs w:val="21"/>
        </w:rPr>
        <w:t xml:space="preserve"> 材料控制服务：对所有进入车间的材料进行污染测试，建立污染源资料库；</w:t>
      </w:r>
    </w:p>
    <w:p>
      <w:pPr>
        <w:numPr>
          <w:ilvl w:val="0"/>
          <w:numId w:val="25"/>
        </w:numPr>
        <w:spacing w:line="360" w:lineRule="auto"/>
        <w:rPr>
          <w:rFonts w:hint="eastAsia" w:ascii="宋体" w:hAnsi="宋体"/>
          <w:szCs w:val="21"/>
        </w:rPr>
      </w:pPr>
      <w:r>
        <w:rPr>
          <w:rFonts w:hint="eastAsia" w:ascii="宋体" w:hAnsi="宋体"/>
          <w:szCs w:val="21"/>
        </w:rPr>
        <w:t xml:space="preserve"> 灰尘控制：协助车间监控通道和门的开启关闭，对进入车间的人员、物流进行着装、污染监控；</w:t>
      </w:r>
    </w:p>
    <w:p>
      <w:pPr>
        <w:numPr>
          <w:ilvl w:val="0"/>
          <w:numId w:val="24"/>
        </w:numPr>
        <w:spacing w:line="360" w:lineRule="auto"/>
        <w:rPr>
          <w:rFonts w:hint="eastAsia" w:ascii="宋体" w:hAnsi="宋体"/>
          <w:szCs w:val="21"/>
        </w:rPr>
      </w:pPr>
      <w:r>
        <w:rPr>
          <w:rFonts w:hint="eastAsia" w:ascii="宋体" w:hAnsi="宋体"/>
          <w:szCs w:val="21"/>
        </w:rPr>
        <w:t>供方在需方生产现场作业，须与需方签订安全生产协议，遵守需方安全生产管理规定及车间现场的各项管理要求，若出现安全事故所有责任和损失由供方承担；</w:t>
      </w:r>
    </w:p>
    <w:p>
      <w:pPr>
        <w:numPr>
          <w:ilvl w:val="0"/>
          <w:numId w:val="24"/>
        </w:numPr>
        <w:spacing w:line="360" w:lineRule="auto"/>
        <w:rPr>
          <w:rFonts w:hint="eastAsia" w:ascii="宋体" w:hAnsi="宋体"/>
          <w:szCs w:val="21"/>
        </w:rPr>
      </w:pPr>
      <w:r>
        <w:rPr>
          <w:rFonts w:hint="eastAsia" w:ascii="宋体" w:hAnsi="宋体"/>
          <w:szCs w:val="21"/>
        </w:rPr>
        <w:t>隔栅按照需方要求到指定地点进行处理，保证需方的正常使用。若需要添置新隔栅，供方及时向需方提出购买申请；</w:t>
      </w:r>
    </w:p>
    <w:p>
      <w:pPr>
        <w:numPr>
          <w:ilvl w:val="0"/>
          <w:numId w:val="24"/>
        </w:numPr>
        <w:spacing w:line="360" w:lineRule="auto"/>
        <w:rPr>
          <w:rFonts w:hint="eastAsia" w:ascii="宋体" w:hAnsi="宋体"/>
          <w:szCs w:val="21"/>
        </w:rPr>
      </w:pPr>
      <w:r>
        <w:rPr>
          <w:rFonts w:hint="eastAsia" w:ascii="宋体" w:hAnsi="宋体"/>
          <w:szCs w:val="21"/>
        </w:rPr>
        <w:t>空调及各烘房空气过滤材料由供方按照需方更换周期或条件进行定期或不定期的更换，更换掉的废材料及时运到需方指定地点。</w:t>
      </w:r>
    </w:p>
    <w:p>
      <w:pPr>
        <w:spacing w:line="360" w:lineRule="auto"/>
        <w:rPr>
          <w:rFonts w:hint="eastAsia" w:ascii="宋体" w:hAnsi="宋体"/>
          <w:b/>
          <w:szCs w:val="21"/>
        </w:rPr>
      </w:pPr>
      <w:r>
        <w:rPr>
          <w:rFonts w:hint="eastAsia" w:ascii="宋体" w:hAnsi="宋体"/>
          <w:b/>
          <w:szCs w:val="21"/>
        </w:rPr>
        <w:t>七、质量目标及考核办法</w:t>
      </w:r>
    </w:p>
    <w:p>
      <w:pPr>
        <w:numPr>
          <w:ilvl w:val="0"/>
          <w:numId w:val="26"/>
        </w:numPr>
        <w:spacing w:line="360" w:lineRule="auto"/>
        <w:rPr>
          <w:rFonts w:hint="eastAsia" w:ascii="宋体" w:hAnsi="宋体"/>
          <w:szCs w:val="21"/>
        </w:rPr>
      </w:pPr>
      <w:r>
        <w:rPr>
          <w:rFonts w:hint="eastAsia" w:ascii="宋体" w:hAnsi="宋体"/>
          <w:szCs w:val="21"/>
        </w:rPr>
        <w:t>连续一个月或一年内超过二个月（含二个月）的涂装面漆车身因供方原因使单车 “颗粒、絮状丝、漆渣”缺陷数、一交合格率、DPU及其提升要求不达标，严重影响到需方交付，需方则有权考核或取消供方的服务资格；</w:t>
      </w:r>
    </w:p>
    <w:p>
      <w:pPr>
        <w:numPr>
          <w:ilvl w:val="0"/>
          <w:numId w:val="26"/>
        </w:numPr>
        <w:spacing w:line="360" w:lineRule="auto"/>
        <w:rPr>
          <w:rFonts w:hint="eastAsia" w:ascii="宋体" w:hAnsi="宋体"/>
          <w:szCs w:val="21"/>
        </w:rPr>
      </w:pPr>
      <w:r>
        <w:rPr>
          <w:rFonts w:hint="eastAsia" w:ascii="宋体" w:hAnsi="宋体"/>
          <w:szCs w:val="21"/>
        </w:rPr>
        <w:t>为确保指标的顺利实施，特把每月保洁费用的20%作为未完成指标的考核基数。</w:t>
      </w:r>
    </w:p>
    <w:p>
      <w:pPr>
        <w:numPr>
          <w:ilvl w:val="0"/>
          <w:numId w:val="26"/>
        </w:numPr>
        <w:spacing w:line="360" w:lineRule="auto"/>
        <w:rPr>
          <w:rFonts w:hint="eastAsia" w:ascii="宋体" w:hAnsi="宋体"/>
          <w:szCs w:val="21"/>
        </w:rPr>
      </w:pPr>
      <w:r>
        <w:rPr>
          <w:rFonts w:hint="eastAsia" w:ascii="宋体" w:hAnsi="宋体"/>
          <w:szCs w:val="21"/>
        </w:rPr>
        <w:t>由需方组织人员共同对附表所有保洁内容进行验收检查，以判断供方的保洁效果是否满足需方的要求。具体不合格情况评判标准如下：</w:t>
      </w:r>
    </w:p>
    <w:p>
      <w:pPr>
        <w:spacing w:line="360" w:lineRule="auto"/>
        <w:ind w:left="567"/>
        <w:rPr>
          <w:rFonts w:hint="eastAsia" w:ascii="宋体" w:hAnsi="宋体"/>
          <w:szCs w:val="21"/>
        </w:rPr>
      </w:pPr>
      <w:r>
        <w:rPr>
          <w:rFonts w:hint="eastAsia" w:ascii="宋体" w:hAnsi="宋体"/>
          <w:szCs w:val="21"/>
        </w:rPr>
        <w:t>3.1日常保洁和深度保洁效果的检查，按照涂装专业保洁的内容和要求进行验收检查并评分，具体如下：</w:t>
      </w:r>
    </w:p>
    <w:p>
      <w:pPr>
        <w:numPr>
          <w:ilvl w:val="1"/>
          <w:numId w:val="26"/>
        </w:numPr>
        <w:spacing w:line="360" w:lineRule="auto"/>
        <w:rPr>
          <w:rFonts w:hint="eastAsia" w:ascii="宋体" w:hAnsi="宋体"/>
          <w:szCs w:val="21"/>
        </w:rPr>
      </w:pPr>
      <w:r>
        <w:rPr>
          <w:rFonts w:hint="eastAsia" w:ascii="宋体" w:hAnsi="宋体"/>
          <w:szCs w:val="21"/>
        </w:rPr>
        <w:t>0-79分为不合格，则全部扣除本月的考核基数；</w:t>
      </w:r>
    </w:p>
    <w:p>
      <w:pPr>
        <w:numPr>
          <w:ilvl w:val="1"/>
          <w:numId w:val="26"/>
        </w:numPr>
        <w:spacing w:line="360" w:lineRule="auto"/>
        <w:rPr>
          <w:rFonts w:hint="eastAsia" w:ascii="宋体" w:hAnsi="宋体"/>
          <w:szCs w:val="21"/>
        </w:rPr>
      </w:pPr>
      <w:r>
        <w:rPr>
          <w:rFonts w:hint="eastAsia" w:ascii="宋体" w:hAnsi="宋体"/>
          <w:szCs w:val="21"/>
        </w:rPr>
        <w:t>80-89为合格，则考核费用=（90－当月得分）×2000元；</w:t>
      </w:r>
    </w:p>
    <w:p>
      <w:pPr>
        <w:numPr>
          <w:ilvl w:val="1"/>
          <w:numId w:val="26"/>
        </w:numPr>
        <w:spacing w:line="360" w:lineRule="auto"/>
        <w:rPr>
          <w:rFonts w:hint="eastAsia" w:ascii="宋体" w:hAnsi="宋体"/>
          <w:szCs w:val="21"/>
        </w:rPr>
      </w:pPr>
      <w:r>
        <w:rPr>
          <w:rFonts w:hint="eastAsia" w:ascii="宋体" w:hAnsi="宋体"/>
          <w:szCs w:val="21"/>
        </w:rPr>
        <w:t>90-100为良好，不进行考核；</w:t>
      </w:r>
    </w:p>
    <w:p>
      <w:pPr>
        <w:numPr>
          <w:ilvl w:val="1"/>
          <w:numId w:val="26"/>
        </w:numPr>
        <w:spacing w:line="360" w:lineRule="auto"/>
        <w:rPr>
          <w:rFonts w:hint="eastAsia" w:ascii="宋体" w:hAnsi="宋体"/>
          <w:szCs w:val="21"/>
        </w:rPr>
      </w:pPr>
      <w:r>
        <w:rPr>
          <w:rFonts w:hint="eastAsia" w:ascii="宋体" w:hAnsi="宋体"/>
          <w:szCs w:val="21"/>
        </w:rPr>
        <w:t>所有检查项目中有未实施（即该项目未进行保洁）的项目则判断为不合格，则全部扣除本月的考核基数；</w:t>
      </w:r>
    </w:p>
    <w:p>
      <w:pPr>
        <w:spacing w:line="360" w:lineRule="auto"/>
        <w:ind w:left="567"/>
        <w:rPr>
          <w:rFonts w:hint="eastAsia" w:ascii="宋体" w:hAnsi="宋体"/>
          <w:szCs w:val="21"/>
        </w:rPr>
      </w:pPr>
      <w:r>
        <w:rPr>
          <w:rFonts w:hint="eastAsia" w:ascii="宋体" w:hAnsi="宋体"/>
          <w:szCs w:val="21"/>
        </w:rPr>
        <w:t>3.2供方必须对未实施项和不合格项进行限时整改；</w:t>
      </w:r>
    </w:p>
    <w:p>
      <w:pPr>
        <w:spacing w:line="360" w:lineRule="auto"/>
        <w:ind w:left="567"/>
        <w:rPr>
          <w:rFonts w:hint="eastAsia" w:ascii="宋体" w:hAnsi="宋体"/>
          <w:szCs w:val="21"/>
        </w:rPr>
      </w:pPr>
      <w:r>
        <w:rPr>
          <w:rFonts w:hint="eastAsia" w:ascii="宋体" w:hAnsi="宋体"/>
          <w:szCs w:val="21"/>
        </w:rPr>
        <w:t>3.3供方连续两次或一年内超过四次（含四次）的常规保洁效果检查不合格，或深度保洁效果检查不合格,供方拒绝整改或整改达不到需方要求的,需方有权取消供方的服务资格。</w:t>
      </w:r>
    </w:p>
    <w:p>
      <w:pPr>
        <w:spacing w:line="360" w:lineRule="auto"/>
        <w:ind w:firstLine="210" w:firstLineChars="100"/>
        <w:rPr>
          <w:rFonts w:hint="eastAsia" w:ascii="宋体" w:hAnsi="宋体"/>
          <w:szCs w:val="21"/>
        </w:rPr>
      </w:pPr>
      <w:r>
        <w:rPr>
          <w:rFonts w:hint="eastAsia" w:ascii="宋体" w:hAnsi="宋体"/>
          <w:szCs w:val="21"/>
        </w:rPr>
        <w:t>4.   供方需遵守需方现场各项管理制度及安全规定，如有违反视情节严重予以2000-5000元的经济处罚。</w:t>
      </w:r>
    </w:p>
    <w:p>
      <w:pPr>
        <w:spacing w:line="360" w:lineRule="auto"/>
        <w:rPr>
          <w:rFonts w:hint="eastAsia" w:ascii="Arial" w:hAnsi="Arial" w:cs="Arial"/>
          <w:b/>
          <w:color w:val="000000"/>
        </w:rPr>
      </w:pPr>
      <w:r>
        <w:rPr>
          <w:rFonts w:ascii="Arial" w:hAnsi="Arial" w:cs="Arial"/>
          <w:b/>
          <w:color w:val="000000"/>
          <w:szCs w:val="21"/>
        </w:rPr>
        <w:t>八、</w:t>
      </w:r>
      <w:r>
        <w:rPr>
          <w:rFonts w:hint="eastAsia" w:ascii="Arial" w:hAnsi="Arial" w:cs="Arial"/>
          <w:b/>
          <w:color w:val="000000"/>
        </w:rPr>
        <w:t>合同期限及人员配置</w:t>
      </w:r>
    </w:p>
    <w:p>
      <w:pPr>
        <w:numPr>
          <w:ilvl w:val="0"/>
          <w:numId w:val="27"/>
        </w:numPr>
        <w:spacing w:line="360" w:lineRule="auto"/>
        <w:rPr>
          <w:rFonts w:hint="eastAsia" w:ascii="Arial" w:hAnsi="Arial" w:cs="Arial"/>
          <w:bCs/>
          <w:color w:val="FF0000"/>
        </w:rPr>
      </w:pPr>
      <w:r>
        <w:rPr>
          <w:rFonts w:hint="eastAsia" w:ascii="Arial" w:hAnsi="Arial" w:cs="Arial"/>
          <w:bCs/>
          <w:color w:val="000000"/>
        </w:rPr>
        <w:t>合同期限12个月</w:t>
      </w:r>
      <w:r>
        <w:rPr>
          <w:rFonts w:hint="eastAsia" w:ascii="Arial" w:hAnsi="宋体" w:cs="Arial"/>
          <w:color w:val="000000"/>
          <w:szCs w:val="21"/>
        </w:rPr>
        <w:t>，</w:t>
      </w:r>
      <w:r>
        <w:rPr>
          <w:rFonts w:hint="eastAsia" w:ascii="Arial" w:hAnsi="Arial" w:cs="Arial"/>
          <w:bCs/>
          <w:color w:val="000000"/>
        </w:rPr>
        <w:t>202</w:t>
      </w:r>
      <w:r>
        <w:rPr>
          <w:rFonts w:hint="eastAsia" w:ascii="Arial" w:hAnsi="Arial" w:cs="Arial"/>
          <w:bCs/>
          <w:color w:val="000000"/>
          <w:lang w:val="en-US" w:eastAsia="zh-CN"/>
        </w:rPr>
        <w:t>6</w:t>
      </w:r>
      <w:r>
        <w:rPr>
          <w:rFonts w:hint="eastAsia" w:ascii="Arial" w:hAnsi="Arial" w:cs="Arial"/>
          <w:bCs/>
          <w:color w:val="000000"/>
        </w:rPr>
        <w:t>年12月31日止。供方保洁人员（含管理人员）</w:t>
      </w:r>
      <w:r>
        <w:rPr>
          <w:rFonts w:hint="eastAsia" w:ascii="Arial" w:hAnsi="Arial" w:cs="Arial"/>
          <w:bCs/>
        </w:rPr>
        <w:t>配置至少1</w:t>
      </w:r>
      <w:r>
        <w:rPr>
          <w:rFonts w:hint="eastAsia" w:ascii="Arial" w:hAnsi="Arial" w:cs="Arial"/>
          <w:bCs/>
          <w:lang w:val="en-US" w:eastAsia="zh-CN"/>
        </w:rPr>
        <w:t>3</w:t>
      </w:r>
      <w:r>
        <w:rPr>
          <w:rFonts w:hint="eastAsia" w:ascii="Arial" w:hAnsi="Arial" w:cs="Arial"/>
          <w:bCs/>
        </w:rPr>
        <w:t>人</w:t>
      </w:r>
      <w:r>
        <w:rPr>
          <w:rFonts w:hint="eastAsia" w:ascii="Arial" w:hAnsi="Arial" w:cs="Arial"/>
          <w:bCs/>
          <w:color w:val="000000"/>
        </w:rPr>
        <w:t>，供方工作时间需满足需方生产安排；</w:t>
      </w:r>
      <w:r>
        <w:rPr>
          <w:rFonts w:hint="eastAsia" w:ascii="Arial" w:hAnsi="Arial" w:cs="Arial"/>
          <w:bCs/>
          <w:color w:val="FF0000"/>
        </w:rPr>
        <w:t xml:space="preserve"> </w:t>
      </w:r>
    </w:p>
    <w:p>
      <w:pPr>
        <w:numPr>
          <w:ilvl w:val="0"/>
          <w:numId w:val="27"/>
        </w:numPr>
        <w:spacing w:line="360" w:lineRule="auto"/>
        <w:rPr>
          <w:rFonts w:hint="eastAsia" w:ascii="Arial" w:hAnsi="Arial" w:cs="Arial"/>
          <w:bCs/>
          <w:color w:val="FF0000"/>
        </w:rPr>
      </w:pPr>
      <w:r>
        <w:rPr>
          <w:rFonts w:ascii="Arial" w:hAnsi="宋体" w:cs="Arial"/>
          <w:color w:val="000000"/>
          <w:szCs w:val="21"/>
        </w:rPr>
        <w:t>若遇不可抗力</w:t>
      </w:r>
      <w:r>
        <w:rPr>
          <w:rFonts w:ascii="Arial" w:hAnsi="Arial" w:cs="Arial"/>
          <w:color w:val="000000"/>
          <w:szCs w:val="21"/>
        </w:rPr>
        <w:t>(</w:t>
      </w:r>
      <w:r>
        <w:rPr>
          <w:rFonts w:ascii="Arial" w:hAnsi="宋体" w:cs="Arial"/>
          <w:color w:val="000000"/>
          <w:szCs w:val="21"/>
        </w:rPr>
        <w:t>如：战争、严重火灾、水灾、台风、地震等自然灾害</w:t>
      </w:r>
      <w:r>
        <w:rPr>
          <w:rFonts w:ascii="Arial" w:hAnsi="Arial" w:cs="Arial"/>
          <w:color w:val="000000"/>
          <w:szCs w:val="21"/>
        </w:rPr>
        <w:t>)</w:t>
      </w:r>
      <w:r>
        <w:rPr>
          <w:rFonts w:ascii="Arial" w:hAnsi="宋体" w:cs="Arial"/>
          <w:color w:val="000000"/>
          <w:szCs w:val="21"/>
        </w:rPr>
        <w:t>造成停工，工期另行协商。</w:t>
      </w:r>
    </w:p>
    <w:p>
      <w:pPr>
        <w:numPr>
          <w:ilvl w:val="0"/>
          <w:numId w:val="27"/>
        </w:numPr>
        <w:spacing w:before="156" w:beforeLines="50" w:line="360" w:lineRule="auto"/>
        <w:rPr>
          <w:rFonts w:hint="eastAsia" w:ascii="Arial" w:hAnsi="Arial" w:cs="Arial"/>
          <w:szCs w:val="21"/>
        </w:rPr>
      </w:pPr>
      <w:r>
        <w:rPr>
          <w:rFonts w:hint="eastAsia" w:ascii="Arial" w:hAnsi="Arial" w:cs="Arial"/>
        </w:rPr>
        <w:t>供方必须满足需方的技术要求。在供方以上人员满足不了技术要求时，必须无条件增加人员，产生的费用由供方全部承担。</w:t>
      </w:r>
    </w:p>
    <w:p>
      <w:pPr>
        <w:spacing w:before="156" w:beforeLines="50" w:line="360" w:lineRule="auto"/>
        <w:rPr>
          <w:rFonts w:ascii="Arial" w:hAnsi="Arial" w:cs="Arial"/>
          <w:b/>
          <w:szCs w:val="21"/>
        </w:rPr>
      </w:pPr>
      <w:r>
        <w:rPr>
          <w:rFonts w:hint="eastAsia" w:ascii="Arial" w:hAnsi="Arial" w:cs="Arial"/>
          <w:b/>
          <w:szCs w:val="21"/>
        </w:rPr>
        <w:t>九、</w:t>
      </w:r>
      <w:r>
        <w:rPr>
          <w:rFonts w:ascii="Arial" w:hAnsi="宋体" w:cs="Arial"/>
          <w:b/>
          <w:szCs w:val="21"/>
        </w:rPr>
        <w:t>现场</w:t>
      </w:r>
      <w:r>
        <w:rPr>
          <w:rFonts w:hint="eastAsia" w:ascii="Arial" w:hAnsi="宋体" w:cs="Arial"/>
          <w:b/>
          <w:szCs w:val="21"/>
        </w:rPr>
        <w:t>服务</w:t>
      </w:r>
      <w:r>
        <w:rPr>
          <w:rFonts w:ascii="Arial" w:hAnsi="宋体" w:cs="Arial"/>
          <w:b/>
          <w:szCs w:val="21"/>
        </w:rPr>
        <w:t>安全计划</w:t>
      </w:r>
    </w:p>
    <w:p>
      <w:pPr>
        <w:numPr>
          <w:ilvl w:val="0"/>
          <w:numId w:val="28"/>
        </w:numPr>
        <w:spacing w:line="360" w:lineRule="auto"/>
        <w:rPr>
          <w:rFonts w:ascii="Arial" w:hAnsi="Arial" w:cs="Arial"/>
          <w:szCs w:val="21"/>
        </w:rPr>
      </w:pPr>
      <w:r>
        <w:rPr>
          <w:rFonts w:ascii="Arial" w:hAnsi="宋体" w:cs="Arial"/>
          <w:szCs w:val="21"/>
        </w:rPr>
        <w:t>供方应遵循</w:t>
      </w:r>
      <w:r>
        <w:rPr>
          <w:rFonts w:hint="eastAsia" w:ascii="Arial" w:hAnsi="宋体" w:cs="Arial"/>
          <w:szCs w:val="21"/>
        </w:rPr>
        <w:t>重汽（重庆）轻型汽车有限公司</w:t>
      </w:r>
      <w:r>
        <w:rPr>
          <w:rFonts w:ascii="Arial" w:hAnsi="宋体" w:cs="Arial"/>
          <w:szCs w:val="21"/>
        </w:rPr>
        <w:t>的所有健康、安全条款。</w:t>
      </w:r>
    </w:p>
    <w:p>
      <w:pPr>
        <w:numPr>
          <w:ilvl w:val="0"/>
          <w:numId w:val="28"/>
        </w:numPr>
        <w:spacing w:line="360" w:lineRule="auto"/>
        <w:rPr>
          <w:rFonts w:ascii="Arial" w:hAnsi="Arial" w:cs="Arial"/>
          <w:szCs w:val="21"/>
        </w:rPr>
      </w:pPr>
      <w:r>
        <w:rPr>
          <w:rFonts w:ascii="Arial" w:hAnsi="宋体" w:cs="Arial"/>
          <w:szCs w:val="21"/>
        </w:rPr>
        <w:t>供方应负责准备、制订并执行需方安全要求的安全控制程序，在供方进入现场前提交需方，并须得到需方认可。</w:t>
      </w:r>
    </w:p>
    <w:p>
      <w:pPr>
        <w:numPr>
          <w:ilvl w:val="0"/>
          <w:numId w:val="28"/>
        </w:numPr>
        <w:spacing w:line="360" w:lineRule="auto"/>
        <w:rPr>
          <w:rFonts w:hint="eastAsia" w:ascii="Arial" w:hAnsi="Arial" w:cs="Arial"/>
          <w:szCs w:val="21"/>
        </w:rPr>
      </w:pPr>
      <w:r>
        <w:rPr>
          <w:rFonts w:ascii="Arial" w:hAnsi="宋体" w:cs="Arial"/>
          <w:szCs w:val="21"/>
        </w:rPr>
        <w:t>供方须任命安全员并时刻在现场负责安全问题，负责管理作业，建立安全操作规则，进行规范作业。供方同时还需考虑所有可能发生的安全问题的对策（应急</w:t>
      </w:r>
      <w:r>
        <w:rPr>
          <w:rFonts w:hint="eastAsia" w:ascii="Arial" w:hAnsi="宋体" w:cs="Arial"/>
          <w:szCs w:val="21"/>
        </w:rPr>
        <w:t>响应</w:t>
      </w:r>
      <w:r>
        <w:rPr>
          <w:rFonts w:ascii="Arial" w:hAnsi="宋体" w:cs="Arial"/>
          <w:szCs w:val="21"/>
        </w:rPr>
        <w:t>方案），并向需方汇报。</w:t>
      </w:r>
    </w:p>
    <w:p>
      <w:pPr>
        <w:numPr>
          <w:ilvl w:val="0"/>
          <w:numId w:val="28"/>
        </w:numPr>
        <w:spacing w:line="360" w:lineRule="auto"/>
        <w:rPr>
          <w:rFonts w:ascii="Arial" w:hAnsi="Arial" w:cs="Arial"/>
          <w:szCs w:val="21"/>
        </w:rPr>
      </w:pPr>
      <w:r>
        <w:rPr>
          <w:rFonts w:ascii="Arial" w:hAnsi="宋体" w:cs="Arial"/>
          <w:szCs w:val="21"/>
        </w:rPr>
        <w:t>供方须每时每刻保证所有进入涂装车间的供方人员严禁携带火种（香烟、打火机等），进入调漆间和喷房必须将对讲机、电话等通讯设备放到制定位置。</w:t>
      </w:r>
    </w:p>
    <w:p>
      <w:pPr>
        <w:numPr>
          <w:ilvl w:val="0"/>
          <w:numId w:val="28"/>
        </w:numPr>
        <w:spacing w:line="360" w:lineRule="auto"/>
        <w:rPr>
          <w:rFonts w:ascii="Arial" w:hAnsi="Arial" w:cs="Arial"/>
          <w:szCs w:val="21"/>
        </w:rPr>
      </w:pPr>
      <w:r>
        <w:rPr>
          <w:rFonts w:ascii="Arial" w:hAnsi="宋体" w:cs="Arial"/>
          <w:szCs w:val="21"/>
        </w:rPr>
        <w:t>保洁安全计划包括：</w:t>
      </w:r>
    </w:p>
    <w:p>
      <w:pPr>
        <w:spacing w:line="360" w:lineRule="auto"/>
        <w:ind w:firstLine="555"/>
        <w:rPr>
          <w:rFonts w:ascii="Arial" w:hAnsi="宋体" w:cs="Arial"/>
          <w:szCs w:val="21"/>
        </w:rPr>
      </w:pPr>
      <w:r>
        <w:rPr>
          <w:rFonts w:ascii="Arial" w:hAnsi="宋体" w:cs="Arial"/>
          <w:szCs w:val="21"/>
        </w:rPr>
        <w:t>总体安全</w:t>
      </w:r>
    </w:p>
    <w:p>
      <w:pPr>
        <w:spacing w:line="360" w:lineRule="auto"/>
        <w:ind w:firstLine="555"/>
        <w:rPr>
          <w:rFonts w:ascii="Arial" w:hAnsi="宋体" w:cs="Arial"/>
          <w:szCs w:val="21"/>
        </w:rPr>
      </w:pPr>
      <w:r>
        <w:rPr>
          <w:rFonts w:ascii="Arial" w:hAnsi="宋体" w:cs="Arial"/>
          <w:szCs w:val="21"/>
        </w:rPr>
        <w:t>PPE（个人防护用品）的使用</w:t>
      </w:r>
    </w:p>
    <w:p>
      <w:pPr>
        <w:spacing w:line="360" w:lineRule="auto"/>
        <w:ind w:firstLine="555"/>
        <w:rPr>
          <w:rFonts w:ascii="Arial" w:hAnsi="宋体" w:cs="Arial"/>
          <w:szCs w:val="21"/>
        </w:rPr>
      </w:pPr>
      <w:r>
        <w:rPr>
          <w:rFonts w:ascii="Arial" w:hAnsi="宋体" w:cs="Arial"/>
          <w:szCs w:val="21"/>
        </w:rPr>
        <w:t>化学品</w:t>
      </w:r>
      <w:r>
        <w:rPr>
          <w:rFonts w:hint="eastAsia" w:ascii="Arial" w:hAnsi="宋体" w:cs="Arial"/>
          <w:szCs w:val="21"/>
        </w:rPr>
        <w:t>安全使用及发生意外的应急计划</w:t>
      </w:r>
    </w:p>
    <w:p>
      <w:pPr>
        <w:spacing w:line="360" w:lineRule="auto"/>
        <w:ind w:firstLine="555"/>
        <w:rPr>
          <w:rFonts w:ascii="Arial" w:hAnsi="宋体" w:cs="Arial"/>
          <w:szCs w:val="21"/>
        </w:rPr>
      </w:pPr>
      <w:r>
        <w:rPr>
          <w:rFonts w:ascii="Arial" w:hAnsi="宋体" w:cs="Arial"/>
          <w:szCs w:val="21"/>
        </w:rPr>
        <w:t>防止高空摔落手段</w:t>
      </w:r>
    </w:p>
    <w:p>
      <w:pPr>
        <w:spacing w:line="360" w:lineRule="auto"/>
        <w:ind w:firstLine="555"/>
        <w:rPr>
          <w:rFonts w:ascii="Arial" w:hAnsi="宋体" w:cs="Arial"/>
          <w:szCs w:val="21"/>
        </w:rPr>
      </w:pPr>
      <w:r>
        <w:rPr>
          <w:rFonts w:hint="eastAsia" w:ascii="Arial" w:hAnsi="宋体" w:cs="Arial"/>
          <w:szCs w:val="21"/>
        </w:rPr>
        <w:t>有限</w:t>
      </w:r>
      <w:r>
        <w:rPr>
          <w:rFonts w:ascii="Arial" w:hAnsi="宋体" w:cs="Arial"/>
          <w:szCs w:val="21"/>
        </w:rPr>
        <w:t xml:space="preserve">空间进入防控办法 </w:t>
      </w:r>
    </w:p>
    <w:p>
      <w:pPr>
        <w:spacing w:line="360" w:lineRule="auto"/>
        <w:ind w:firstLine="555"/>
        <w:rPr>
          <w:rFonts w:ascii="Arial" w:hAnsi="宋体" w:cs="Arial"/>
          <w:szCs w:val="21"/>
        </w:rPr>
      </w:pPr>
      <w:r>
        <w:rPr>
          <w:rFonts w:ascii="Arial" w:hAnsi="宋体" w:cs="Arial"/>
          <w:szCs w:val="21"/>
        </w:rPr>
        <w:t>防火</w:t>
      </w:r>
    </w:p>
    <w:p>
      <w:pPr>
        <w:spacing w:line="360" w:lineRule="auto"/>
        <w:ind w:firstLine="555"/>
        <w:rPr>
          <w:rFonts w:ascii="Arial" w:hAnsi="宋体" w:cs="Arial"/>
          <w:szCs w:val="21"/>
        </w:rPr>
      </w:pPr>
      <w:r>
        <w:rPr>
          <w:rFonts w:ascii="Arial" w:hAnsi="宋体" w:cs="Arial"/>
          <w:szCs w:val="21"/>
        </w:rPr>
        <w:t>人员、设备等安全</w:t>
      </w:r>
    </w:p>
    <w:p>
      <w:pPr>
        <w:pStyle w:val="17"/>
        <w:spacing w:before="156" w:beforeLines="50" w:line="360" w:lineRule="auto"/>
        <w:rPr>
          <w:rFonts w:ascii="Arial" w:hAnsi="Arial" w:cs="Arial"/>
          <w:b/>
          <w:szCs w:val="21"/>
        </w:rPr>
      </w:pPr>
      <w:r>
        <w:rPr>
          <w:rFonts w:hint="eastAsia" w:ascii="Arial" w:hAnsi="Arial" w:cs="Arial"/>
          <w:b/>
          <w:szCs w:val="21"/>
        </w:rPr>
        <w:t>十、</w:t>
      </w:r>
      <w:r>
        <w:rPr>
          <w:rFonts w:ascii="Arial" w:hAnsi="宋体" w:cs="Arial"/>
          <w:b/>
          <w:szCs w:val="21"/>
        </w:rPr>
        <w:t>安全作业和文明作业</w:t>
      </w:r>
    </w:p>
    <w:p>
      <w:pPr>
        <w:pStyle w:val="17"/>
        <w:numPr>
          <w:ilvl w:val="1"/>
          <w:numId w:val="29"/>
        </w:numPr>
        <w:spacing w:line="360" w:lineRule="auto"/>
        <w:rPr>
          <w:rFonts w:ascii="Arial" w:hAnsi="Arial" w:cs="Arial"/>
          <w:szCs w:val="21"/>
        </w:rPr>
      </w:pPr>
      <w:r>
        <w:rPr>
          <w:rFonts w:ascii="Arial" w:hAnsi="宋体" w:cs="Arial"/>
          <w:szCs w:val="21"/>
        </w:rPr>
        <w:t>供方应按相关规定，采取严格的安全防护措施，保证安全作业和文明作业，并承担由于自身安全事故</w:t>
      </w:r>
      <w:r>
        <w:rPr>
          <w:rFonts w:hint="eastAsia" w:ascii="Arial" w:hAnsi="宋体" w:cs="Arial"/>
          <w:szCs w:val="21"/>
        </w:rPr>
        <w:t>造成</w:t>
      </w:r>
      <w:r>
        <w:rPr>
          <w:rFonts w:ascii="Arial" w:hAnsi="宋体" w:cs="Arial"/>
          <w:szCs w:val="21"/>
        </w:rPr>
        <w:t>的责任和费用。</w:t>
      </w:r>
    </w:p>
    <w:p>
      <w:pPr>
        <w:pStyle w:val="17"/>
        <w:numPr>
          <w:ilvl w:val="1"/>
          <w:numId w:val="29"/>
        </w:numPr>
        <w:spacing w:line="360" w:lineRule="auto"/>
        <w:rPr>
          <w:rFonts w:ascii="Arial" w:hAnsi="Arial" w:cs="Arial"/>
          <w:szCs w:val="21"/>
        </w:rPr>
      </w:pPr>
      <w:r>
        <w:rPr>
          <w:rFonts w:ascii="Arial" w:hAnsi="宋体" w:cs="Arial"/>
          <w:szCs w:val="21"/>
        </w:rPr>
        <w:t>发生重大伤亡事故，供方应立即做出有效处理，并按规定及时上报主管部门，同时通知需方，还应按政府有关部门要求，处理好善后事宜。</w:t>
      </w:r>
    </w:p>
    <w:p>
      <w:pPr>
        <w:pStyle w:val="17"/>
        <w:numPr>
          <w:ilvl w:val="1"/>
          <w:numId w:val="29"/>
        </w:numPr>
        <w:spacing w:line="360" w:lineRule="auto"/>
        <w:rPr>
          <w:rFonts w:ascii="Arial" w:hAnsi="Arial" w:cs="Arial"/>
          <w:szCs w:val="21"/>
        </w:rPr>
      </w:pPr>
      <w:r>
        <w:rPr>
          <w:rFonts w:ascii="Arial" w:hAnsi="宋体" w:cs="Arial"/>
          <w:szCs w:val="21"/>
        </w:rPr>
        <w:t>供方应遵守需方施工厂区有关安全保卫及厂规厂纪的规定。</w:t>
      </w:r>
    </w:p>
    <w:p>
      <w:pPr>
        <w:pStyle w:val="17"/>
        <w:numPr>
          <w:ilvl w:val="1"/>
          <w:numId w:val="29"/>
        </w:numPr>
        <w:spacing w:line="360" w:lineRule="auto"/>
        <w:rPr>
          <w:rFonts w:ascii="Arial" w:hAnsi="Arial" w:cs="Arial"/>
          <w:szCs w:val="21"/>
        </w:rPr>
      </w:pPr>
      <w:r>
        <w:rPr>
          <w:rFonts w:ascii="Arial" w:hAnsi="宋体" w:cs="Arial"/>
          <w:szCs w:val="21"/>
        </w:rPr>
        <w:t>供方承担非夜间施工照明的责任和要求。</w:t>
      </w:r>
    </w:p>
    <w:p>
      <w:pPr>
        <w:pStyle w:val="17"/>
        <w:spacing w:before="156" w:beforeLines="50" w:line="360" w:lineRule="auto"/>
        <w:rPr>
          <w:rFonts w:ascii="Arial" w:hAnsi="Arial" w:cs="Arial"/>
          <w:b/>
          <w:szCs w:val="21"/>
        </w:rPr>
      </w:pPr>
      <w:r>
        <w:rPr>
          <w:rFonts w:hint="eastAsia" w:ascii="Arial" w:hAnsi="Arial" w:cs="Arial"/>
          <w:b/>
          <w:szCs w:val="21"/>
        </w:rPr>
        <w:t>十一、</w:t>
      </w:r>
      <w:r>
        <w:rPr>
          <w:rFonts w:ascii="Arial" w:hAnsi="宋体" w:cs="Arial"/>
          <w:b/>
          <w:szCs w:val="21"/>
        </w:rPr>
        <w:t>双方责任</w:t>
      </w:r>
    </w:p>
    <w:p>
      <w:pPr>
        <w:pStyle w:val="17"/>
        <w:spacing w:line="360" w:lineRule="auto"/>
        <w:rPr>
          <w:rFonts w:ascii="Arial" w:hAnsi="Arial" w:cs="Arial"/>
          <w:b/>
          <w:szCs w:val="21"/>
        </w:rPr>
      </w:pPr>
      <w:r>
        <w:rPr>
          <w:rFonts w:hint="eastAsia" w:ascii="Arial" w:hAnsi="Arial" w:cs="Arial"/>
          <w:b/>
          <w:szCs w:val="21"/>
        </w:rPr>
        <w:t>1、</w:t>
      </w:r>
      <w:r>
        <w:rPr>
          <w:rFonts w:ascii="Arial" w:hAnsi="宋体" w:cs="Arial"/>
          <w:b/>
          <w:szCs w:val="21"/>
        </w:rPr>
        <w:t>需方责任</w:t>
      </w:r>
    </w:p>
    <w:p>
      <w:pPr>
        <w:pStyle w:val="17"/>
        <w:numPr>
          <w:ilvl w:val="0"/>
          <w:numId w:val="30"/>
        </w:numPr>
        <w:spacing w:line="360" w:lineRule="auto"/>
        <w:rPr>
          <w:rFonts w:ascii="Arial" w:hAnsi="Arial" w:cs="Arial"/>
          <w:szCs w:val="21"/>
        </w:rPr>
      </w:pPr>
      <w:r>
        <w:rPr>
          <w:rFonts w:ascii="Arial" w:hAnsi="宋体" w:cs="Arial"/>
          <w:szCs w:val="21"/>
        </w:rPr>
        <w:t>需方应指定负责协调与支持的工程师：负责工作检查、安全监督等。</w:t>
      </w:r>
    </w:p>
    <w:p>
      <w:pPr>
        <w:pStyle w:val="17"/>
        <w:numPr>
          <w:ilvl w:val="0"/>
          <w:numId w:val="30"/>
        </w:numPr>
        <w:spacing w:line="360" w:lineRule="auto"/>
        <w:rPr>
          <w:rFonts w:ascii="Arial" w:hAnsi="Arial" w:cs="Arial"/>
          <w:szCs w:val="21"/>
        </w:rPr>
      </w:pPr>
      <w:r>
        <w:rPr>
          <w:rFonts w:ascii="Arial" w:hAnsi="宋体" w:cs="Arial"/>
          <w:szCs w:val="21"/>
        </w:rPr>
        <w:t>协助供方办理进入车间内作业所需的相关证件及批文。</w:t>
      </w:r>
    </w:p>
    <w:p>
      <w:pPr>
        <w:pStyle w:val="17"/>
        <w:numPr>
          <w:ilvl w:val="0"/>
          <w:numId w:val="30"/>
        </w:numPr>
        <w:spacing w:line="360" w:lineRule="auto"/>
        <w:rPr>
          <w:rFonts w:ascii="Arial" w:hAnsi="Arial" w:cs="Arial"/>
          <w:szCs w:val="21"/>
        </w:rPr>
      </w:pPr>
      <w:r>
        <w:rPr>
          <w:rFonts w:ascii="Arial" w:hAnsi="宋体" w:cs="Arial"/>
          <w:szCs w:val="21"/>
        </w:rPr>
        <w:t>向供方提供施工现场有关安全及其他规定。</w:t>
      </w:r>
    </w:p>
    <w:p>
      <w:pPr>
        <w:pStyle w:val="17"/>
        <w:numPr>
          <w:ilvl w:val="0"/>
          <w:numId w:val="30"/>
        </w:numPr>
        <w:spacing w:line="360" w:lineRule="auto"/>
        <w:rPr>
          <w:rFonts w:ascii="Arial" w:hAnsi="Arial" w:cs="Arial"/>
          <w:szCs w:val="21"/>
        </w:rPr>
      </w:pPr>
      <w:r>
        <w:rPr>
          <w:rFonts w:ascii="Arial" w:hAnsi="宋体" w:cs="Arial"/>
          <w:szCs w:val="21"/>
        </w:rPr>
        <w:t>无偿向供方提供开展工作所需的水、电、压缩空气</w:t>
      </w:r>
      <w:r>
        <w:rPr>
          <w:rFonts w:hint="eastAsia" w:ascii="Arial" w:hAnsi="宋体" w:cs="Arial"/>
          <w:szCs w:val="21"/>
        </w:rPr>
        <w:t>等能源</w:t>
      </w:r>
      <w:r>
        <w:rPr>
          <w:rFonts w:ascii="Arial" w:hAnsi="宋体" w:cs="Arial"/>
          <w:szCs w:val="21"/>
        </w:rPr>
        <w:t>的供应。</w:t>
      </w:r>
    </w:p>
    <w:p>
      <w:pPr>
        <w:pStyle w:val="17"/>
        <w:numPr>
          <w:ilvl w:val="0"/>
          <w:numId w:val="30"/>
        </w:numPr>
        <w:spacing w:line="360" w:lineRule="auto"/>
        <w:rPr>
          <w:rFonts w:ascii="Arial" w:hAnsi="Arial" w:cs="Arial"/>
          <w:szCs w:val="21"/>
        </w:rPr>
      </w:pPr>
      <w:r>
        <w:rPr>
          <w:rFonts w:ascii="Arial" w:hAnsi="宋体" w:cs="Arial"/>
          <w:szCs w:val="21"/>
        </w:rPr>
        <w:t>对本项目有全面监督检查权，有责任监督供方</w:t>
      </w:r>
      <w:r>
        <w:rPr>
          <w:rFonts w:hint="eastAsia" w:ascii="Arial" w:hAnsi="宋体" w:cs="Arial"/>
          <w:szCs w:val="21"/>
        </w:rPr>
        <w:t>保洁</w:t>
      </w:r>
      <w:r>
        <w:rPr>
          <w:rFonts w:ascii="Arial" w:hAnsi="宋体" w:cs="Arial"/>
          <w:szCs w:val="21"/>
        </w:rPr>
        <w:t>进度，有权审查供方清洁质量。需方若发现供方清洁质量等方面有问题，有权要求暂停设备的清洁。供方应立即采取措施，加以改进，直到达到规定的要求，并承担相应的费用。</w:t>
      </w:r>
      <w:r>
        <w:rPr>
          <w:rFonts w:hint="eastAsia" w:ascii="Arial" w:hAnsi="宋体" w:cs="Arial"/>
          <w:szCs w:val="21"/>
        </w:rPr>
        <w:t>因供方工作质量未达标准导致需方产品涂装返工或报废的，供方需承担损失；</w:t>
      </w:r>
    </w:p>
    <w:p>
      <w:pPr>
        <w:pStyle w:val="17"/>
        <w:numPr>
          <w:ilvl w:val="0"/>
          <w:numId w:val="30"/>
        </w:numPr>
        <w:spacing w:line="360" w:lineRule="auto"/>
        <w:rPr>
          <w:rFonts w:ascii="Arial" w:hAnsi="Arial" w:cs="Arial"/>
          <w:szCs w:val="21"/>
        </w:rPr>
      </w:pPr>
      <w:r>
        <w:rPr>
          <w:rFonts w:ascii="Arial" w:hAnsi="宋体" w:cs="Arial"/>
          <w:szCs w:val="21"/>
        </w:rPr>
        <w:t>图纸及技术文件保密：供方提供给需方的清洁技术文件，需方负责保密，不得转让或泄漏给第三方。否则，需方将承担由此而造成的一切法律和经济责任，并承担一切相关费用。</w:t>
      </w:r>
    </w:p>
    <w:p>
      <w:pPr>
        <w:pStyle w:val="17"/>
        <w:spacing w:line="360" w:lineRule="auto"/>
        <w:rPr>
          <w:rFonts w:ascii="Arial" w:hAnsi="Arial" w:cs="Arial"/>
          <w:b/>
          <w:szCs w:val="21"/>
        </w:rPr>
      </w:pPr>
      <w:r>
        <w:rPr>
          <w:rFonts w:hint="eastAsia" w:ascii="Arial" w:hAnsi="Arial" w:cs="Arial"/>
          <w:b/>
          <w:szCs w:val="21"/>
        </w:rPr>
        <w:t>2、</w:t>
      </w:r>
      <w:r>
        <w:rPr>
          <w:rFonts w:ascii="Arial" w:hAnsi="宋体" w:cs="Arial"/>
          <w:b/>
          <w:szCs w:val="21"/>
        </w:rPr>
        <w:t>供方责任</w:t>
      </w:r>
    </w:p>
    <w:p>
      <w:pPr>
        <w:pStyle w:val="17"/>
        <w:spacing w:line="360" w:lineRule="auto"/>
        <w:rPr>
          <w:rFonts w:ascii="Arial" w:hAnsi="Arial" w:cs="Arial"/>
          <w:szCs w:val="21"/>
        </w:rPr>
      </w:pPr>
      <w:r>
        <w:rPr>
          <w:rFonts w:hint="eastAsia" w:ascii="Arial" w:hAnsi="Arial" w:cs="Arial"/>
          <w:szCs w:val="21"/>
        </w:rPr>
        <w:t>（1）、</w:t>
      </w:r>
      <w:r>
        <w:rPr>
          <w:rFonts w:ascii="Arial" w:hAnsi="宋体" w:cs="Arial"/>
          <w:szCs w:val="21"/>
        </w:rPr>
        <w:t>严格执行合同有关条款，向需方提供符合工期及质量标准的清洁服务。指派专人作为供方驻工地代表，负责合同履行。按要求组织施工，保质、保量、按期完成施工任务，解决由供方负责的各项事宜。</w:t>
      </w:r>
    </w:p>
    <w:p>
      <w:pPr>
        <w:pStyle w:val="17"/>
        <w:spacing w:line="360" w:lineRule="auto"/>
        <w:rPr>
          <w:rFonts w:ascii="Arial" w:hAnsi="Arial" w:cs="Arial"/>
          <w:szCs w:val="21"/>
        </w:rPr>
      </w:pPr>
      <w:r>
        <w:rPr>
          <w:rFonts w:hint="eastAsia" w:ascii="Arial" w:hAnsi="Arial" w:cs="Arial"/>
          <w:szCs w:val="21"/>
        </w:rPr>
        <w:t>（2）、</w:t>
      </w:r>
      <w:r>
        <w:rPr>
          <w:rFonts w:ascii="Arial" w:hAnsi="宋体" w:cs="Arial"/>
          <w:szCs w:val="21"/>
        </w:rPr>
        <w:t>供方应按生产的需要组织足够、合格的管理人员、技术人员、以及清洁作业中必备的设备、工具、材料、化学品等辅材及清洁所必备的工具进行本项目的清洁作业，以保证清洁作业的顺利进行。</w:t>
      </w:r>
    </w:p>
    <w:p>
      <w:pPr>
        <w:pStyle w:val="17"/>
        <w:spacing w:line="360" w:lineRule="auto"/>
        <w:rPr>
          <w:rFonts w:ascii="Arial" w:hAnsi="Arial" w:cs="Arial"/>
          <w:szCs w:val="21"/>
        </w:rPr>
      </w:pPr>
      <w:r>
        <w:rPr>
          <w:rFonts w:hint="eastAsia" w:ascii="Arial" w:hAnsi="Arial" w:cs="Arial"/>
          <w:szCs w:val="21"/>
        </w:rPr>
        <w:t>（3）、</w:t>
      </w:r>
      <w:r>
        <w:rPr>
          <w:rFonts w:ascii="Arial" w:hAnsi="宋体" w:cs="Arial"/>
          <w:szCs w:val="21"/>
        </w:rPr>
        <w:t>供方要安排现场负责人</w:t>
      </w:r>
      <w:r>
        <w:rPr>
          <w:rFonts w:ascii="Arial" w:hAnsi="Arial" w:cs="Arial"/>
          <w:szCs w:val="21"/>
        </w:rPr>
        <w:t>(</w:t>
      </w:r>
      <w:r>
        <w:rPr>
          <w:rFonts w:hint="eastAsia" w:ascii="Arial" w:hAnsi="宋体" w:cs="Arial"/>
          <w:szCs w:val="21"/>
        </w:rPr>
        <w:t>现场</w:t>
      </w:r>
      <w:r>
        <w:rPr>
          <w:rFonts w:ascii="Arial" w:hAnsi="宋体" w:cs="Arial"/>
          <w:szCs w:val="21"/>
        </w:rPr>
        <w:t>经理</w:t>
      </w:r>
      <w:r>
        <w:rPr>
          <w:rFonts w:ascii="Arial" w:hAnsi="Arial" w:cs="Arial"/>
          <w:szCs w:val="21"/>
        </w:rPr>
        <w:t>)</w:t>
      </w:r>
      <w:r>
        <w:rPr>
          <w:rFonts w:ascii="Arial" w:hAnsi="宋体" w:cs="Arial"/>
          <w:szCs w:val="21"/>
        </w:rPr>
        <w:t>负责现场的安全和质量管理工作，做好细化到每日的工作计划。清洁施工过程中，每天上班时向需方现场代表递交前一天的工作完成情况及当天的工作计划，以确保需方进行检查调整。清洁过程中要做好质量检查和记录工作，要与需方的管理体系协调一致。</w:t>
      </w:r>
    </w:p>
    <w:p>
      <w:pPr>
        <w:spacing w:line="360" w:lineRule="auto"/>
        <w:ind w:left="360" w:hanging="360"/>
        <w:rPr>
          <w:rFonts w:ascii="Arial" w:hAnsi="Arial" w:cs="Arial"/>
          <w:szCs w:val="21"/>
        </w:rPr>
      </w:pPr>
      <w:r>
        <w:rPr>
          <w:rFonts w:hint="eastAsia" w:ascii="Arial" w:hAnsi="Arial" w:cs="Arial"/>
          <w:szCs w:val="21"/>
        </w:rPr>
        <w:t>（4）、</w:t>
      </w:r>
      <w:r>
        <w:rPr>
          <w:rFonts w:ascii="Arial" w:hAnsi="宋体" w:cs="Arial"/>
          <w:szCs w:val="21"/>
        </w:rPr>
        <w:t>供方为了将设施服务工作可跟踪化和可评估化</w:t>
      </w:r>
      <w:r>
        <w:rPr>
          <w:rFonts w:ascii="Arial" w:hAnsi="Arial" w:cs="Arial"/>
          <w:szCs w:val="21"/>
        </w:rPr>
        <w:t>,</w:t>
      </w:r>
      <w:r>
        <w:rPr>
          <w:rFonts w:ascii="Arial" w:hAnsi="宋体" w:cs="Arial"/>
          <w:szCs w:val="21"/>
        </w:rPr>
        <w:t>建立了以下列举的报告沟通系统</w:t>
      </w:r>
      <w:r>
        <w:rPr>
          <w:rFonts w:ascii="Arial" w:hAnsi="Arial" w:cs="Arial"/>
          <w:szCs w:val="21"/>
        </w:rPr>
        <w:t xml:space="preserve">, </w:t>
      </w:r>
      <w:r>
        <w:rPr>
          <w:rFonts w:ascii="Arial" w:hAnsi="宋体" w:cs="Arial"/>
          <w:szCs w:val="21"/>
        </w:rPr>
        <w:t>通过这些沟通手段</w:t>
      </w:r>
      <w:r>
        <w:rPr>
          <w:rFonts w:ascii="Arial" w:hAnsi="Arial" w:cs="Arial"/>
          <w:szCs w:val="21"/>
        </w:rPr>
        <w:t>,</w:t>
      </w:r>
      <w:r>
        <w:rPr>
          <w:rFonts w:ascii="Arial" w:hAnsi="宋体" w:cs="Arial"/>
          <w:szCs w:val="21"/>
        </w:rPr>
        <w:t>双方能对涂装车间的保洁</w:t>
      </w:r>
      <w:r>
        <w:rPr>
          <w:rFonts w:ascii="Arial" w:hAnsi="Arial" w:cs="Arial"/>
          <w:szCs w:val="21"/>
        </w:rPr>
        <w:t>,</w:t>
      </w:r>
      <w:r>
        <w:rPr>
          <w:rFonts w:ascii="Arial" w:hAnsi="宋体" w:cs="Arial"/>
          <w:szCs w:val="21"/>
        </w:rPr>
        <w:t>相关设备以及与保洁有关的油漆质量状态有一个全面的了解</w:t>
      </w:r>
      <w:r>
        <w:rPr>
          <w:rFonts w:ascii="Arial" w:hAnsi="Arial" w:cs="Arial"/>
          <w:szCs w:val="21"/>
        </w:rPr>
        <w:t>.</w:t>
      </w:r>
      <w:r>
        <w:rPr>
          <w:rFonts w:ascii="Arial" w:hAnsi="宋体" w:cs="Arial"/>
          <w:szCs w:val="21"/>
        </w:rPr>
        <w:t>供方也将与需方一起完善以下系统</w:t>
      </w:r>
      <w:r>
        <w:rPr>
          <w:rFonts w:ascii="Arial" w:hAnsi="Arial" w:cs="Arial"/>
          <w:szCs w:val="21"/>
        </w:rPr>
        <w:t>,</w:t>
      </w:r>
      <w:r>
        <w:rPr>
          <w:rFonts w:ascii="Arial" w:hAnsi="宋体" w:cs="Arial"/>
          <w:szCs w:val="21"/>
        </w:rPr>
        <w:t>并开发出适合涂装车间管理的作业系统</w:t>
      </w:r>
      <w:r>
        <w:rPr>
          <w:rFonts w:hint="eastAsia" w:ascii="Arial" w:hAnsi="Arial" w:cs="Arial"/>
          <w:szCs w:val="21"/>
        </w:rPr>
        <w:t>。</w:t>
      </w:r>
    </w:p>
    <w:p>
      <w:pPr>
        <w:numPr>
          <w:ilvl w:val="0"/>
          <w:numId w:val="31"/>
        </w:numPr>
        <w:tabs>
          <w:tab w:val="left" w:pos="1620"/>
        </w:tabs>
        <w:spacing w:line="360" w:lineRule="auto"/>
        <w:rPr>
          <w:rFonts w:hint="eastAsia" w:ascii="Arial" w:hAnsi="Arial" w:cs="Arial"/>
          <w:szCs w:val="21"/>
        </w:rPr>
      </w:pPr>
      <w:r>
        <w:rPr>
          <w:rFonts w:ascii="Arial" w:hAnsi="宋体" w:cs="Arial"/>
          <w:szCs w:val="21"/>
        </w:rPr>
        <w:t>安全事故报告，对于供方发生的安全事故，将及时汇报需方</w:t>
      </w:r>
      <w:r>
        <w:rPr>
          <w:rFonts w:hint="eastAsia" w:ascii="Arial" w:hAnsi="宋体" w:cs="Arial"/>
          <w:b/>
          <w:szCs w:val="21"/>
        </w:rPr>
        <w:t>。</w:t>
      </w:r>
    </w:p>
    <w:p>
      <w:pPr>
        <w:numPr>
          <w:ilvl w:val="0"/>
          <w:numId w:val="31"/>
        </w:numPr>
        <w:tabs>
          <w:tab w:val="left" w:pos="1620"/>
        </w:tabs>
        <w:spacing w:line="360" w:lineRule="auto"/>
        <w:rPr>
          <w:rFonts w:ascii="Arial" w:hAnsi="Arial" w:cs="Arial"/>
          <w:szCs w:val="21"/>
        </w:rPr>
      </w:pPr>
      <w:r>
        <w:rPr>
          <w:rFonts w:ascii="Arial" w:hAnsi="宋体" w:cs="Arial"/>
          <w:szCs w:val="21"/>
        </w:rPr>
        <w:t>月度设施服务工作汇报，每月向需方总结与设施服务相关的安全、人员、质量、成本、响应等方面的情况</w:t>
      </w:r>
    </w:p>
    <w:p>
      <w:pPr>
        <w:numPr>
          <w:ilvl w:val="0"/>
          <w:numId w:val="31"/>
        </w:numPr>
        <w:tabs>
          <w:tab w:val="left" w:pos="1620"/>
        </w:tabs>
        <w:spacing w:line="360" w:lineRule="auto"/>
        <w:rPr>
          <w:rFonts w:ascii="Arial" w:hAnsi="Arial" w:cs="Arial"/>
          <w:szCs w:val="21"/>
        </w:rPr>
      </w:pPr>
      <w:r>
        <w:rPr>
          <w:rFonts w:ascii="Arial" w:hAnsi="宋体" w:cs="Arial"/>
          <w:szCs w:val="21"/>
        </w:rPr>
        <w:t>车间设施状况反映报告，供方会在设施服务过程中，及时发现车间内设施存在问题，并及时向需方汇报，并提出相应整改建议</w:t>
      </w:r>
    </w:p>
    <w:p>
      <w:pPr>
        <w:pStyle w:val="17"/>
        <w:spacing w:line="360" w:lineRule="auto"/>
        <w:rPr>
          <w:rFonts w:ascii="Arial" w:hAnsi="Arial" w:cs="Arial"/>
          <w:color w:val="000000"/>
          <w:szCs w:val="21"/>
        </w:rPr>
      </w:pPr>
      <w:r>
        <w:rPr>
          <w:rFonts w:hint="eastAsia" w:ascii="Arial" w:hAnsi="Arial" w:cs="Arial"/>
          <w:color w:val="000000"/>
          <w:szCs w:val="21"/>
        </w:rPr>
        <w:t>（6）、</w:t>
      </w:r>
      <w:r>
        <w:rPr>
          <w:rFonts w:ascii="Arial" w:hAnsi="宋体" w:cs="Arial"/>
          <w:color w:val="000000"/>
          <w:szCs w:val="21"/>
        </w:rPr>
        <w:t>供方人员自觉遵守需方工厂管理制度。</w:t>
      </w:r>
    </w:p>
    <w:p>
      <w:pPr>
        <w:pStyle w:val="19"/>
        <w:spacing w:line="360" w:lineRule="auto"/>
        <w:rPr>
          <w:rFonts w:ascii="Arial" w:hAnsi="Arial" w:cs="Arial"/>
          <w:sz w:val="21"/>
          <w:szCs w:val="21"/>
        </w:rPr>
      </w:pPr>
      <w:r>
        <w:rPr>
          <w:rFonts w:hint="eastAsia" w:ascii="Arial" w:hAnsi="Arial" w:cs="Arial"/>
          <w:szCs w:val="21"/>
        </w:rPr>
        <w:t>（</w:t>
      </w:r>
      <w:r>
        <w:rPr>
          <w:rFonts w:hint="eastAsia" w:ascii="Arial" w:hAnsi="Arial" w:cs="Arial"/>
          <w:sz w:val="21"/>
          <w:szCs w:val="21"/>
        </w:rPr>
        <w:t>7</w:t>
      </w:r>
      <w:r>
        <w:rPr>
          <w:rFonts w:hint="eastAsia" w:ascii="Arial" w:hAnsi="Arial" w:cs="Arial"/>
          <w:szCs w:val="21"/>
        </w:rPr>
        <w:t>）、</w:t>
      </w:r>
      <w:r>
        <w:rPr>
          <w:rFonts w:ascii="Arial" w:hAnsi="宋体" w:cs="Arial"/>
          <w:sz w:val="21"/>
          <w:szCs w:val="21"/>
        </w:rPr>
        <w:t>需方设备如发生清洁质量问题，供方在接到需方的通知后</w:t>
      </w:r>
      <w:r>
        <w:rPr>
          <w:rFonts w:ascii="Arial" w:hAnsi="Arial" w:cs="Arial"/>
          <w:sz w:val="21"/>
          <w:szCs w:val="21"/>
        </w:rPr>
        <w:t>1</w:t>
      </w:r>
      <w:r>
        <w:rPr>
          <w:rFonts w:ascii="Arial" w:hAnsi="宋体" w:cs="Arial"/>
          <w:sz w:val="21"/>
          <w:szCs w:val="21"/>
        </w:rPr>
        <w:t>小时</w:t>
      </w:r>
      <w:r>
        <w:rPr>
          <w:rFonts w:hint="eastAsia" w:ascii="Arial" w:hAnsi="宋体" w:cs="Arial"/>
          <w:sz w:val="21"/>
          <w:szCs w:val="21"/>
        </w:rPr>
        <w:t>内响应</w:t>
      </w:r>
      <w:r>
        <w:rPr>
          <w:rFonts w:ascii="Arial" w:hAnsi="宋体" w:cs="Arial"/>
          <w:sz w:val="21"/>
          <w:szCs w:val="21"/>
        </w:rPr>
        <w:t>并到达现场整改，并按要求期限整改完毕。</w:t>
      </w:r>
      <w:r>
        <w:rPr>
          <w:rFonts w:hint="eastAsia" w:ascii="Arial" w:hAnsi="宋体" w:cs="Arial"/>
          <w:sz w:val="21"/>
          <w:szCs w:val="21"/>
        </w:rPr>
        <w:t xml:space="preserve"> </w:t>
      </w:r>
    </w:p>
    <w:p>
      <w:pPr>
        <w:pStyle w:val="17"/>
        <w:spacing w:line="360" w:lineRule="auto"/>
        <w:rPr>
          <w:rFonts w:ascii="Arial" w:hAnsi="Arial" w:cs="Arial"/>
          <w:szCs w:val="21"/>
        </w:rPr>
      </w:pPr>
      <w:r>
        <w:rPr>
          <w:rFonts w:hint="eastAsia" w:ascii="Arial" w:hAnsi="Arial" w:cs="Arial"/>
          <w:szCs w:val="21"/>
        </w:rPr>
        <w:t>（8）、</w:t>
      </w:r>
      <w:r>
        <w:rPr>
          <w:rFonts w:ascii="Arial" w:hAnsi="宋体" w:cs="Arial"/>
          <w:szCs w:val="21"/>
        </w:rPr>
        <w:t>图纸及技术文件保密：需方提供给供方的图纸及技术文件，供方负责保密，不得转让或泄漏给第三方，也不得用于本项目之外的其他工程。否则，供方将承担由此而造成的一切法律和经济责任，并承担一切相关费用。</w:t>
      </w:r>
    </w:p>
    <w:p>
      <w:pPr>
        <w:pStyle w:val="17"/>
        <w:spacing w:line="360" w:lineRule="auto"/>
        <w:rPr>
          <w:rFonts w:ascii="Arial" w:hAnsi="Arial" w:cs="Arial"/>
          <w:szCs w:val="21"/>
        </w:rPr>
      </w:pPr>
      <w:r>
        <w:rPr>
          <w:rFonts w:hint="eastAsia" w:ascii="Arial" w:hAnsi="Arial" w:cs="Arial"/>
          <w:szCs w:val="21"/>
        </w:rPr>
        <w:t>（9）、</w:t>
      </w:r>
      <w:r>
        <w:rPr>
          <w:rFonts w:ascii="Arial" w:hAnsi="宋体" w:cs="Arial"/>
          <w:szCs w:val="21"/>
        </w:rPr>
        <w:t>供方配合有关部门做好现场保卫、消防、垃圾处理等工作。</w:t>
      </w:r>
    </w:p>
    <w:p>
      <w:pPr>
        <w:pStyle w:val="17"/>
        <w:spacing w:line="360" w:lineRule="auto"/>
        <w:rPr>
          <w:rFonts w:ascii="Arial" w:hAnsi="Arial" w:cs="Arial"/>
          <w:szCs w:val="21"/>
        </w:rPr>
      </w:pPr>
      <w:r>
        <w:rPr>
          <w:rFonts w:hint="eastAsia" w:ascii="Arial" w:hAnsi="Arial" w:cs="Arial"/>
          <w:szCs w:val="21"/>
        </w:rPr>
        <w:t>（10）、</w:t>
      </w:r>
      <w:r>
        <w:rPr>
          <w:rFonts w:hint="eastAsia" w:ascii="Arial" w:hAnsi="宋体" w:cs="Arial"/>
          <w:szCs w:val="21"/>
        </w:rPr>
        <w:t>由于供方原因导致需方设备损坏的，由供方负责维修费用或赔偿。</w:t>
      </w:r>
    </w:p>
    <w:p>
      <w:pPr>
        <w:pStyle w:val="17"/>
        <w:spacing w:line="360" w:lineRule="auto"/>
        <w:rPr>
          <w:rFonts w:hint="eastAsia" w:hAnsi="宋体" w:eastAsia="宋体" w:cs="宋体"/>
          <w:b/>
          <w:bCs/>
          <w:color w:val="000000" w:themeColor="text1"/>
          <w:sz w:val="24"/>
          <w:szCs w:val="24"/>
          <w14:textFill>
            <w14:solidFill>
              <w14:schemeClr w14:val="tx1"/>
            </w14:solidFill>
          </w14:textFill>
        </w:rPr>
      </w:pPr>
      <w:r>
        <w:rPr>
          <w:rFonts w:hint="eastAsia" w:ascii="Arial" w:hAnsi="Arial" w:cs="Arial"/>
          <w:szCs w:val="21"/>
        </w:rPr>
        <w:t>（11）、</w:t>
      </w:r>
      <w:r>
        <w:rPr>
          <w:rFonts w:ascii="Arial" w:hAnsi="宋体" w:cs="Arial"/>
          <w:szCs w:val="21"/>
        </w:rPr>
        <w:t>供方现场人员着装：供方所有现场工作人员必须穿戴印有供方公司名称的统一工作服。现场负责人、安全经理、保洁人员的服装应有明显区别或标识。</w:t>
      </w:r>
      <w:r>
        <w:rPr>
          <w:rFonts w:hAnsi="宋体"/>
          <w:sz w:val="24"/>
          <w:szCs w:val="24"/>
        </w:rPr>
        <w:tab/>
      </w:r>
      <w:bookmarkEnd w:id="1"/>
      <w:bookmarkEnd w:id="2"/>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p>
    <w:p>
      <w:pPr>
        <w:keepNext/>
        <w:keepLines/>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7"/>
        <w:rPr>
          <w:rFonts w:ascii="Times New Roman" w:hAnsi="Times New Roman" w:eastAsia="宋体" w:cs="Times New Roman"/>
          <w:b/>
          <w:bCs/>
          <w:color w:val="000000"/>
          <w:sz w:val="24"/>
          <w:szCs w:val="24"/>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5" w:name="_Toc25811"/>
      <w:bookmarkStart w:id="26" w:name="_Toc212369550"/>
      <w:bookmarkStart w:id="27" w:name="_Toc639004"/>
      <w:bookmarkStart w:id="2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5"/>
      <w:bookmarkEnd w:id="26"/>
      <w:bookmarkEnd w:id="27"/>
      <w:bookmarkEnd w:id="28"/>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rPr>
        <w:t>2026年涂装专业保洁项目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rPr>
        <w:t>2026年涂装专业保洁项目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0"/>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rPr>
                <w:rFonts w:hint="eastAsia"/>
              </w:rPr>
            </w:pPr>
            <w:r>
              <w:t xml:space="preserve">品牌区分 </w:t>
            </w:r>
          </w:p>
        </w:tc>
        <w:tc>
          <w:tcPr>
            <w:tcW w:w="7500" w:type="dxa"/>
            <w:gridSpan w:val="6"/>
          </w:tcPr>
          <w:p>
            <w:pPr>
              <w:pStyle w:val="130"/>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0"/>
              <w:spacing w:before="15"/>
              <w:ind w:left="279"/>
              <w:rPr>
                <w:rFonts w:hint="eastAsia"/>
              </w:rPr>
            </w:pPr>
            <w:r>
              <w:rPr>
                <w:spacing w:val="-2"/>
              </w:rPr>
              <w:t>质量</w:t>
            </w:r>
            <w:r>
              <w:t xml:space="preserve"> </w:t>
            </w:r>
          </w:p>
          <w:p>
            <w:pPr>
              <w:pStyle w:val="130"/>
              <w:spacing w:before="30" w:line="277" w:lineRule="exact"/>
              <w:ind w:left="279"/>
              <w:rPr>
                <w:rFonts w:hint="eastAsia"/>
              </w:rPr>
            </w:pPr>
            <w:r>
              <w:rPr>
                <w:rFonts w:hint="eastAsia"/>
              </w:rPr>
              <w:t>体系</w:t>
            </w:r>
          </w:p>
        </w:tc>
        <w:tc>
          <w:tcPr>
            <w:tcW w:w="2820" w:type="dxa"/>
            <w:gridSpan w:val="2"/>
          </w:tcPr>
          <w:p>
            <w:pPr>
              <w:pStyle w:val="130"/>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yellow"/>
          <w:u w:val="single"/>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rPr>
        <w:t>2026年涂装专业保洁项目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2026年涂装专业保洁项目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2026年涂装专业保洁项目目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yellow"/>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sz w:val="24"/>
          <w:szCs w:val="24"/>
          <w:highlight w:val="yellow"/>
          <w:u w:val="single"/>
        </w:rPr>
        <w:t>2026年涂装专业保洁项目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2026年涂装专业保洁项目</w:t>
      </w:r>
      <w:r>
        <w:rPr>
          <w:rFonts w:ascii="宋体" w:hAnsi="宋体" w:eastAsia="宋体" w:cs="Times New Roman"/>
          <w:color w:val="000000"/>
          <w:sz w:val="24"/>
          <w:szCs w:val="24"/>
        </w:rPr>
        <w:t xml:space="preserve">                                                       </w:t>
      </w:r>
    </w:p>
    <w:tbl>
      <w:tblPr>
        <w:tblStyle w:val="36"/>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22"/>
        <w:gridCol w:w="850"/>
        <w:gridCol w:w="2276"/>
        <w:gridCol w:w="1103"/>
        <w:gridCol w:w="1246"/>
        <w:gridCol w:w="706"/>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7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5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6"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70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67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2" w:type="dxa"/>
            <w:vAlign w:val="center"/>
          </w:tcPr>
          <w:p>
            <w:pPr>
              <w:jc w:val="left"/>
              <w:rPr>
                <w:rFonts w:hint="eastAsia" w:ascii="宋体" w:hAnsi="宋体" w:eastAsia="宋体" w:cs="宋体"/>
                <w:color w:val="000000"/>
                <w:kern w:val="0"/>
                <w:sz w:val="20"/>
                <w:szCs w:val="20"/>
                <w:lang w:bidi="ar"/>
              </w:rPr>
            </w:pPr>
            <w:r>
              <w:rPr>
                <w:rFonts w:hint="eastAsia" w:ascii="宋体" w:hAnsi="宋体" w:eastAsia="宋体" w:cs="宋体"/>
                <w:sz w:val="20"/>
              </w:rPr>
              <w:t>中国重汽集团卡车公司AEBS+BSD工站建设项目</w:t>
            </w:r>
          </w:p>
        </w:tc>
        <w:tc>
          <w:tcPr>
            <w:tcW w:w="850"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sz w:val="20"/>
              </w:rPr>
              <w:t>4</w:t>
            </w:r>
          </w:p>
        </w:tc>
        <w:tc>
          <w:tcPr>
            <w:tcW w:w="2276"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3" w:type="dxa"/>
            <w:vAlign w:val="center"/>
          </w:tcPr>
          <w:p>
            <w:pPr>
              <w:jc w:val="center"/>
              <w:rPr>
                <w:rFonts w:ascii="Times New Roman" w:hAnsi="Times New Roman" w:eastAsia="宋体" w:cs="Times New Roman"/>
                <w:b/>
                <w:szCs w:val="20"/>
              </w:rPr>
            </w:pPr>
          </w:p>
        </w:tc>
        <w:tc>
          <w:tcPr>
            <w:tcW w:w="1246" w:type="dxa"/>
            <w:vAlign w:val="center"/>
          </w:tcPr>
          <w:p>
            <w:pPr>
              <w:jc w:val="center"/>
              <w:rPr>
                <w:rFonts w:ascii="Times New Roman" w:hAnsi="Times New Roman" w:eastAsia="宋体" w:cs="Times New Roman"/>
                <w:b/>
                <w:szCs w:val="20"/>
              </w:rPr>
            </w:pPr>
          </w:p>
        </w:tc>
        <w:tc>
          <w:tcPr>
            <w:tcW w:w="706" w:type="dxa"/>
            <w:vAlign w:val="center"/>
          </w:tcPr>
          <w:p>
            <w:pPr>
              <w:jc w:val="center"/>
              <w:rPr>
                <w:rFonts w:ascii="Times New Roman" w:hAnsi="Times New Roman" w:eastAsia="宋体" w:cs="Times New Roman"/>
                <w:b/>
                <w:szCs w:val="20"/>
              </w:rPr>
            </w:pPr>
          </w:p>
        </w:tc>
        <w:tc>
          <w:tcPr>
            <w:tcW w:w="700" w:type="dxa"/>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32"/>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32"/>
        </w:numPr>
        <w:spacing w:line="520" w:lineRule="exact"/>
        <w:rPr>
          <w:rFonts w:hint="eastAsia" w:ascii="宋体" w:hAnsi="宋体" w:eastAsia="宋体" w:cs="Times New Roman"/>
          <w:b/>
          <w:bCs/>
          <w:szCs w:val="21"/>
        </w:rPr>
      </w:pP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17"/>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after="0" w:line="240" w:lineRule="auto"/>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Spec="center" w:tblpY="196"/>
        <w:tblOverlap w:val="never"/>
        <w:tblW w:w="162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2214"/>
        <w:gridCol w:w="1772"/>
        <w:gridCol w:w="2544"/>
        <w:gridCol w:w="973"/>
        <w:gridCol w:w="909"/>
        <w:gridCol w:w="2754"/>
        <w:gridCol w:w="1465"/>
        <w:gridCol w:w="1756"/>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580" w:type="dxa"/>
            <w:vAlign w:val="center"/>
          </w:tcPr>
          <w:p>
            <w:pPr>
              <w:spacing w:before="97" w:line="186" w:lineRule="auto"/>
              <w:ind w:left="304"/>
              <w:jc w:val="center"/>
              <w:rPr>
                <w:rFonts w:hint="eastAsia" w:ascii="宋体" w:hAnsi="宋体" w:eastAsia="宋体" w:cs="宋体"/>
                <w:sz w:val="18"/>
                <w:szCs w:val="18"/>
              </w:rPr>
            </w:pPr>
            <w:r>
              <w:rPr>
                <w:rFonts w:hint="eastAsia" w:ascii="宋体" w:hAnsi="宋体" w:eastAsia="宋体" w:cs="宋体"/>
                <w:sz w:val="18"/>
                <w:szCs w:val="18"/>
              </w:rPr>
              <w:t>1</w:t>
            </w:r>
          </w:p>
        </w:tc>
        <w:tc>
          <w:tcPr>
            <w:tcW w:w="2214" w:type="dxa"/>
            <w:vAlign w:val="center"/>
          </w:tcPr>
          <w:p>
            <w:pPr>
              <w:spacing w:before="98" w:line="185" w:lineRule="auto"/>
              <w:ind w:left="1071"/>
              <w:jc w:val="center"/>
              <w:rPr>
                <w:rFonts w:hint="eastAsia" w:ascii="宋体" w:hAnsi="宋体" w:eastAsia="宋体" w:cs="宋体"/>
                <w:sz w:val="18"/>
                <w:szCs w:val="18"/>
              </w:rPr>
            </w:pPr>
            <w:r>
              <w:rPr>
                <w:rFonts w:hint="eastAsia" w:ascii="宋体" w:hAnsi="宋体" w:eastAsia="宋体" w:cs="宋体"/>
                <w:sz w:val="18"/>
                <w:szCs w:val="18"/>
              </w:rPr>
              <w:t>2</w:t>
            </w:r>
          </w:p>
        </w:tc>
        <w:tc>
          <w:tcPr>
            <w:tcW w:w="1772" w:type="dxa"/>
            <w:vAlign w:val="center"/>
          </w:tcPr>
          <w:p>
            <w:pPr>
              <w:spacing w:before="98" w:line="185"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544" w:type="dxa"/>
            <w:vAlign w:val="center"/>
          </w:tcPr>
          <w:p>
            <w:pPr>
              <w:spacing w:before="99" w:line="183"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973" w:type="dxa"/>
            <w:vAlign w:val="center"/>
          </w:tcPr>
          <w:p>
            <w:pPr>
              <w:spacing w:before="98" w:line="185" w:lineRule="auto"/>
              <w:jc w:val="center"/>
              <w:rPr>
                <w:rFonts w:hint="eastAsia" w:ascii="宋体" w:hAnsi="宋体" w:eastAsia="宋体" w:cs="宋体"/>
                <w:sz w:val="18"/>
                <w:szCs w:val="18"/>
              </w:rPr>
            </w:pPr>
            <w:r>
              <w:rPr>
                <w:rFonts w:hint="eastAsia" w:ascii="宋体" w:hAnsi="宋体" w:eastAsia="宋体" w:cs="宋体"/>
                <w:sz w:val="18"/>
                <w:szCs w:val="18"/>
              </w:rPr>
              <w:t>5</w:t>
            </w:r>
          </w:p>
        </w:tc>
        <w:tc>
          <w:tcPr>
            <w:tcW w:w="909"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2754" w:type="dxa"/>
            <w:tcBorders>
              <w:left w:val="single" w:color="000000" w:sz="4" w:space="0"/>
            </w:tcBorders>
            <w:vAlign w:val="center"/>
          </w:tcPr>
          <w:p>
            <w:pPr>
              <w:spacing w:before="100" w:line="182" w:lineRule="auto"/>
              <w:ind w:left="1007"/>
              <w:jc w:val="center"/>
              <w:rPr>
                <w:rFonts w:hint="eastAsia" w:ascii="宋体" w:hAnsi="宋体" w:eastAsia="宋体" w:cs="宋体"/>
                <w:sz w:val="18"/>
                <w:szCs w:val="18"/>
              </w:rPr>
            </w:pPr>
            <w:r>
              <w:rPr>
                <w:rFonts w:hint="eastAsia" w:ascii="宋体" w:hAnsi="宋体" w:eastAsia="宋体" w:cs="宋体"/>
                <w:sz w:val="18"/>
                <w:szCs w:val="18"/>
              </w:rPr>
              <w:t>7</w:t>
            </w:r>
          </w:p>
        </w:tc>
        <w:tc>
          <w:tcPr>
            <w:tcW w:w="1465"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8</w:t>
            </w:r>
          </w:p>
        </w:tc>
        <w:tc>
          <w:tcPr>
            <w:tcW w:w="1756"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9</w:t>
            </w:r>
          </w:p>
        </w:tc>
        <w:tc>
          <w:tcPr>
            <w:tcW w:w="1238" w:type="dxa"/>
            <w:vAlign w:val="center"/>
          </w:tcPr>
          <w:p>
            <w:pPr>
              <w:spacing w:before="99" w:line="183" w:lineRule="auto"/>
              <w:jc w:val="center"/>
              <w:rPr>
                <w:rFonts w:hint="eastAsia" w:ascii="宋体" w:hAnsi="宋体" w:eastAsia="宋体" w:cs="宋体"/>
                <w:sz w:val="18"/>
                <w:szCs w:val="18"/>
              </w:rPr>
            </w:pPr>
            <w:r>
              <w:rPr>
                <w:rFonts w:hint="eastAsia" w:ascii="宋体" w:hAnsi="宋体" w:eastAsia="宋体" w:cs="宋体"/>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80"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序号</w:t>
            </w:r>
          </w:p>
        </w:tc>
        <w:tc>
          <w:tcPr>
            <w:tcW w:w="2214"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货物名称</w:t>
            </w:r>
          </w:p>
        </w:tc>
        <w:tc>
          <w:tcPr>
            <w:tcW w:w="1772"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工序和工艺要求</w:t>
            </w:r>
          </w:p>
        </w:tc>
        <w:tc>
          <w:tcPr>
            <w:tcW w:w="2544"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型号和规格</w:t>
            </w:r>
          </w:p>
        </w:tc>
        <w:tc>
          <w:tcPr>
            <w:tcW w:w="973"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数量</w:t>
            </w:r>
          </w:p>
        </w:tc>
        <w:tc>
          <w:tcPr>
            <w:tcW w:w="909"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单位</w:t>
            </w:r>
          </w:p>
        </w:tc>
        <w:tc>
          <w:tcPr>
            <w:tcW w:w="2754" w:type="dxa"/>
            <w:tcBorders>
              <w:left w:val="single" w:color="000000" w:sz="4" w:space="0"/>
            </w:tcBorders>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原产地和制造商名称</w:t>
            </w:r>
          </w:p>
        </w:tc>
        <w:tc>
          <w:tcPr>
            <w:tcW w:w="1465"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单价（不含税）</w:t>
            </w:r>
          </w:p>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(元)</w:t>
            </w:r>
          </w:p>
        </w:tc>
        <w:tc>
          <w:tcPr>
            <w:tcW w:w="1756"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总价[4×7]（不含税）(元)</w:t>
            </w:r>
          </w:p>
        </w:tc>
        <w:tc>
          <w:tcPr>
            <w:tcW w:w="1238"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6205" w:type="dxa"/>
            <w:gridSpan w:val="10"/>
            <w:vAlign w:val="center"/>
          </w:tcPr>
          <w:p>
            <w:pPr>
              <w:jc w:val="center"/>
              <w:rPr>
                <w:rFonts w:hint="eastAsia" w:ascii="宋体" w:hAnsi="宋体" w:eastAsia="宋体" w:cs="宋体"/>
                <w:sz w:val="18"/>
                <w:szCs w:val="18"/>
              </w:rPr>
            </w:pPr>
            <w:r>
              <w:rPr>
                <w:rFonts w:hint="eastAsia" w:ascii="宋体" w:hAnsi="宋体" w:eastAsia="宋体" w:cs="宋体"/>
                <w:b/>
                <w:bCs/>
                <w:sz w:val="18"/>
                <w:szCs w:val="18"/>
              </w:rPr>
              <w:t>一、</w:t>
            </w:r>
            <w:r>
              <w:rPr>
                <w:rFonts w:hint="eastAsia" w:ascii="宋体" w:hAnsi="宋体" w:eastAsia="宋体" w:cs="宋体"/>
                <w:sz w:val="20"/>
              </w:rPr>
              <w:t>中国重汽集团卡车公司AEBS+BSD工站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1</w:t>
            </w:r>
          </w:p>
        </w:tc>
        <w:tc>
          <w:tcPr>
            <w:tcW w:w="2214" w:type="dxa"/>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color w:val="000000"/>
                <w:sz w:val="18"/>
                <w:szCs w:val="18"/>
              </w:rPr>
              <w:t>AEBS标定工站</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bookmarkStart w:id="29" w:name="OLE_LINK6"/>
            <w:r>
              <w:rPr>
                <w:rFonts w:hint="eastAsia" w:ascii="宋体" w:hAnsi="宋体" w:eastAsia="宋体" w:cs="宋体"/>
                <w:color w:val="000000"/>
                <w:kern w:val="0"/>
                <w:sz w:val="18"/>
                <w:szCs w:val="18"/>
                <w:lang w:bidi="ar"/>
              </w:rPr>
              <w:t>调试车间</w:t>
            </w:r>
            <w:bookmarkEnd w:id="29"/>
          </w:p>
        </w:tc>
        <w:tc>
          <w:tcPr>
            <w:tcW w:w="2544" w:type="dxa"/>
            <w:vAlign w:val="center"/>
          </w:tcPr>
          <w:p>
            <w:pPr>
              <w:jc w:val="center"/>
              <w:rPr>
                <w:rFonts w:hint="eastAsia" w:ascii="宋体" w:hAnsi="宋体" w:eastAsia="宋体" w:cs="宋体"/>
                <w:b/>
                <w:bCs/>
                <w:sz w:val="18"/>
                <w:szCs w:val="18"/>
              </w:rPr>
            </w:pPr>
          </w:p>
        </w:tc>
        <w:tc>
          <w:tcPr>
            <w:tcW w:w="973"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909"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套</w:t>
            </w: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w:t>
            </w:r>
          </w:p>
        </w:tc>
        <w:tc>
          <w:tcPr>
            <w:tcW w:w="2214" w:type="dxa"/>
            <w:vAlign w:val="center"/>
          </w:tcPr>
          <w:p>
            <w:pPr>
              <w:widowControl/>
              <w:jc w:val="center"/>
              <w:textAlignment w:val="center"/>
              <w:rPr>
                <w:rFonts w:hint="eastAsia" w:ascii="宋体" w:hAnsi="宋体" w:eastAsia="宋体" w:cs="宋体"/>
                <w:color w:val="000000"/>
                <w:kern w:val="0"/>
                <w:sz w:val="18"/>
                <w:szCs w:val="18"/>
                <w:lang w:bidi="ar"/>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1.3</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1.4</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1.5</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tabs>
                <w:tab w:val="left" w:pos="384"/>
              </w:tabs>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1.6</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1.7</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2</w:t>
            </w:r>
          </w:p>
        </w:tc>
        <w:tc>
          <w:tcPr>
            <w:tcW w:w="2214" w:type="dxa"/>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BSD标定工站</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color w:val="000000"/>
                <w:kern w:val="0"/>
                <w:sz w:val="18"/>
                <w:szCs w:val="18"/>
                <w:lang w:bidi="ar"/>
              </w:rPr>
              <w:t>调试车间</w:t>
            </w:r>
          </w:p>
        </w:tc>
        <w:tc>
          <w:tcPr>
            <w:tcW w:w="2544" w:type="dxa"/>
            <w:vAlign w:val="center"/>
          </w:tcPr>
          <w:p>
            <w:pPr>
              <w:jc w:val="center"/>
              <w:rPr>
                <w:rFonts w:hint="eastAsia" w:ascii="宋体" w:hAnsi="宋体" w:eastAsia="宋体" w:cs="宋体"/>
                <w:b/>
                <w:bCs/>
                <w:sz w:val="18"/>
                <w:szCs w:val="18"/>
              </w:rPr>
            </w:pPr>
          </w:p>
        </w:tc>
        <w:tc>
          <w:tcPr>
            <w:tcW w:w="973"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909"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套</w:t>
            </w: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2.1</w:t>
            </w:r>
          </w:p>
        </w:tc>
        <w:tc>
          <w:tcPr>
            <w:tcW w:w="2214" w:type="dxa"/>
            <w:vAlign w:val="center"/>
          </w:tcPr>
          <w:p>
            <w:pPr>
              <w:widowControl/>
              <w:jc w:val="center"/>
              <w:textAlignment w:val="center"/>
              <w:rPr>
                <w:rFonts w:hint="eastAsia" w:ascii="宋体" w:hAnsi="宋体" w:eastAsia="宋体" w:cs="宋体"/>
                <w:color w:val="000000"/>
                <w:kern w:val="0"/>
                <w:sz w:val="18"/>
                <w:szCs w:val="18"/>
                <w:lang w:bidi="ar"/>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2.3</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2.4</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2.5</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2.6</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2.7</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2.8</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3</w:t>
            </w:r>
          </w:p>
        </w:tc>
        <w:tc>
          <w:tcPr>
            <w:tcW w:w="2214" w:type="dxa"/>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土建</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p>
        </w:tc>
        <w:tc>
          <w:tcPr>
            <w:tcW w:w="2544" w:type="dxa"/>
            <w:vAlign w:val="center"/>
          </w:tcPr>
          <w:p>
            <w:pPr>
              <w:jc w:val="center"/>
              <w:rPr>
                <w:rFonts w:hint="eastAsia" w:ascii="宋体" w:hAnsi="宋体" w:eastAsia="宋体" w:cs="宋体"/>
                <w:b/>
                <w:bCs/>
                <w:sz w:val="18"/>
                <w:szCs w:val="18"/>
              </w:rPr>
            </w:pPr>
          </w:p>
        </w:tc>
        <w:tc>
          <w:tcPr>
            <w:tcW w:w="973" w:type="dxa"/>
            <w:vAlign w:val="center"/>
          </w:tcPr>
          <w:p>
            <w:pPr>
              <w:overflowPunct w:val="0"/>
              <w:jc w:val="center"/>
              <w:rPr>
                <w:rFonts w:hint="eastAsia" w:ascii="宋体" w:hAnsi="宋体" w:eastAsia="宋体" w:cs="宋体"/>
                <w:b/>
                <w:bCs/>
                <w:sz w:val="18"/>
                <w:szCs w:val="18"/>
              </w:rPr>
            </w:pPr>
          </w:p>
        </w:tc>
        <w:tc>
          <w:tcPr>
            <w:tcW w:w="909" w:type="dxa"/>
            <w:vAlign w:val="center"/>
          </w:tcPr>
          <w:p>
            <w:pPr>
              <w:jc w:val="center"/>
              <w:rPr>
                <w:rFonts w:hint="eastAsia" w:ascii="宋体" w:hAnsi="宋体" w:eastAsia="宋体" w:cs="宋体"/>
                <w:b/>
                <w:bCs/>
                <w:sz w:val="18"/>
                <w:szCs w:val="18"/>
              </w:rPr>
            </w:pP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3.1</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26"/>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bl>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8" w:line="219" w:lineRule="auto"/>
        <w:ind w:left="8"/>
        <w:rPr>
          <w:rFonts w:hint="eastAsia" w:ascii="宋体" w:hAnsi="宋体" w:eastAsia="宋体" w:cs="宋体"/>
          <w:spacing w:val="-8"/>
          <w:szCs w:val="21"/>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rPr>
          <w:rFonts w:hint="eastAsia" w:ascii="宋体" w:hAnsi="宋体" w:eastAsia="宋体" w:cs="宋体"/>
          <w:spacing w:val="-4"/>
          <w:sz w:val="24"/>
          <w:szCs w:val="24"/>
        </w:rPr>
      </w:pPr>
    </w:p>
    <w:p>
      <w:pPr>
        <w:spacing w:before="85" w:line="198"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tabs>
          <w:tab w:val="left" w:pos="1055"/>
        </w:tabs>
        <w:rPr>
          <w:rFonts w:hint="eastAsia" w:ascii="宋体" w:hAnsi="宋体" w:eastAsia="宋体" w:cs="宋体"/>
          <w:szCs w:val="21"/>
        </w:rPr>
        <w:sectPr>
          <w:footerReference r:id="rId22" w:type="default"/>
          <w:pgSz w:w="16841" w:h="11907" w:orient="landscape"/>
          <w:pgMar w:top="400" w:right="1387" w:bottom="1168" w:left="1473" w:header="0" w:footer="990" w:gutter="0"/>
          <w:cols w:equalWidth="0" w:num="1">
            <w:col w:w="13980"/>
          </w:cols>
        </w:sectPr>
      </w:pPr>
      <w:r>
        <w:rPr>
          <w:rFonts w:hint="eastAsia" w:ascii="宋体" w:hAnsi="宋体" w:eastAsia="宋体" w:cs="宋体"/>
          <w:szCs w:val="21"/>
        </w:rPr>
        <w:tab/>
      </w: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rPr>
              <w:t>数  量</w:t>
            </w:r>
          </w:p>
        </w:tc>
        <w:tc>
          <w:tcPr>
            <w:tcW w:w="218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pacing w:val="-1"/>
                <w:szCs w:val="21"/>
              </w:rPr>
            </w:pPr>
            <w:r>
              <w:rPr>
                <w:rFonts w:hint="eastAsia" w:ascii="宋体" w:hAnsi="宋体" w:eastAsia="宋体" w:cs="宋体"/>
                <w:color w:val="000000"/>
                <w:kern w:val="0"/>
                <w:szCs w:val="21"/>
                <w:lang w:bidi="ar"/>
              </w:rPr>
              <w:t>日常备件/文件及资料</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6</w:t>
            </w:r>
          </w:p>
        </w:tc>
        <w:tc>
          <w:tcPr>
            <w:tcW w:w="3530" w:type="dxa"/>
          </w:tcPr>
          <w:p>
            <w:pPr>
              <w:spacing w:before="211" w:line="221" w:lineRule="auto"/>
              <w:ind w:left="1557"/>
              <w:rPr>
                <w:rFonts w:hint="eastAsia" w:ascii="宋体" w:hAnsi="宋体" w:eastAsia="宋体" w:cs="宋体"/>
                <w:spacing w:val="-2"/>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line="172" w:lineRule="exact"/>
        <w:rPr>
          <w:rFonts w:hint="eastAsia"/>
        </w:rPr>
      </w:pPr>
    </w:p>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7"/>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2026年涂装专业保洁项目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u w:val="single"/>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2026年涂装专业保洁项目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2026年涂装专业保洁项目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2026年涂装专业保洁项目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rPr>
          <w:rFonts w:hint="eastAsia" w:ascii="宋体" w:hAnsi="宋体" w:eastAsia="宋体" w:cs="Times New Roman"/>
          <w:b/>
          <w:bCs/>
          <w:sz w:val="24"/>
          <w:szCs w:val="24"/>
        </w:rPr>
      </w:pPr>
    </w:p>
    <w:p>
      <w:pPr>
        <w:adjustRightInd w:val="0"/>
        <w:snapToGrid w:val="0"/>
        <w:spacing w:line="360" w:lineRule="auto"/>
        <w:ind w:firstLine="480" w:firstLineChars="200"/>
        <w:jc w:val="left"/>
        <w:rPr>
          <w:rFonts w:ascii="仿宋" w:hAnsi="仿宋" w:eastAsia="仿宋" w:cs="仿宋_GB2312"/>
          <w:b/>
          <w:bCs/>
          <w:sz w:val="24"/>
          <w:szCs w:val="24"/>
        </w:rPr>
      </w:pPr>
      <w:r>
        <w:rPr>
          <w:rFonts w:hint="eastAsia" w:ascii="仿宋" w:hAnsi="仿宋" w:eastAsia="仿宋" w:cs="仿宋_GB2312"/>
          <w:bCs/>
          <w:sz w:val="24"/>
          <w:szCs w:val="24"/>
        </w:rPr>
        <w:t>评审小组先对投标人的技术提案进行技术评分，技术分80分以上的投标人入围商务标。低于80分的投标人淘汰离场。技术标评分机制如下：</w:t>
      </w:r>
    </w:p>
    <w:tbl>
      <w:tblPr>
        <w:tblStyle w:val="36"/>
        <w:tblW w:w="9217" w:type="dxa"/>
        <w:tblInd w:w="-8" w:type="dxa"/>
        <w:tblLayout w:type="autofit"/>
        <w:tblCellMar>
          <w:top w:w="0" w:type="dxa"/>
          <w:left w:w="108" w:type="dxa"/>
          <w:bottom w:w="0" w:type="dxa"/>
          <w:right w:w="108" w:type="dxa"/>
        </w:tblCellMar>
      </w:tblPr>
      <w:tblGrid>
        <w:gridCol w:w="820"/>
        <w:gridCol w:w="1874"/>
        <w:gridCol w:w="5814"/>
        <w:gridCol w:w="709"/>
      </w:tblGrid>
      <w:tr>
        <w:tblPrEx>
          <w:tblCellMar>
            <w:top w:w="0" w:type="dxa"/>
            <w:left w:w="108" w:type="dxa"/>
            <w:bottom w:w="0" w:type="dxa"/>
            <w:right w:w="108" w:type="dxa"/>
          </w:tblCellMar>
        </w:tblPrEx>
        <w:trPr>
          <w:trHeight w:val="63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187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内容</w:t>
            </w:r>
          </w:p>
        </w:tc>
        <w:tc>
          <w:tcPr>
            <w:tcW w:w="581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具体标准</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分值</w:t>
            </w:r>
          </w:p>
        </w:tc>
      </w:tr>
      <w:tr>
        <w:tblPrEx>
          <w:tblCellMar>
            <w:top w:w="0" w:type="dxa"/>
            <w:left w:w="108" w:type="dxa"/>
            <w:bottom w:w="0" w:type="dxa"/>
            <w:right w:w="108" w:type="dxa"/>
          </w:tblCellMar>
        </w:tblPrEx>
        <w:trPr>
          <w:trHeight w:val="48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近</w:t>
            </w:r>
            <w:r>
              <w:rPr>
                <w:rFonts w:ascii="仿宋" w:hAnsi="仿宋" w:eastAsia="仿宋"/>
                <w:color w:val="000000"/>
                <w:kern w:val="0"/>
                <w:sz w:val="24"/>
                <w:szCs w:val="24"/>
              </w:rPr>
              <w:t>3</w:t>
            </w:r>
            <w:r>
              <w:rPr>
                <w:rFonts w:hint="eastAsia" w:ascii="仿宋" w:hAnsi="仿宋" w:eastAsia="仿宋" w:cs="宋体"/>
                <w:color w:val="000000"/>
                <w:kern w:val="0"/>
                <w:sz w:val="24"/>
                <w:szCs w:val="24"/>
              </w:rPr>
              <w:t>年收入状况（</w:t>
            </w:r>
            <w:r>
              <w:rPr>
                <w:rFonts w:ascii="仿宋" w:hAnsi="仿宋" w:eastAsia="仿宋"/>
                <w:color w:val="000000"/>
                <w:kern w:val="0"/>
                <w:sz w:val="24"/>
                <w:szCs w:val="24"/>
              </w:rPr>
              <w:t>5</w:t>
            </w:r>
            <w:r>
              <w:rPr>
                <w:rFonts w:hint="eastAsia" w:ascii="仿宋" w:hAnsi="仿宋" w:eastAsia="仿宋" w:cs="宋体"/>
                <w:color w:val="000000"/>
                <w:kern w:val="0"/>
                <w:sz w:val="24"/>
                <w:szCs w:val="24"/>
              </w:rPr>
              <w:t>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提供2022-2024年财务报表，营业收入逐年递增得6分，每出现一年下降扣2分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100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资质认证（10分）</w:t>
            </w:r>
          </w:p>
        </w:tc>
        <w:tc>
          <w:tcPr>
            <w:tcW w:w="581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AAA级企业信用认证、AAA级重合同守信用认证、城市生活垃圾收集、运输服务许可、物业二级资质认证、有害生物防治认证、中国电子洁净协会会员单位，荣获国家、省、市级以上各类荣誉等，每提供一项得2分，满分10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同类项目经验（15分）</w:t>
            </w:r>
          </w:p>
        </w:tc>
        <w:tc>
          <w:tcPr>
            <w:tcW w:w="581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投标人承担类似规模的汽车涂装车间专业保洁经验情况，每提供1项得3分，满分15分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51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管理架构及制度（10分）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架构清晰制度完善得10分；完整度欠佳得1-9分；无内容得0分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r>
        <w:tblPrEx>
          <w:tblCellMar>
            <w:top w:w="0" w:type="dxa"/>
            <w:left w:w="108" w:type="dxa"/>
            <w:bottom w:w="0" w:type="dxa"/>
            <w:right w:w="108" w:type="dxa"/>
          </w:tblCellMar>
        </w:tblPrEx>
        <w:trPr>
          <w:trHeight w:val="51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保洁技术方案（20分）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方案专业优秀，科学合理得20分；欠佳得1-19分；无内容得0分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20</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质量保证承诺（15分）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质量承诺详细，品质高得15分，欠佳得1-14分，无内容得0分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48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7</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人员配置方案（15分）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人员充足，配置合理得15分，欠佳得1-14分，无内容得0分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w:t>
            </w:r>
          </w:p>
        </w:tc>
      </w:tr>
      <w:tr>
        <w:tblPrEx>
          <w:tblCellMar>
            <w:top w:w="0" w:type="dxa"/>
            <w:left w:w="108" w:type="dxa"/>
            <w:bottom w:w="0" w:type="dxa"/>
            <w:right w:w="108" w:type="dxa"/>
          </w:tblCellMar>
        </w:tblPrEx>
        <w:trPr>
          <w:trHeight w:val="720"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8</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应急方案(包含安全风险评估及保障措施)（5分）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应急方案完善优质得5分，欠佳得1-4分，无内容得0分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52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9</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优惠承诺及特色服务（5分）</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给予其他增值服务，每项得1分，满分5分</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CellMar>
            <w:top w:w="0" w:type="dxa"/>
            <w:left w:w="108" w:type="dxa"/>
            <w:bottom w:w="0" w:type="dxa"/>
            <w:right w:w="108" w:type="dxa"/>
          </w:tblCellMar>
        </w:tblPrEx>
        <w:trPr>
          <w:trHeight w:val="525" w:hRule="atLeast"/>
        </w:trPr>
        <w:tc>
          <w:tcPr>
            <w:tcW w:w="8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olor w:val="000000"/>
                <w:kern w:val="0"/>
                <w:sz w:val="24"/>
                <w:szCs w:val="24"/>
              </w:rPr>
            </w:pPr>
            <w:r>
              <w:rPr>
                <w:rFonts w:ascii="仿宋" w:hAnsi="仿宋" w:eastAsia="仿宋"/>
                <w:color w:val="000000"/>
                <w:kern w:val="0"/>
                <w:sz w:val="24"/>
                <w:szCs w:val="24"/>
              </w:rPr>
              <w:t>　</w:t>
            </w:r>
          </w:p>
        </w:tc>
        <w:tc>
          <w:tcPr>
            <w:tcW w:w="1874"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581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合计</w:t>
            </w:r>
          </w:p>
        </w:tc>
        <w:tc>
          <w:tcPr>
            <w:tcW w:w="70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100</w:t>
            </w:r>
          </w:p>
        </w:tc>
      </w:tr>
    </w:tbl>
    <w:p>
      <w:pPr>
        <w:adjustRightInd w:val="0"/>
        <w:snapToGrid w:val="0"/>
        <w:spacing w:line="360" w:lineRule="auto"/>
        <w:ind w:left="482" w:hanging="482" w:hangingChars="200"/>
        <w:jc w:val="left"/>
        <w:rPr>
          <w:rFonts w:ascii="仿宋" w:hAnsi="仿宋" w:eastAsia="仿宋" w:cs="仿宋_GB2312"/>
          <w:b/>
          <w:sz w:val="24"/>
          <w:szCs w:val="24"/>
        </w:rPr>
      </w:pPr>
    </w:p>
    <w:p>
      <w:pPr>
        <w:pStyle w:val="17"/>
        <w:sectPr>
          <w:pgSz w:w="11906" w:h="16838"/>
          <w:pgMar w:top="1588" w:right="1418" w:bottom="1134" w:left="1418" w:header="851" w:footer="992" w:gutter="0"/>
          <w:cols w:space="720" w:num="1"/>
          <w:titlePg/>
          <w:docGrid w:type="lines" w:linePitch="312" w:charSpace="0"/>
        </w:sectPr>
      </w:pPr>
    </w:p>
    <w:p>
      <w:pPr>
        <w:pStyle w:val="17"/>
      </w:pPr>
    </w:p>
    <w:p>
      <w:pPr>
        <w:rPr>
          <w:rFonts w:hint="eastAsia" w:ascii="宋体" w:hAnsi="宋体" w:eastAsia="宋体" w:cs="宋体"/>
          <w:b/>
          <w:bCs/>
          <w:color w:val="000000"/>
          <w:sz w:val="24"/>
          <w:szCs w:val="24"/>
        </w:rPr>
      </w:pPr>
    </w:p>
    <w:p>
      <w:pPr>
        <w:pStyle w:val="17"/>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17"/>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7"/>
      </w:pPr>
    </w:p>
    <w:p>
      <w:pPr>
        <w:rPr>
          <w:rFonts w:hint="eastAsia"/>
        </w:rPr>
      </w:pPr>
      <w:r>
        <w:drawing>
          <wp:inline distT="0" distB="0" distL="0" distR="0">
            <wp:extent cx="5760085" cy="2809875"/>
            <wp:effectExtent l="0" t="0" r="5715" b="952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5715" b="1206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17"/>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7"/>
      </w:pPr>
      <w:r>
        <w:rPr>
          <w:rFonts w:hint="eastAsia" w:hAnsi="宋体" w:eastAsia="宋体" w:cs="宋体"/>
          <w:b/>
          <w:bCs/>
          <w:color w:val="000000"/>
          <w:sz w:val="24"/>
          <w:szCs w:val="28"/>
          <w:highlight w:val="yellow"/>
        </w:rPr>
        <w:t>2.配套能力“供货类别”填“工艺设备”，业务主管部门选择“工艺工匠研究院”。</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pPr>
      <w:r>
        <w:rPr>
          <w:rFonts w:hint="eastAsia" w:hAnsi="宋体" w:eastAsia="宋体" w:cs="宋体"/>
          <w:color w:val="000000"/>
          <w:sz w:val="24"/>
          <w:szCs w:val="28"/>
          <w:highlight w:val="yellow"/>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s="Times New Roman"/>
          <w:b/>
          <w:color w:val="000000"/>
          <w:sz w:val="24"/>
          <w:szCs w:val="24"/>
        </w:rPr>
      </w:pPr>
    </w:p>
    <w:p>
      <w:pPr>
        <w:pStyle w:val="17"/>
        <w:rPr>
          <w:rFonts w:hint="eastAsia" w:hAnsi="宋体" w:eastAsia="宋体"/>
          <w:color w:val="000000" w:themeColor="text1"/>
          <w14:textFill>
            <w14:solidFill>
              <w14:schemeClr w14:val="tx1"/>
            </w14:solidFill>
          </w14:textFill>
        </w:rPr>
      </w:pPr>
    </w:p>
    <w:sectPr>
      <w:footerReference r:id="rId32" w:type="default"/>
      <w:pgSz w:w="16838" w:h="11906" w:orient="landscape"/>
      <w:pgMar w:top="1418" w:right="1588" w:bottom="1418"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4538594" name="文本框 524538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G42AgAAZQQAAA4AAABkcnMvZTJvRG9jLnhtbK1UzY7TMBC+I/EO&#10;lu80aXe7KlXTVdmqCGnFrlQQZ9dxmkj+k+02KQ8Ab8CJy955rj4Hn5OmRQ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8oyOR9fjq8n47TUl&#10;mik0/vjj+/Hnr+PTN3Ixga7a+im81hZ+oXlnGgxRpDHqPZSRhaZwKn5RH4EdZB/OZIsmEB6dJqPJ&#10;JIWJw9ZfgJNc3K3z4b0wikQhow7dbElm+3sfuqf9kxhNm1UlJfRsKjWpM3pzNU5bh7MF4FIjxiXZ&#10;KIVm05wq2Jj8gMKc6SbFW76qEPye+fDIHEYDCWN5wgOOQhoEMSeJktK4r//Sx/foGKyU1Bi1jGps&#10;FiXyg0YnARh6wfXCphf0Tt0ZzO4QS2l5K8LBBdmLhTPqCzZqEWPAxDRHpIyGXrwL3bhjI7lYLNpH&#10;mD3Lwr1eWx6hI2PeLnYBBLa8RlI6Jk5cYfrazpw2JY73n/f21eXvM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f+VG42AgAAZQ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82279" name="文本框 22782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8RzsyAgAAYwQAAA4AAABkcnMvZTJvRG9jLnhtbK1UzY7TMBC+I/EO&#10;lu80aRFLiZquylZFSBW7UkGcXcdpIvlPttukPAC8AScu3HmuPgefk6ZFC4c9cKg7np9vZj7PZHbb&#10;KkkOwvna6JyORyklQnNT1HqX008fVy+mlPjAdMGk0SKnR+Hp7fz5s1ljMzExlZGFcAQg2meNzWkV&#10;gs2SxPNKKOZHxgoNY2mcYgFXt0sKxxqgK5lM0vQmaYwrrDNceA/tsjfSM6J7CqApy5qLpeF7JXTo&#10;UZ2QLKAlX9XW03lXbVkKHu7L0otAZE7RaehOJIG8jWcyn7Fs55itan4ugT2lhEc9KVZrJL1ALVlg&#10;ZO/qv6BUzZ3xpgwjblTSN9Ixgi7G6SNuNhWzousFVHt7Id3/P1j+4fDgSF3kdDJ5PcXvDSWaKbz7&#10;6fu3049fp59fycUCshrrM8RsLKJC+9a0GKFIYtR7KCMHbelU/Ed3BHZQfbxQLdpAeAyaTqbTFCYO&#10;23ABTnINt86Hd8IoEoWcOrxlRzE7rH3oXQeXmE2bVS0l9CyTmjQ5vXn5Ku0CLhaAS40c12KjFNpt&#10;e+5ga4ojGnOmnxNv+apG8jXz4YE5DAYKxuqEexylNEhizhIllXFf/qWP/ngvWClpMGg51dgrSuR7&#10;jXcEYBgENwjbQdB7dWcwuWOspOWdiAAX5CCWzqjP2KdFzAET0xyZchoG8S70w4595GKx6JwweZaF&#10;td5YHqEjY94u9gEEdrxGUnomzlxh9rqXOe9JHO4/753X9dsw/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PxHOz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539467" name="文本框 272539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bHJU2AgAAZQQAAA4AAABkcnMvZTJvRG9jLnhtbK1UzY7TMBC+I/EO&#10;lu80aZftlqrpqmxVhLRiVyqIs+s4TST/yXablAeAN+DEhTvP1efgc9K0aOGwBy7OeMbzzcw3M5nd&#10;NkqSvXC+Mjqjw0FKidDc5JXeZvTTx9WrCSU+MJ0zabTI6EF4ejt/+WJW26kYmdLIXDgCEO2ntc1o&#10;GYKdJonnpVDMD4wVGsbCOMUCrm6b5I7VQFcyGaXpOKmNy60zXHgP7bIz0hOiew6gKYqKi6XhOyV0&#10;6FCdkCygJF9W1tN5m21RCB4eisKLQGRGUWloTwSBvIlnMp+x6dYxW1b8lAJ7TgpPalKs0gh6hlqy&#10;wMjOVX9BqYo7400RBtyopCukZQRVDNMn3KxLZkVbC6j29ky6/3+w/MP+0ZEqz+joZnR99eb1+IYS&#10;zRQaf/z+7fjj1/HnV3Ixga7a+im81hZ+oXlrGgxRpDHqPZSRhaZwKn5RH4EdZB/OZIsmEB6dJqPJ&#10;JIWJw9ZfgJNc3K3z4Z0wikQhow7dbElm+3sfuqf9kxhNm1UlJfRsKjWpMzq+uk5bh7MF4FIjxiXZ&#10;KIVm05wq2Jj8gMKc6SbFW76qEPye+fDIHEYDCWN5wgOOQhoEMSeJktK4L//Sx/foGKyU1Bi1jGps&#10;FiXyvUYnARh6wfXCphf0Tt0ZzO4QS2l5K8LBBdmLhTPqMzZqEWPAxDRHpIyGXrwL3bhjI7lYLNpH&#10;mD3Lwr1eWx6hI2PeLnYBBLa8RlI6Jk5cYfrazpw2JY73n/f21eXvM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HbHJU2AgAAZQQAAA4AAAAAAAAAAQAgAAAAHwEAAGRycy9lMm9Eb2MueG1s&#10;UEsFBgAAAAAGAAYAWQEAAMc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p>
  <w:p>
    <w:pPr>
      <w:pStyle w:val="22"/>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p>
    <w:pPr>
      <w:pStyle w:val="23"/>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643252F"/>
    <w:multiLevelType w:val="singleLevel"/>
    <w:tmpl w:val="E643252F"/>
    <w:lvl w:ilvl="0" w:tentative="0">
      <w:start w:val="1"/>
      <w:numFmt w:val="decimal"/>
      <w:lvlText w:val="%1."/>
      <w:lvlJc w:val="left"/>
      <w:pPr>
        <w:tabs>
          <w:tab w:val="left" w:pos="312"/>
        </w:tabs>
      </w:pPr>
    </w:lvl>
  </w:abstractNum>
  <w:abstractNum w:abstractNumId="3">
    <w:nsid w:val="0000000C"/>
    <w:multiLevelType w:val="multilevel"/>
    <w:tmpl w:val="0000000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2820FA6"/>
    <w:multiLevelType w:val="multilevel"/>
    <w:tmpl w:val="22820FA6"/>
    <w:lvl w:ilvl="0" w:tentative="0">
      <w:start w:val="1"/>
      <w:numFmt w:val="decimal"/>
      <w:lvlText w:val="3.5.%1"/>
      <w:lvlJc w:val="left"/>
      <w:pPr>
        <w:tabs>
          <w:tab w:val="left" w:pos="1418"/>
        </w:tabs>
        <w:ind w:left="1361" w:hanging="510"/>
      </w:pPr>
      <w:rPr>
        <w:rFonts w:hint="eastAsia"/>
      </w:rPr>
    </w:lvl>
    <w:lvl w:ilvl="1" w:tentative="0">
      <w:start w:val="1"/>
      <w:numFmt w:val="decimal"/>
      <w:isLgl/>
      <w:lvlText w:val="1.4.%2"/>
      <w:lvlJc w:val="left"/>
      <w:pPr>
        <w:tabs>
          <w:tab w:val="left" w:pos="1418"/>
        </w:tabs>
        <w:ind w:left="1418" w:hanging="851"/>
      </w:pPr>
      <w:rPr>
        <w:rFonts w:hint="eastAsia"/>
      </w:rPr>
    </w:lvl>
    <w:lvl w:ilvl="2" w:tentative="0">
      <w:start w:val="1"/>
      <w:numFmt w:val="decimal"/>
      <w:lvlText w:val="%32.10.%2"/>
      <w:lvlJc w:val="left"/>
      <w:pPr>
        <w:tabs>
          <w:tab w:val="left" w:pos="1418"/>
        </w:tabs>
        <w:ind w:left="1418" w:hanging="567"/>
      </w:pPr>
      <w:rPr>
        <w:rFonts w:hint="eastAsia"/>
        <w:color w:val="auto"/>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9">
    <w:nsid w:val="233301B7"/>
    <w:multiLevelType w:val="multilevel"/>
    <w:tmpl w:val="233301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2FF74416"/>
    <w:multiLevelType w:val="multilevel"/>
    <w:tmpl w:val="2FF74416"/>
    <w:lvl w:ilvl="0" w:tentative="0">
      <w:start w:val="1"/>
      <w:numFmt w:val="decimal"/>
      <w:lvlText w:val="（%1）"/>
      <w:lvlJc w:val="left"/>
      <w:pPr>
        <w:ind w:left="1004" w:hanging="72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2">
    <w:nsid w:val="323E2F17"/>
    <w:multiLevelType w:val="multilevel"/>
    <w:tmpl w:val="323E2F17"/>
    <w:lvl w:ilvl="0" w:tentative="0">
      <w:start w:val="1"/>
      <w:numFmt w:val="decimal"/>
      <w:lvlText w:val="%1."/>
      <w:lvlJc w:val="left"/>
      <w:pPr>
        <w:tabs>
          <w:tab w:val="left" w:pos="0"/>
        </w:tabs>
        <w:ind w:left="0" w:firstLine="2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B4AE229"/>
    <w:multiLevelType w:val="singleLevel"/>
    <w:tmpl w:val="3B4AE229"/>
    <w:lvl w:ilvl="0" w:tentative="0">
      <w:start w:val="6"/>
      <w:numFmt w:val="chineseCounting"/>
      <w:suff w:val="nothing"/>
      <w:lvlText w:val="%1、"/>
      <w:lvlJc w:val="left"/>
      <w:rPr>
        <w:rFonts w:hint="eastAsia"/>
      </w:rPr>
    </w:lvl>
  </w:abstractNum>
  <w:abstractNum w:abstractNumId="14">
    <w:nsid w:val="3D047F57"/>
    <w:multiLevelType w:val="multilevel"/>
    <w:tmpl w:val="3D047F57"/>
    <w:lvl w:ilvl="0" w:tentative="0">
      <w:start w:val="1"/>
      <w:numFmt w:val="decimal"/>
      <w:lvlText w:val="2.%1"/>
      <w:lvlJc w:val="left"/>
      <w:pPr>
        <w:tabs>
          <w:tab w:val="left" w:pos="1418"/>
        </w:tabs>
        <w:ind w:left="0" w:firstLine="567"/>
      </w:pPr>
      <w:rPr>
        <w:rFonts w:hint="eastAsia"/>
      </w:rPr>
    </w:lvl>
    <w:lvl w:ilvl="1" w:tentative="0">
      <w:start w:val="1"/>
      <w:numFmt w:val="decimal"/>
      <w:isLgl/>
      <w:lvlText w:val="2.%2"/>
      <w:lvlJc w:val="left"/>
      <w:pPr>
        <w:tabs>
          <w:tab w:val="left" w:pos="1418"/>
        </w:tabs>
        <w:ind w:left="1418" w:hanging="567"/>
      </w:pPr>
      <w:rPr>
        <w:rFonts w:hint="eastAsia"/>
      </w:rPr>
    </w:lvl>
    <w:lvl w:ilvl="2" w:tentative="0">
      <w:start w:val="1"/>
      <w:numFmt w:val="decimal"/>
      <w:lvlText w:val="%32.10.%2"/>
      <w:lvlJc w:val="left"/>
      <w:pPr>
        <w:tabs>
          <w:tab w:val="left" w:pos="1418"/>
        </w:tabs>
        <w:ind w:left="1418" w:hanging="567"/>
      </w:pPr>
      <w:rPr>
        <w:rFonts w:hint="eastAsia"/>
        <w:color w:val="auto"/>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5">
    <w:nsid w:val="40A06EEF"/>
    <w:multiLevelType w:val="multilevel"/>
    <w:tmpl w:val="40A06EEF"/>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7">
    <w:nsid w:val="4D8C29F9"/>
    <w:multiLevelType w:val="multilevel"/>
    <w:tmpl w:val="4D8C29F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F717ABC"/>
    <w:multiLevelType w:val="multilevel"/>
    <w:tmpl w:val="4F717ABC"/>
    <w:lvl w:ilvl="0" w:tentative="0">
      <w:start w:val="1"/>
      <w:numFmt w:val="decimal"/>
      <w:lvlText w:val="%1、"/>
      <w:lvlJc w:val="left"/>
      <w:pPr>
        <w:ind w:left="390" w:hanging="390"/>
      </w:pPr>
      <w:rPr>
        <w:rFonts w:hint="default" w:ascii="Arial Unicode MS" w:hAnsi="Arial Unicode MS" w:eastAsia="Arial Unicode MS" w:cs="Arial Unicode M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267178"/>
    <w:multiLevelType w:val="multilevel"/>
    <w:tmpl w:val="5126717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28C7FA3"/>
    <w:multiLevelType w:val="multilevel"/>
    <w:tmpl w:val="528C7FA3"/>
    <w:lvl w:ilvl="0" w:tentative="0">
      <w:start w:val="1"/>
      <w:numFmt w:val="decimal"/>
      <w:lvlText w:val="1.%1"/>
      <w:lvlJc w:val="left"/>
      <w:pPr>
        <w:tabs>
          <w:tab w:val="left" w:pos="1418"/>
        </w:tabs>
        <w:ind w:left="0" w:firstLine="567"/>
      </w:pPr>
      <w:rPr>
        <w:rFonts w:hint="eastAsia"/>
      </w:rPr>
    </w:lvl>
    <w:lvl w:ilvl="1" w:tentative="0">
      <w:start w:val="1"/>
      <w:numFmt w:val="decimal"/>
      <w:isLgl/>
      <w:lvlText w:val="2.%2"/>
      <w:lvlJc w:val="left"/>
      <w:pPr>
        <w:tabs>
          <w:tab w:val="left" w:pos="1418"/>
        </w:tabs>
        <w:ind w:left="1418" w:hanging="567"/>
      </w:pPr>
      <w:rPr>
        <w:rFonts w:hint="eastAsia"/>
      </w:rPr>
    </w:lvl>
    <w:lvl w:ilvl="2" w:tentative="0">
      <w:start w:val="1"/>
      <w:numFmt w:val="decimal"/>
      <w:lvlText w:val="%32.10.%2"/>
      <w:lvlJc w:val="left"/>
      <w:pPr>
        <w:tabs>
          <w:tab w:val="left" w:pos="1418"/>
        </w:tabs>
        <w:ind w:left="1418" w:hanging="567"/>
      </w:pPr>
      <w:rPr>
        <w:rFonts w:hint="eastAsia"/>
        <w:color w:val="auto"/>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1">
    <w:nsid w:val="5456E14E"/>
    <w:multiLevelType w:val="singleLevel"/>
    <w:tmpl w:val="5456E14E"/>
    <w:lvl w:ilvl="0" w:tentative="0">
      <w:start w:val="4"/>
      <w:numFmt w:val="chineseCounting"/>
      <w:suff w:val="nothing"/>
      <w:lvlText w:val="%1、"/>
      <w:lvlJc w:val="left"/>
    </w:lvl>
  </w:abstractNum>
  <w:abstractNum w:abstractNumId="22">
    <w:nsid w:val="5456F0D3"/>
    <w:multiLevelType w:val="singleLevel"/>
    <w:tmpl w:val="5456F0D3"/>
    <w:lvl w:ilvl="0" w:tentative="0">
      <w:start w:val="1"/>
      <w:numFmt w:val="decimal"/>
      <w:suff w:val="nothing"/>
      <w:lvlText w:val="%1、"/>
      <w:lvlJc w:val="left"/>
      <w:rPr>
        <w:color w:val="000000"/>
      </w:rPr>
    </w:lvl>
  </w:abstractNum>
  <w:abstractNum w:abstractNumId="23">
    <w:nsid w:val="57C55945"/>
    <w:multiLevelType w:val="multilevel"/>
    <w:tmpl w:val="57C55945"/>
    <w:lvl w:ilvl="0" w:tentative="0">
      <w:start w:val="2"/>
      <w:numFmt w:val="decimal"/>
      <w:lvlText w:val="（%1）"/>
      <w:lvlJc w:val="left"/>
      <w:pPr>
        <w:ind w:left="964" w:hanging="720"/>
      </w:pPr>
      <w:rPr>
        <w:rFonts w:hint="default"/>
        <w:color w:val="auto"/>
      </w:rPr>
    </w:lvl>
    <w:lvl w:ilvl="1" w:tentative="0">
      <w:start w:val="1"/>
      <w:numFmt w:val="lowerLetter"/>
      <w:lvlText w:val="%2)"/>
      <w:lvlJc w:val="left"/>
      <w:pPr>
        <w:ind w:left="1084" w:hanging="420"/>
      </w:pPr>
    </w:lvl>
    <w:lvl w:ilvl="2" w:tentative="0">
      <w:start w:val="1"/>
      <w:numFmt w:val="lowerRoman"/>
      <w:lvlText w:val="%3."/>
      <w:lvlJc w:val="right"/>
      <w:pPr>
        <w:ind w:left="1504" w:hanging="420"/>
      </w:pPr>
    </w:lvl>
    <w:lvl w:ilvl="3" w:tentative="0">
      <w:start w:val="1"/>
      <w:numFmt w:val="decimal"/>
      <w:lvlText w:val="%4."/>
      <w:lvlJc w:val="left"/>
      <w:pPr>
        <w:ind w:left="1924" w:hanging="420"/>
      </w:pPr>
    </w:lvl>
    <w:lvl w:ilvl="4" w:tentative="0">
      <w:start w:val="1"/>
      <w:numFmt w:val="lowerLetter"/>
      <w:lvlText w:val="%5)"/>
      <w:lvlJc w:val="left"/>
      <w:pPr>
        <w:ind w:left="2344" w:hanging="420"/>
      </w:pPr>
    </w:lvl>
    <w:lvl w:ilvl="5" w:tentative="0">
      <w:start w:val="1"/>
      <w:numFmt w:val="lowerRoman"/>
      <w:lvlText w:val="%6."/>
      <w:lvlJc w:val="right"/>
      <w:pPr>
        <w:ind w:left="2764" w:hanging="420"/>
      </w:pPr>
    </w:lvl>
    <w:lvl w:ilvl="6" w:tentative="0">
      <w:start w:val="1"/>
      <w:numFmt w:val="decimal"/>
      <w:lvlText w:val="%7."/>
      <w:lvlJc w:val="left"/>
      <w:pPr>
        <w:ind w:left="3184" w:hanging="420"/>
      </w:pPr>
    </w:lvl>
    <w:lvl w:ilvl="7" w:tentative="0">
      <w:start w:val="1"/>
      <w:numFmt w:val="lowerLetter"/>
      <w:lvlText w:val="%8)"/>
      <w:lvlJc w:val="left"/>
      <w:pPr>
        <w:ind w:left="3604" w:hanging="420"/>
      </w:pPr>
    </w:lvl>
    <w:lvl w:ilvl="8" w:tentative="0">
      <w:start w:val="1"/>
      <w:numFmt w:val="lowerRoman"/>
      <w:lvlText w:val="%9."/>
      <w:lvlJc w:val="right"/>
      <w:pPr>
        <w:ind w:left="4024" w:hanging="420"/>
      </w:pPr>
    </w:lvl>
  </w:abstractNum>
  <w:abstractNum w:abstractNumId="24">
    <w:nsid w:val="646260FA"/>
    <w:multiLevelType w:val="multilevel"/>
    <w:tmpl w:val="646260FA"/>
    <w:lvl w:ilvl="0" w:tentative="0">
      <w:start w:val="1"/>
      <w:numFmt w:val="decimal"/>
      <w:pStyle w:val="135"/>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D018B9"/>
    <w:multiLevelType w:val="multilevel"/>
    <w:tmpl w:val="69D018B9"/>
    <w:lvl w:ilvl="0" w:tentative="0">
      <w:start w:val="1"/>
      <w:numFmt w:val="decimal"/>
      <w:lvlText w:val="3.%1"/>
      <w:lvlJc w:val="left"/>
      <w:pPr>
        <w:tabs>
          <w:tab w:val="left" w:pos="1418"/>
        </w:tabs>
        <w:ind w:left="0" w:firstLine="567"/>
      </w:pPr>
      <w:rPr>
        <w:rFonts w:hint="eastAsia"/>
      </w:rPr>
    </w:lvl>
    <w:lvl w:ilvl="1" w:tentative="0">
      <w:start w:val="1"/>
      <w:numFmt w:val="decimal"/>
      <w:isLgl/>
      <w:lvlText w:val="2.%2"/>
      <w:lvlJc w:val="left"/>
      <w:pPr>
        <w:tabs>
          <w:tab w:val="left" w:pos="1418"/>
        </w:tabs>
        <w:ind w:left="1418" w:hanging="567"/>
      </w:pPr>
      <w:rPr>
        <w:rFonts w:hint="eastAsia"/>
      </w:rPr>
    </w:lvl>
    <w:lvl w:ilvl="2" w:tentative="0">
      <w:start w:val="1"/>
      <w:numFmt w:val="decimal"/>
      <w:lvlText w:val="%32.10.%2"/>
      <w:lvlJc w:val="left"/>
      <w:pPr>
        <w:tabs>
          <w:tab w:val="left" w:pos="1418"/>
        </w:tabs>
        <w:ind w:left="1418" w:hanging="567"/>
      </w:pPr>
      <w:rPr>
        <w:rFonts w:hint="eastAsia"/>
        <w:color w:val="auto"/>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6">
    <w:nsid w:val="6DC32F87"/>
    <w:multiLevelType w:val="multilevel"/>
    <w:tmpl w:val="6DC32F87"/>
    <w:lvl w:ilvl="0" w:tentative="0">
      <w:start w:val="1"/>
      <w:numFmt w:val="decimal"/>
      <w:lvlText w:val="（%1）"/>
      <w:lvlJc w:val="left"/>
      <w:pPr>
        <w:ind w:left="420" w:hanging="420"/>
      </w:pPr>
      <w:rPr>
        <w:rFonts w:hint="eastAsia"/>
        <w:color w:val="auto"/>
      </w:rPr>
    </w:lvl>
    <w:lvl w:ilvl="1" w:tentative="0">
      <w:start w:val="1"/>
      <w:numFmt w:val="decimal"/>
      <w:lvlText w:val="%2、"/>
      <w:lvlJc w:val="left"/>
      <w:pPr>
        <w:ind w:left="780" w:hanging="360"/>
      </w:pPr>
      <w:rPr>
        <w:rFonts w:hint="default" w:hAnsi="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E8C6948"/>
    <w:multiLevelType w:val="singleLevel"/>
    <w:tmpl w:val="6E8C6948"/>
    <w:lvl w:ilvl="0" w:tentative="0">
      <w:start w:val="1"/>
      <w:numFmt w:val="chineseCounting"/>
      <w:suff w:val="space"/>
      <w:lvlText w:val="第%1部分"/>
      <w:lvlJc w:val="left"/>
      <w:rPr>
        <w:rFonts w:hint="eastAsia"/>
      </w:rPr>
    </w:lvl>
  </w:abstractNum>
  <w:abstractNum w:abstractNumId="28">
    <w:nsid w:val="71603118"/>
    <w:multiLevelType w:val="multilevel"/>
    <w:tmpl w:val="716031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9383A89"/>
    <w:multiLevelType w:val="multilevel"/>
    <w:tmpl w:val="79383A89"/>
    <w:lvl w:ilvl="0" w:tentative="0">
      <w:start w:val="1"/>
      <w:numFmt w:val="decimal"/>
      <w:lvlText w:val="%1."/>
      <w:lvlJc w:val="left"/>
      <w:pPr>
        <w:tabs>
          <w:tab w:val="left" w:pos="0"/>
        </w:tabs>
        <w:ind w:left="0" w:firstLine="240"/>
      </w:pPr>
      <w:rPr>
        <w:rFonts w:hint="default"/>
      </w:rPr>
    </w:lvl>
    <w:lvl w:ilvl="1" w:tentative="0">
      <w:start w:val="1"/>
      <w:numFmt w:val="lowerLetter"/>
      <w:lvlText w:val="%2"/>
      <w:lvlJc w:val="left"/>
      <w:pPr>
        <w:tabs>
          <w:tab w:val="left" w:pos="840"/>
        </w:tabs>
        <w:ind w:left="840" w:firstLine="11"/>
      </w:pPr>
      <w:rPr>
        <w:rFonts w:hint="eastAsia"/>
      </w:rPr>
    </w:lvl>
    <w:lvl w:ilvl="2" w:tentative="0">
      <w:start w:val="10"/>
      <w:numFmt w:val="japaneseCounting"/>
      <w:lvlText w:val="%3、"/>
      <w:lvlJc w:val="left"/>
      <w:pPr>
        <w:ind w:left="1290" w:hanging="45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79E35A12"/>
    <w:multiLevelType w:val="multilevel"/>
    <w:tmpl w:val="79E35A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A612DE2"/>
    <w:multiLevelType w:val="singleLevel"/>
    <w:tmpl w:val="7A612DE2"/>
    <w:lvl w:ilvl="0" w:tentative="0">
      <w:start w:val="2"/>
      <w:numFmt w:val="decimal"/>
      <w:lvlText w:val="%1."/>
      <w:lvlJc w:val="left"/>
      <w:pPr>
        <w:tabs>
          <w:tab w:val="left" w:pos="312"/>
        </w:tabs>
      </w:pPr>
    </w:lvl>
  </w:abstractNum>
  <w:num w:numId="1">
    <w:abstractNumId w:val="24"/>
  </w:num>
  <w:num w:numId="2">
    <w:abstractNumId w:val="19"/>
  </w:num>
  <w:num w:numId="3">
    <w:abstractNumId w:val="28"/>
  </w:num>
  <w:num w:numId="4">
    <w:abstractNumId w:val="9"/>
  </w:num>
  <w:num w:numId="5">
    <w:abstractNumId w:val="5"/>
  </w:num>
  <w:num w:numId="6">
    <w:abstractNumId w:val="27"/>
  </w:num>
  <w:num w:numId="7">
    <w:abstractNumId w:val="0"/>
  </w:num>
  <w:num w:numId="8">
    <w:abstractNumId w:val="31"/>
  </w:num>
  <w:num w:numId="9">
    <w:abstractNumId w:val="7"/>
  </w:num>
  <w:num w:numId="10">
    <w:abstractNumId w:val="13"/>
  </w:num>
  <w:num w:numId="11">
    <w:abstractNumId w:val="4"/>
  </w:num>
  <w:num w:numId="12">
    <w:abstractNumId w:val="16"/>
  </w:num>
  <w:num w:numId="13">
    <w:abstractNumId w:val="1"/>
  </w:num>
  <w:num w:numId="14">
    <w:abstractNumId w:val="10"/>
  </w:num>
  <w:num w:numId="15">
    <w:abstractNumId w:val="6"/>
  </w:num>
  <w:num w:numId="16">
    <w:abstractNumId w:val="18"/>
  </w:num>
  <w:num w:numId="17">
    <w:abstractNumId w:val="23"/>
  </w:num>
  <w:num w:numId="18">
    <w:abstractNumId w:val="26"/>
  </w:num>
  <w:num w:numId="19">
    <w:abstractNumId w:val="11"/>
  </w:num>
  <w:num w:numId="20">
    <w:abstractNumId w:val="21"/>
  </w:num>
  <w:num w:numId="21">
    <w:abstractNumId w:val="12"/>
  </w:num>
  <w:num w:numId="22">
    <w:abstractNumId w:val="20"/>
  </w:num>
  <w:num w:numId="23">
    <w:abstractNumId w:val="14"/>
  </w:num>
  <w:num w:numId="24">
    <w:abstractNumId w:val="25"/>
  </w:num>
  <w:num w:numId="25">
    <w:abstractNumId w:val="8"/>
  </w:num>
  <w:num w:numId="26">
    <w:abstractNumId w:val="29"/>
  </w:num>
  <w:num w:numId="27">
    <w:abstractNumId w:val="22"/>
  </w:num>
  <w:num w:numId="28">
    <w:abstractNumId w:val="30"/>
  </w:num>
  <w:num w:numId="29">
    <w:abstractNumId w:val="15"/>
  </w:num>
  <w:num w:numId="30">
    <w:abstractNumId w:val="17"/>
  </w:num>
  <w:num w:numId="31">
    <w:abstractNumId w:val="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zMzNkYzhjMTQ1YWZhN2JiMDQzNThjYzMxNDU4ZDkifQ=="/>
  </w:docVars>
  <w:rsids>
    <w:rsidRoot w:val="0056018A"/>
    <w:rsid w:val="000129F7"/>
    <w:rsid w:val="00012CFD"/>
    <w:rsid w:val="00012FA0"/>
    <w:rsid w:val="000139F5"/>
    <w:rsid w:val="00022B06"/>
    <w:rsid w:val="00026BBD"/>
    <w:rsid w:val="00026EC2"/>
    <w:rsid w:val="00030709"/>
    <w:rsid w:val="00036836"/>
    <w:rsid w:val="00040B4B"/>
    <w:rsid w:val="00046FDC"/>
    <w:rsid w:val="0005777A"/>
    <w:rsid w:val="00065382"/>
    <w:rsid w:val="00080223"/>
    <w:rsid w:val="00085FD3"/>
    <w:rsid w:val="00086AFB"/>
    <w:rsid w:val="000966BB"/>
    <w:rsid w:val="000A30DE"/>
    <w:rsid w:val="000A5309"/>
    <w:rsid w:val="000A5450"/>
    <w:rsid w:val="000A5855"/>
    <w:rsid w:val="000A7593"/>
    <w:rsid w:val="000B2BF3"/>
    <w:rsid w:val="000C1E37"/>
    <w:rsid w:val="000D0759"/>
    <w:rsid w:val="000D450D"/>
    <w:rsid w:val="000D6A51"/>
    <w:rsid w:val="000E0E1C"/>
    <w:rsid w:val="000F046C"/>
    <w:rsid w:val="000F0BC7"/>
    <w:rsid w:val="000F35C5"/>
    <w:rsid w:val="000F45A3"/>
    <w:rsid w:val="00113918"/>
    <w:rsid w:val="00114843"/>
    <w:rsid w:val="00115362"/>
    <w:rsid w:val="0011546B"/>
    <w:rsid w:val="00123AEA"/>
    <w:rsid w:val="00130005"/>
    <w:rsid w:val="00131768"/>
    <w:rsid w:val="00136351"/>
    <w:rsid w:val="001371E7"/>
    <w:rsid w:val="00137513"/>
    <w:rsid w:val="00146624"/>
    <w:rsid w:val="001474E9"/>
    <w:rsid w:val="001516CC"/>
    <w:rsid w:val="00153CDE"/>
    <w:rsid w:val="001664C5"/>
    <w:rsid w:val="0016788A"/>
    <w:rsid w:val="00176DFC"/>
    <w:rsid w:val="001B7212"/>
    <w:rsid w:val="001C1EE3"/>
    <w:rsid w:val="001C4A32"/>
    <w:rsid w:val="001C713C"/>
    <w:rsid w:val="001D0CF5"/>
    <w:rsid w:val="001D2A9F"/>
    <w:rsid w:val="001D47D4"/>
    <w:rsid w:val="001D5BD3"/>
    <w:rsid w:val="001D75B9"/>
    <w:rsid w:val="001E6B2E"/>
    <w:rsid w:val="001F3C13"/>
    <w:rsid w:val="00200F05"/>
    <w:rsid w:val="002040D3"/>
    <w:rsid w:val="00210BCB"/>
    <w:rsid w:val="002134F7"/>
    <w:rsid w:val="00220056"/>
    <w:rsid w:val="00220453"/>
    <w:rsid w:val="00220A29"/>
    <w:rsid w:val="00223712"/>
    <w:rsid w:val="002249F1"/>
    <w:rsid w:val="002326A7"/>
    <w:rsid w:val="00242E73"/>
    <w:rsid w:val="002432A0"/>
    <w:rsid w:val="002626ED"/>
    <w:rsid w:val="00263EA1"/>
    <w:rsid w:val="00265A40"/>
    <w:rsid w:val="00271E8E"/>
    <w:rsid w:val="00277F50"/>
    <w:rsid w:val="00281225"/>
    <w:rsid w:val="00282FDE"/>
    <w:rsid w:val="0029130A"/>
    <w:rsid w:val="00294478"/>
    <w:rsid w:val="0029496A"/>
    <w:rsid w:val="002A3677"/>
    <w:rsid w:val="002A5FAC"/>
    <w:rsid w:val="002B422A"/>
    <w:rsid w:val="002C23A8"/>
    <w:rsid w:val="002D48B1"/>
    <w:rsid w:val="002E4DE7"/>
    <w:rsid w:val="003016A6"/>
    <w:rsid w:val="00303493"/>
    <w:rsid w:val="003040A7"/>
    <w:rsid w:val="00305145"/>
    <w:rsid w:val="00305B23"/>
    <w:rsid w:val="0030616F"/>
    <w:rsid w:val="00310134"/>
    <w:rsid w:val="00325B0C"/>
    <w:rsid w:val="00332411"/>
    <w:rsid w:val="00335D66"/>
    <w:rsid w:val="003531B8"/>
    <w:rsid w:val="00372C2E"/>
    <w:rsid w:val="003747B3"/>
    <w:rsid w:val="00376613"/>
    <w:rsid w:val="00376C6B"/>
    <w:rsid w:val="00384846"/>
    <w:rsid w:val="003924CE"/>
    <w:rsid w:val="0039503E"/>
    <w:rsid w:val="0039553F"/>
    <w:rsid w:val="00397F17"/>
    <w:rsid w:val="003A4540"/>
    <w:rsid w:val="003B4D7D"/>
    <w:rsid w:val="003B5AA9"/>
    <w:rsid w:val="003C3C98"/>
    <w:rsid w:val="003C5B83"/>
    <w:rsid w:val="003D0E10"/>
    <w:rsid w:val="003D2316"/>
    <w:rsid w:val="003E0AB3"/>
    <w:rsid w:val="003E54B4"/>
    <w:rsid w:val="003F7614"/>
    <w:rsid w:val="00401C42"/>
    <w:rsid w:val="004029D9"/>
    <w:rsid w:val="00406F28"/>
    <w:rsid w:val="004076DE"/>
    <w:rsid w:val="0041232D"/>
    <w:rsid w:val="00420C9F"/>
    <w:rsid w:val="00432CF7"/>
    <w:rsid w:val="00436AA5"/>
    <w:rsid w:val="00441A5C"/>
    <w:rsid w:val="00442884"/>
    <w:rsid w:val="00443B00"/>
    <w:rsid w:val="00453701"/>
    <w:rsid w:val="004565CC"/>
    <w:rsid w:val="0045688B"/>
    <w:rsid w:val="004571E8"/>
    <w:rsid w:val="00460AFB"/>
    <w:rsid w:val="00460BBF"/>
    <w:rsid w:val="00461F95"/>
    <w:rsid w:val="004640E9"/>
    <w:rsid w:val="00470130"/>
    <w:rsid w:val="0047332E"/>
    <w:rsid w:val="00481917"/>
    <w:rsid w:val="00482F92"/>
    <w:rsid w:val="00483B0A"/>
    <w:rsid w:val="004A041B"/>
    <w:rsid w:val="004A123F"/>
    <w:rsid w:val="004A1540"/>
    <w:rsid w:val="004A1E67"/>
    <w:rsid w:val="004A239F"/>
    <w:rsid w:val="004B0EEA"/>
    <w:rsid w:val="004B5126"/>
    <w:rsid w:val="004C419D"/>
    <w:rsid w:val="004C6158"/>
    <w:rsid w:val="004D0F7F"/>
    <w:rsid w:val="004D1482"/>
    <w:rsid w:val="004D2B75"/>
    <w:rsid w:val="004E0016"/>
    <w:rsid w:val="004F0C11"/>
    <w:rsid w:val="004F2C1B"/>
    <w:rsid w:val="004F59D9"/>
    <w:rsid w:val="004F7838"/>
    <w:rsid w:val="00503391"/>
    <w:rsid w:val="00505670"/>
    <w:rsid w:val="0051044D"/>
    <w:rsid w:val="005143DA"/>
    <w:rsid w:val="00526981"/>
    <w:rsid w:val="00545EA7"/>
    <w:rsid w:val="005509CA"/>
    <w:rsid w:val="005520C1"/>
    <w:rsid w:val="00552960"/>
    <w:rsid w:val="0056018A"/>
    <w:rsid w:val="00567344"/>
    <w:rsid w:val="005704B9"/>
    <w:rsid w:val="00576901"/>
    <w:rsid w:val="00582993"/>
    <w:rsid w:val="005829DC"/>
    <w:rsid w:val="00586F44"/>
    <w:rsid w:val="00596036"/>
    <w:rsid w:val="005A4F56"/>
    <w:rsid w:val="005A6C87"/>
    <w:rsid w:val="005A6E5A"/>
    <w:rsid w:val="005A7E69"/>
    <w:rsid w:val="005B02BA"/>
    <w:rsid w:val="005B7735"/>
    <w:rsid w:val="005C0B4E"/>
    <w:rsid w:val="005C421F"/>
    <w:rsid w:val="005D4DEA"/>
    <w:rsid w:val="005F16F0"/>
    <w:rsid w:val="005F4E11"/>
    <w:rsid w:val="005F63CD"/>
    <w:rsid w:val="00627281"/>
    <w:rsid w:val="0065185D"/>
    <w:rsid w:val="00680629"/>
    <w:rsid w:val="006843B2"/>
    <w:rsid w:val="00684640"/>
    <w:rsid w:val="00684937"/>
    <w:rsid w:val="00686C52"/>
    <w:rsid w:val="00696696"/>
    <w:rsid w:val="006A0308"/>
    <w:rsid w:val="006A13F8"/>
    <w:rsid w:val="006A2088"/>
    <w:rsid w:val="006A65F6"/>
    <w:rsid w:val="006B12D0"/>
    <w:rsid w:val="006B2C0E"/>
    <w:rsid w:val="006C02A4"/>
    <w:rsid w:val="006D0C18"/>
    <w:rsid w:val="006E396D"/>
    <w:rsid w:val="006E4CDF"/>
    <w:rsid w:val="006E5E59"/>
    <w:rsid w:val="006F06EA"/>
    <w:rsid w:val="006F1414"/>
    <w:rsid w:val="006F3F01"/>
    <w:rsid w:val="006F4C8A"/>
    <w:rsid w:val="007051EA"/>
    <w:rsid w:val="00707801"/>
    <w:rsid w:val="007109E5"/>
    <w:rsid w:val="00713E7B"/>
    <w:rsid w:val="00723C16"/>
    <w:rsid w:val="00734F9B"/>
    <w:rsid w:val="007369EB"/>
    <w:rsid w:val="00736A8F"/>
    <w:rsid w:val="007432BF"/>
    <w:rsid w:val="007525BF"/>
    <w:rsid w:val="007551A5"/>
    <w:rsid w:val="00766094"/>
    <w:rsid w:val="007800DC"/>
    <w:rsid w:val="0078266F"/>
    <w:rsid w:val="007838AA"/>
    <w:rsid w:val="00783D5E"/>
    <w:rsid w:val="00785FD6"/>
    <w:rsid w:val="00796C6B"/>
    <w:rsid w:val="007A041D"/>
    <w:rsid w:val="007A40C1"/>
    <w:rsid w:val="007B212D"/>
    <w:rsid w:val="007C73AE"/>
    <w:rsid w:val="007D153E"/>
    <w:rsid w:val="007D632A"/>
    <w:rsid w:val="007E04A3"/>
    <w:rsid w:val="008029B4"/>
    <w:rsid w:val="00806A61"/>
    <w:rsid w:val="00812BAA"/>
    <w:rsid w:val="008238B1"/>
    <w:rsid w:val="00824B0F"/>
    <w:rsid w:val="00824BFD"/>
    <w:rsid w:val="00845397"/>
    <w:rsid w:val="008453B3"/>
    <w:rsid w:val="00852DFC"/>
    <w:rsid w:val="00862173"/>
    <w:rsid w:val="008629DC"/>
    <w:rsid w:val="00870064"/>
    <w:rsid w:val="0087271D"/>
    <w:rsid w:val="008733E8"/>
    <w:rsid w:val="008770FF"/>
    <w:rsid w:val="00881500"/>
    <w:rsid w:val="008909EA"/>
    <w:rsid w:val="008979AE"/>
    <w:rsid w:val="00897D02"/>
    <w:rsid w:val="008A0CBA"/>
    <w:rsid w:val="008A5433"/>
    <w:rsid w:val="008D3B56"/>
    <w:rsid w:val="008D5CEF"/>
    <w:rsid w:val="008E57A9"/>
    <w:rsid w:val="008E6D6D"/>
    <w:rsid w:val="008E7DFF"/>
    <w:rsid w:val="0091202F"/>
    <w:rsid w:val="0092470B"/>
    <w:rsid w:val="009326BC"/>
    <w:rsid w:val="00935D06"/>
    <w:rsid w:val="009360F9"/>
    <w:rsid w:val="00945F0D"/>
    <w:rsid w:val="0095346B"/>
    <w:rsid w:val="00962EE9"/>
    <w:rsid w:val="00964F00"/>
    <w:rsid w:val="00980255"/>
    <w:rsid w:val="00980960"/>
    <w:rsid w:val="009811AA"/>
    <w:rsid w:val="009934E6"/>
    <w:rsid w:val="009A228F"/>
    <w:rsid w:val="009B511E"/>
    <w:rsid w:val="009B72B3"/>
    <w:rsid w:val="009C68F6"/>
    <w:rsid w:val="009D00AD"/>
    <w:rsid w:val="009D0C02"/>
    <w:rsid w:val="009E0F5E"/>
    <w:rsid w:val="009E6EE4"/>
    <w:rsid w:val="00A00229"/>
    <w:rsid w:val="00A16E4D"/>
    <w:rsid w:val="00A21584"/>
    <w:rsid w:val="00A21EB2"/>
    <w:rsid w:val="00A250FD"/>
    <w:rsid w:val="00A27C8A"/>
    <w:rsid w:val="00A30094"/>
    <w:rsid w:val="00A31561"/>
    <w:rsid w:val="00A32195"/>
    <w:rsid w:val="00A35679"/>
    <w:rsid w:val="00A54E95"/>
    <w:rsid w:val="00A554F8"/>
    <w:rsid w:val="00A647DD"/>
    <w:rsid w:val="00A737A7"/>
    <w:rsid w:val="00A7402E"/>
    <w:rsid w:val="00A80564"/>
    <w:rsid w:val="00A835BB"/>
    <w:rsid w:val="00A90391"/>
    <w:rsid w:val="00A91112"/>
    <w:rsid w:val="00A94330"/>
    <w:rsid w:val="00A960B2"/>
    <w:rsid w:val="00AA7492"/>
    <w:rsid w:val="00AB141C"/>
    <w:rsid w:val="00AB18B6"/>
    <w:rsid w:val="00AC5B67"/>
    <w:rsid w:val="00AC71B4"/>
    <w:rsid w:val="00AE6633"/>
    <w:rsid w:val="00B01FF1"/>
    <w:rsid w:val="00B12B44"/>
    <w:rsid w:val="00B23DB5"/>
    <w:rsid w:val="00B30708"/>
    <w:rsid w:val="00B33204"/>
    <w:rsid w:val="00B3505E"/>
    <w:rsid w:val="00B4057C"/>
    <w:rsid w:val="00B421FD"/>
    <w:rsid w:val="00B45510"/>
    <w:rsid w:val="00B57050"/>
    <w:rsid w:val="00B71C85"/>
    <w:rsid w:val="00B72516"/>
    <w:rsid w:val="00B752F7"/>
    <w:rsid w:val="00B801D5"/>
    <w:rsid w:val="00B83F04"/>
    <w:rsid w:val="00B87622"/>
    <w:rsid w:val="00B907B7"/>
    <w:rsid w:val="00B92C97"/>
    <w:rsid w:val="00B96883"/>
    <w:rsid w:val="00B97EE4"/>
    <w:rsid w:val="00BA26B9"/>
    <w:rsid w:val="00BA3C70"/>
    <w:rsid w:val="00BA6759"/>
    <w:rsid w:val="00BB1D6C"/>
    <w:rsid w:val="00BB3248"/>
    <w:rsid w:val="00BB4E42"/>
    <w:rsid w:val="00BB6589"/>
    <w:rsid w:val="00BC3EFB"/>
    <w:rsid w:val="00BC49D6"/>
    <w:rsid w:val="00BC66AE"/>
    <w:rsid w:val="00BF1AB8"/>
    <w:rsid w:val="00BF22BA"/>
    <w:rsid w:val="00BF69CE"/>
    <w:rsid w:val="00C0028B"/>
    <w:rsid w:val="00C01073"/>
    <w:rsid w:val="00C01E62"/>
    <w:rsid w:val="00C071F3"/>
    <w:rsid w:val="00C12E5E"/>
    <w:rsid w:val="00C148BE"/>
    <w:rsid w:val="00C14BC3"/>
    <w:rsid w:val="00C16843"/>
    <w:rsid w:val="00C22360"/>
    <w:rsid w:val="00C27E87"/>
    <w:rsid w:val="00C30EA4"/>
    <w:rsid w:val="00C557BB"/>
    <w:rsid w:val="00C60B45"/>
    <w:rsid w:val="00C61704"/>
    <w:rsid w:val="00C66A6A"/>
    <w:rsid w:val="00C72491"/>
    <w:rsid w:val="00C855F6"/>
    <w:rsid w:val="00C92F53"/>
    <w:rsid w:val="00CA17F5"/>
    <w:rsid w:val="00CA3D2C"/>
    <w:rsid w:val="00CA6BD9"/>
    <w:rsid w:val="00CB099D"/>
    <w:rsid w:val="00CB1463"/>
    <w:rsid w:val="00CB69ED"/>
    <w:rsid w:val="00CC5A19"/>
    <w:rsid w:val="00CD1218"/>
    <w:rsid w:val="00CD4FAE"/>
    <w:rsid w:val="00CD5223"/>
    <w:rsid w:val="00CD5C67"/>
    <w:rsid w:val="00CD606D"/>
    <w:rsid w:val="00CD655D"/>
    <w:rsid w:val="00CE5010"/>
    <w:rsid w:val="00CE6E17"/>
    <w:rsid w:val="00CF7F05"/>
    <w:rsid w:val="00D03D93"/>
    <w:rsid w:val="00D048C5"/>
    <w:rsid w:val="00D0528A"/>
    <w:rsid w:val="00D11B37"/>
    <w:rsid w:val="00D14D6E"/>
    <w:rsid w:val="00D21677"/>
    <w:rsid w:val="00D25F17"/>
    <w:rsid w:val="00D408EF"/>
    <w:rsid w:val="00D434D8"/>
    <w:rsid w:val="00D4612C"/>
    <w:rsid w:val="00D5145C"/>
    <w:rsid w:val="00D62CF3"/>
    <w:rsid w:val="00D63086"/>
    <w:rsid w:val="00D64DAE"/>
    <w:rsid w:val="00D70724"/>
    <w:rsid w:val="00D729A1"/>
    <w:rsid w:val="00D75C6A"/>
    <w:rsid w:val="00D833EA"/>
    <w:rsid w:val="00D85123"/>
    <w:rsid w:val="00D85889"/>
    <w:rsid w:val="00D9120A"/>
    <w:rsid w:val="00DA3503"/>
    <w:rsid w:val="00DB31D2"/>
    <w:rsid w:val="00DB5225"/>
    <w:rsid w:val="00DC12DB"/>
    <w:rsid w:val="00DC173C"/>
    <w:rsid w:val="00DC5AF4"/>
    <w:rsid w:val="00DD0F8A"/>
    <w:rsid w:val="00DD14F8"/>
    <w:rsid w:val="00DD1E5E"/>
    <w:rsid w:val="00DD3C74"/>
    <w:rsid w:val="00DD47B0"/>
    <w:rsid w:val="00DD5DFE"/>
    <w:rsid w:val="00DD66CF"/>
    <w:rsid w:val="00DE06EE"/>
    <w:rsid w:val="00DE6417"/>
    <w:rsid w:val="00DE6C71"/>
    <w:rsid w:val="00DF0BCC"/>
    <w:rsid w:val="00DF2C8C"/>
    <w:rsid w:val="00DF47E6"/>
    <w:rsid w:val="00E1627A"/>
    <w:rsid w:val="00E2237D"/>
    <w:rsid w:val="00E230DC"/>
    <w:rsid w:val="00E255F5"/>
    <w:rsid w:val="00E3093E"/>
    <w:rsid w:val="00E34C35"/>
    <w:rsid w:val="00E36C5F"/>
    <w:rsid w:val="00E42133"/>
    <w:rsid w:val="00E423F5"/>
    <w:rsid w:val="00E42D85"/>
    <w:rsid w:val="00E434A0"/>
    <w:rsid w:val="00E463FA"/>
    <w:rsid w:val="00E650A8"/>
    <w:rsid w:val="00E66685"/>
    <w:rsid w:val="00E66B8A"/>
    <w:rsid w:val="00E7307E"/>
    <w:rsid w:val="00E80617"/>
    <w:rsid w:val="00E85246"/>
    <w:rsid w:val="00E878B4"/>
    <w:rsid w:val="00E9131F"/>
    <w:rsid w:val="00EA4211"/>
    <w:rsid w:val="00EA7813"/>
    <w:rsid w:val="00EB1B35"/>
    <w:rsid w:val="00EB1C8A"/>
    <w:rsid w:val="00EB3D00"/>
    <w:rsid w:val="00EC170E"/>
    <w:rsid w:val="00ED00FC"/>
    <w:rsid w:val="00ED23F4"/>
    <w:rsid w:val="00ED5985"/>
    <w:rsid w:val="00EF3BD8"/>
    <w:rsid w:val="00F053D9"/>
    <w:rsid w:val="00F06A66"/>
    <w:rsid w:val="00F106CB"/>
    <w:rsid w:val="00F11F31"/>
    <w:rsid w:val="00F17E53"/>
    <w:rsid w:val="00F265CB"/>
    <w:rsid w:val="00F34786"/>
    <w:rsid w:val="00F3680E"/>
    <w:rsid w:val="00F412F1"/>
    <w:rsid w:val="00F571C0"/>
    <w:rsid w:val="00F6063C"/>
    <w:rsid w:val="00F64A1C"/>
    <w:rsid w:val="00F71720"/>
    <w:rsid w:val="00F73A6B"/>
    <w:rsid w:val="00F759C8"/>
    <w:rsid w:val="00F76169"/>
    <w:rsid w:val="00F90397"/>
    <w:rsid w:val="00FA04BA"/>
    <w:rsid w:val="00FC02F8"/>
    <w:rsid w:val="00FC3256"/>
    <w:rsid w:val="00FC5FA0"/>
    <w:rsid w:val="00FD018F"/>
    <w:rsid w:val="00FD1592"/>
    <w:rsid w:val="00FD16C9"/>
    <w:rsid w:val="00FD1781"/>
    <w:rsid w:val="00FD554C"/>
    <w:rsid w:val="00FD72CC"/>
    <w:rsid w:val="00FD7A45"/>
    <w:rsid w:val="00FE040F"/>
    <w:rsid w:val="00FE42B3"/>
    <w:rsid w:val="00FE6A58"/>
    <w:rsid w:val="00FF651D"/>
    <w:rsid w:val="01360B51"/>
    <w:rsid w:val="014832F2"/>
    <w:rsid w:val="014D51C1"/>
    <w:rsid w:val="01C52478"/>
    <w:rsid w:val="01CC18DD"/>
    <w:rsid w:val="027408EE"/>
    <w:rsid w:val="02925C46"/>
    <w:rsid w:val="02963F39"/>
    <w:rsid w:val="02BA7274"/>
    <w:rsid w:val="03251978"/>
    <w:rsid w:val="0325718A"/>
    <w:rsid w:val="042921B6"/>
    <w:rsid w:val="04AD02B8"/>
    <w:rsid w:val="04DF17D4"/>
    <w:rsid w:val="053718C6"/>
    <w:rsid w:val="05412745"/>
    <w:rsid w:val="05491761"/>
    <w:rsid w:val="058838DE"/>
    <w:rsid w:val="05A351AD"/>
    <w:rsid w:val="05F9748A"/>
    <w:rsid w:val="06266F78"/>
    <w:rsid w:val="063E7B7A"/>
    <w:rsid w:val="06582413"/>
    <w:rsid w:val="067E33B8"/>
    <w:rsid w:val="06E82FCB"/>
    <w:rsid w:val="06F34B95"/>
    <w:rsid w:val="07571DAC"/>
    <w:rsid w:val="079E5C2C"/>
    <w:rsid w:val="086C5273"/>
    <w:rsid w:val="08E64121"/>
    <w:rsid w:val="09242161"/>
    <w:rsid w:val="0942017F"/>
    <w:rsid w:val="099012C2"/>
    <w:rsid w:val="09BA1FBB"/>
    <w:rsid w:val="09CB139F"/>
    <w:rsid w:val="0A0106F5"/>
    <w:rsid w:val="0A112AB7"/>
    <w:rsid w:val="0AA90AD7"/>
    <w:rsid w:val="0AD71BC7"/>
    <w:rsid w:val="0AF420EB"/>
    <w:rsid w:val="0B1B72D9"/>
    <w:rsid w:val="0B2B2BF5"/>
    <w:rsid w:val="0B2F3908"/>
    <w:rsid w:val="0B3F6206"/>
    <w:rsid w:val="0BD22349"/>
    <w:rsid w:val="0BE12DB6"/>
    <w:rsid w:val="0BE853EC"/>
    <w:rsid w:val="0C626CE4"/>
    <w:rsid w:val="0D016648"/>
    <w:rsid w:val="0D0C2B7B"/>
    <w:rsid w:val="0D4F1F18"/>
    <w:rsid w:val="0D9308F8"/>
    <w:rsid w:val="0D996C42"/>
    <w:rsid w:val="0DF86E2B"/>
    <w:rsid w:val="0E1A1D85"/>
    <w:rsid w:val="0E750568"/>
    <w:rsid w:val="0EB75826"/>
    <w:rsid w:val="0EF2394B"/>
    <w:rsid w:val="0F2D7A80"/>
    <w:rsid w:val="0F4277E5"/>
    <w:rsid w:val="0F655D05"/>
    <w:rsid w:val="0FA75561"/>
    <w:rsid w:val="0FB83603"/>
    <w:rsid w:val="0FCA77F1"/>
    <w:rsid w:val="10270545"/>
    <w:rsid w:val="108A1D4B"/>
    <w:rsid w:val="10A10111"/>
    <w:rsid w:val="10BE093E"/>
    <w:rsid w:val="111B0FE9"/>
    <w:rsid w:val="11580FB6"/>
    <w:rsid w:val="115F67A8"/>
    <w:rsid w:val="11842869"/>
    <w:rsid w:val="119A7465"/>
    <w:rsid w:val="11C07DA5"/>
    <w:rsid w:val="11F15EAE"/>
    <w:rsid w:val="12491386"/>
    <w:rsid w:val="12E60579"/>
    <w:rsid w:val="13695B36"/>
    <w:rsid w:val="1372609F"/>
    <w:rsid w:val="145A6A37"/>
    <w:rsid w:val="1467440F"/>
    <w:rsid w:val="15433A9B"/>
    <w:rsid w:val="15C0121F"/>
    <w:rsid w:val="15FC2F04"/>
    <w:rsid w:val="16181FAC"/>
    <w:rsid w:val="168756A0"/>
    <w:rsid w:val="16F94849"/>
    <w:rsid w:val="17045E51"/>
    <w:rsid w:val="172011D4"/>
    <w:rsid w:val="17252C3B"/>
    <w:rsid w:val="17376910"/>
    <w:rsid w:val="173F0A2E"/>
    <w:rsid w:val="17770BC2"/>
    <w:rsid w:val="17A119AA"/>
    <w:rsid w:val="17AD77C6"/>
    <w:rsid w:val="17F35B20"/>
    <w:rsid w:val="18586F2B"/>
    <w:rsid w:val="18842C1C"/>
    <w:rsid w:val="18F506C4"/>
    <w:rsid w:val="192D0008"/>
    <w:rsid w:val="19A766B9"/>
    <w:rsid w:val="19CE76BA"/>
    <w:rsid w:val="19F26070"/>
    <w:rsid w:val="1A1523CE"/>
    <w:rsid w:val="1A385E25"/>
    <w:rsid w:val="1A8E2AF9"/>
    <w:rsid w:val="1AA730BD"/>
    <w:rsid w:val="1B055612"/>
    <w:rsid w:val="1B333D5D"/>
    <w:rsid w:val="1B587618"/>
    <w:rsid w:val="1B5F19C7"/>
    <w:rsid w:val="1B7725C5"/>
    <w:rsid w:val="1C1C709B"/>
    <w:rsid w:val="1D4A362B"/>
    <w:rsid w:val="1D554B87"/>
    <w:rsid w:val="1D5C514E"/>
    <w:rsid w:val="1D8546EC"/>
    <w:rsid w:val="1D865D14"/>
    <w:rsid w:val="1D8705EC"/>
    <w:rsid w:val="1DA93E92"/>
    <w:rsid w:val="1DBF2F0B"/>
    <w:rsid w:val="1DD957B9"/>
    <w:rsid w:val="1E43150B"/>
    <w:rsid w:val="1EA93E80"/>
    <w:rsid w:val="1ED33FB6"/>
    <w:rsid w:val="1EE81332"/>
    <w:rsid w:val="1F32415A"/>
    <w:rsid w:val="1F3D1A49"/>
    <w:rsid w:val="20107567"/>
    <w:rsid w:val="204D414C"/>
    <w:rsid w:val="20AB56C6"/>
    <w:rsid w:val="2176153D"/>
    <w:rsid w:val="2176507C"/>
    <w:rsid w:val="21BE35AF"/>
    <w:rsid w:val="21C11174"/>
    <w:rsid w:val="22024C32"/>
    <w:rsid w:val="22244B28"/>
    <w:rsid w:val="22467FD4"/>
    <w:rsid w:val="229451FD"/>
    <w:rsid w:val="22A12DB6"/>
    <w:rsid w:val="23037EE2"/>
    <w:rsid w:val="23C962E8"/>
    <w:rsid w:val="23E92073"/>
    <w:rsid w:val="247E4FED"/>
    <w:rsid w:val="24B30BE8"/>
    <w:rsid w:val="24E34060"/>
    <w:rsid w:val="25390046"/>
    <w:rsid w:val="253A0491"/>
    <w:rsid w:val="25B96D13"/>
    <w:rsid w:val="25E036B2"/>
    <w:rsid w:val="25E9082A"/>
    <w:rsid w:val="25F42473"/>
    <w:rsid w:val="26252925"/>
    <w:rsid w:val="26AF2D79"/>
    <w:rsid w:val="26B34B91"/>
    <w:rsid w:val="26C54B2C"/>
    <w:rsid w:val="26FA17F3"/>
    <w:rsid w:val="270D66E8"/>
    <w:rsid w:val="271B62DA"/>
    <w:rsid w:val="278B0DAB"/>
    <w:rsid w:val="27A64735"/>
    <w:rsid w:val="27CC4DF2"/>
    <w:rsid w:val="281864F2"/>
    <w:rsid w:val="286903EF"/>
    <w:rsid w:val="287F5DD3"/>
    <w:rsid w:val="288047CB"/>
    <w:rsid w:val="289E62FA"/>
    <w:rsid w:val="28AB1AFF"/>
    <w:rsid w:val="291E2CA6"/>
    <w:rsid w:val="29331862"/>
    <w:rsid w:val="299E147F"/>
    <w:rsid w:val="29CF26DC"/>
    <w:rsid w:val="2A00483F"/>
    <w:rsid w:val="2A017E4F"/>
    <w:rsid w:val="2A1C5DA0"/>
    <w:rsid w:val="2A200D39"/>
    <w:rsid w:val="2A507EFF"/>
    <w:rsid w:val="2AA72D99"/>
    <w:rsid w:val="2ADC05A4"/>
    <w:rsid w:val="2B501C13"/>
    <w:rsid w:val="2B6F0D7F"/>
    <w:rsid w:val="2B8716BD"/>
    <w:rsid w:val="2BAB47B4"/>
    <w:rsid w:val="2C6527D0"/>
    <w:rsid w:val="2C780195"/>
    <w:rsid w:val="2CCC5FEE"/>
    <w:rsid w:val="2D025012"/>
    <w:rsid w:val="2D4178F0"/>
    <w:rsid w:val="2DAE631A"/>
    <w:rsid w:val="2DD877E0"/>
    <w:rsid w:val="2DE616C9"/>
    <w:rsid w:val="2DFC2451"/>
    <w:rsid w:val="2E6E566D"/>
    <w:rsid w:val="2E7F188E"/>
    <w:rsid w:val="2E8C7DA4"/>
    <w:rsid w:val="2EBC0905"/>
    <w:rsid w:val="2EC73739"/>
    <w:rsid w:val="2F430810"/>
    <w:rsid w:val="2F5C684F"/>
    <w:rsid w:val="30225B18"/>
    <w:rsid w:val="307776D1"/>
    <w:rsid w:val="30862574"/>
    <w:rsid w:val="308A5484"/>
    <w:rsid w:val="30B631E1"/>
    <w:rsid w:val="310C1665"/>
    <w:rsid w:val="311933AA"/>
    <w:rsid w:val="313A335E"/>
    <w:rsid w:val="31466869"/>
    <w:rsid w:val="317D15BB"/>
    <w:rsid w:val="31B41495"/>
    <w:rsid w:val="31D07E6C"/>
    <w:rsid w:val="323F65DA"/>
    <w:rsid w:val="32412074"/>
    <w:rsid w:val="32DE0199"/>
    <w:rsid w:val="335B2774"/>
    <w:rsid w:val="3394419D"/>
    <w:rsid w:val="33A4642E"/>
    <w:rsid w:val="33D4039C"/>
    <w:rsid w:val="33D47E05"/>
    <w:rsid w:val="3413677D"/>
    <w:rsid w:val="342B544B"/>
    <w:rsid w:val="34DE1E4F"/>
    <w:rsid w:val="34F07DB1"/>
    <w:rsid w:val="35D354B8"/>
    <w:rsid w:val="35D4025C"/>
    <w:rsid w:val="36206BA7"/>
    <w:rsid w:val="362666BC"/>
    <w:rsid w:val="364F5DFB"/>
    <w:rsid w:val="368A6B11"/>
    <w:rsid w:val="37085B1F"/>
    <w:rsid w:val="372E04CB"/>
    <w:rsid w:val="3734247E"/>
    <w:rsid w:val="3781684D"/>
    <w:rsid w:val="37F13D8A"/>
    <w:rsid w:val="38166A5D"/>
    <w:rsid w:val="38814903"/>
    <w:rsid w:val="38B27253"/>
    <w:rsid w:val="390D33AB"/>
    <w:rsid w:val="390E79B4"/>
    <w:rsid w:val="391E6D06"/>
    <w:rsid w:val="396B3311"/>
    <w:rsid w:val="39895C3F"/>
    <w:rsid w:val="39976B08"/>
    <w:rsid w:val="39AD1B7B"/>
    <w:rsid w:val="3A074847"/>
    <w:rsid w:val="3AA90FE6"/>
    <w:rsid w:val="3AA9318F"/>
    <w:rsid w:val="3AB62DA0"/>
    <w:rsid w:val="3B300F37"/>
    <w:rsid w:val="3B6A49E6"/>
    <w:rsid w:val="3B7D3FD5"/>
    <w:rsid w:val="3B823DDF"/>
    <w:rsid w:val="3BF8227A"/>
    <w:rsid w:val="3C237ED3"/>
    <w:rsid w:val="3CAA596A"/>
    <w:rsid w:val="3CB1587B"/>
    <w:rsid w:val="3CB735F2"/>
    <w:rsid w:val="3D0B61B2"/>
    <w:rsid w:val="3D186684"/>
    <w:rsid w:val="3D8B2178"/>
    <w:rsid w:val="3DD115F5"/>
    <w:rsid w:val="3DE435F0"/>
    <w:rsid w:val="3DE5122C"/>
    <w:rsid w:val="3DF37E53"/>
    <w:rsid w:val="3E3A59A8"/>
    <w:rsid w:val="3E7B7AF6"/>
    <w:rsid w:val="3ED26DE9"/>
    <w:rsid w:val="3EED17D0"/>
    <w:rsid w:val="3F0C0304"/>
    <w:rsid w:val="3F6246E2"/>
    <w:rsid w:val="3F6E1604"/>
    <w:rsid w:val="3F827A5D"/>
    <w:rsid w:val="3FEC147E"/>
    <w:rsid w:val="40307062"/>
    <w:rsid w:val="40376375"/>
    <w:rsid w:val="40B3479E"/>
    <w:rsid w:val="40F47F6B"/>
    <w:rsid w:val="412732B7"/>
    <w:rsid w:val="4127791F"/>
    <w:rsid w:val="41281794"/>
    <w:rsid w:val="413C1FDF"/>
    <w:rsid w:val="41B0259C"/>
    <w:rsid w:val="41BC6F1C"/>
    <w:rsid w:val="41EF2363"/>
    <w:rsid w:val="41F77860"/>
    <w:rsid w:val="424A4B98"/>
    <w:rsid w:val="42581D3A"/>
    <w:rsid w:val="42FE0080"/>
    <w:rsid w:val="43315D2E"/>
    <w:rsid w:val="436332AB"/>
    <w:rsid w:val="43824A1C"/>
    <w:rsid w:val="43905358"/>
    <w:rsid w:val="43D110E1"/>
    <w:rsid w:val="43E873C9"/>
    <w:rsid w:val="445D1768"/>
    <w:rsid w:val="44905B1F"/>
    <w:rsid w:val="451702CD"/>
    <w:rsid w:val="45316885"/>
    <w:rsid w:val="45657160"/>
    <w:rsid w:val="45A95EE9"/>
    <w:rsid w:val="45EF7078"/>
    <w:rsid w:val="45FB0F21"/>
    <w:rsid w:val="47200EE3"/>
    <w:rsid w:val="47435AC2"/>
    <w:rsid w:val="47544B78"/>
    <w:rsid w:val="47587AF7"/>
    <w:rsid w:val="47745A86"/>
    <w:rsid w:val="47DA4F9D"/>
    <w:rsid w:val="47E239AC"/>
    <w:rsid w:val="480F4B73"/>
    <w:rsid w:val="48DB38E3"/>
    <w:rsid w:val="49001B5E"/>
    <w:rsid w:val="49376DB0"/>
    <w:rsid w:val="49804BB7"/>
    <w:rsid w:val="49826DCB"/>
    <w:rsid w:val="499013E7"/>
    <w:rsid w:val="49B117E8"/>
    <w:rsid w:val="49BE4F70"/>
    <w:rsid w:val="49C8088A"/>
    <w:rsid w:val="4A301C93"/>
    <w:rsid w:val="4A3302AB"/>
    <w:rsid w:val="4A455285"/>
    <w:rsid w:val="4AC85D49"/>
    <w:rsid w:val="4AE308A9"/>
    <w:rsid w:val="4AF44578"/>
    <w:rsid w:val="4B3F45FD"/>
    <w:rsid w:val="4B9A1456"/>
    <w:rsid w:val="4BA32C82"/>
    <w:rsid w:val="4BE70627"/>
    <w:rsid w:val="4C0A5AE1"/>
    <w:rsid w:val="4C130AB8"/>
    <w:rsid w:val="4C360F71"/>
    <w:rsid w:val="4C5A284D"/>
    <w:rsid w:val="4CB96B43"/>
    <w:rsid w:val="4CD63947"/>
    <w:rsid w:val="4CFC49F4"/>
    <w:rsid w:val="4D073D73"/>
    <w:rsid w:val="4D1E27BA"/>
    <w:rsid w:val="4D23574A"/>
    <w:rsid w:val="4D2C5F1D"/>
    <w:rsid w:val="4D4C4DB0"/>
    <w:rsid w:val="4D7322D5"/>
    <w:rsid w:val="4DD36794"/>
    <w:rsid w:val="4DD7034C"/>
    <w:rsid w:val="4DE312CB"/>
    <w:rsid w:val="4E1F4862"/>
    <w:rsid w:val="4E2E4393"/>
    <w:rsid w:val="4E5114CF"/>
    <w:rsid w:val="4E535EF2"/>
    <w:rsid w:val="4EAF1A9A"/>
    <w:rsid w:val="4F08773C"/>
    <w:rsid w:val="4F31409F"/>
    <w:rsid w:val="4F7E2887"/>
    <w:rsid w:val="4F846A83"/>
    <w:rsid w:val="4F960564"/>
    <w:rsid w:val="50070E2C"/>
    <w:rsid w:val="504B57F2"/>
    <w:rsid w:val="505D085C"/>
    <w:rsid w:val="50C62BC7"/>
    <w:rsid w:val="50F72A66"/>
    <w:rsid w:val="5123368C"/>
    <w:rsid w:val="5130747C"/>
    <w:rsid w:val="515C765A"/>
    <w:rsid w:val="51905BB3"/>
    <w:rsid w:val="51946FCB"/>
    <w:rsid w:val="51D1402E"/>
    <w:rsid w:val="51DD796B"/>
    <w:rsid w:val="51DF373B"/>
    <w:rsid w:val="52EF4CB5"/>
    <w:rsid w:val="52F959F0"/>
    <w:rsid w:val="5302488E"/>
    <w:rsid w:val="533D5A76"/>
    <w:rsid w:val="539A4AC7"/>
    <w:rsid w:val="54041F40"/>
    <w:rsid w:val="540530AF"/>
    <w:rsid w:val="54A04054"/>
    <w:rsid w:val="54A61722"/>
    <w:rsid w:val="54B31FAF"/>
    <w:rsid w:val="55326D63"/>
    <w:rsid w:val="55381E35"/>
    <w:rsid w:val="555D1A10"/>
    <w:rsid w:val="55BE115E"/>
    <w:rsid w:val="56822570"/>
    <w:rsid w:val="56AC4A78"/>
    <w:rsid w:val="56BE4D74"/>
    <w:rsid w:val="56DB16B9"/>
    <w:rsid w:val="56EC4AB5"/>
    <w:rsid w:val="571D0F95"/>
    <w:rsid w:val="57682BA6"/>
    <w:rsid w:val="577A3463"/>
    <w:rsid w:val="577D2735"/>
    <w:rsid w:val="57AE164A"/>
    <w:rsid w:val="57F967AD"/>
    <w:rsid w:val="58052975"/>
    <w:rsid w:val="5819208A"/>
    <w:rsid w:val="587D02D4"/>
    <w:rsid w:val="58B008E9"/>
    <w:rsid w:val="58BF534D"/>
    <w:rsid w:val="58E525CA"/>
    <w:rsid w:val="593D045A"/>
    <w:rsid w:val="5960739E"/>
    <w:rsid w:val="59896D0A"/>
    <w:rsid w:val="59B72684"/>
    <w:rsid w:val="5A8A36F8"/>
    <w:rsid w:val="5A9579AE"/>
    <w:rsid w:val="5AC468CD"/>
    <w:rsid w:val="5B342B9A"/>
    <w:rsid w:val="5B5C59D3"/>
    <w:rsid w:val="5B630802"/>
    <w:rsid w:val="5B737754"/>
    <w:rsid w:val="5B807F68"/>
    <w:rsid w:val="5BAA6241"/>
    <w:rsid w:val="5C034D53"/>
    <w:rsid w:val="5C2D3983"/>
    <w:rsid w:val="5CE62B2B"/>
    <w:rsid w:val="5D29286B"/>
    <w:rsid w:val="5D3715D8"/>
    <w:rsid w:val="5D510D5C"/>
    <w:rsid w:val="5DCA24FF"/>
    <w:rsid w:val="5E1D6F56"/>
    <w:rsid w:val="5E52187F"/>
    <w:rsid w:val="5E6A13CD"/>
    <w:rsid w:val="5E705D15"/>
    <w:rsid w:val="5E93326C"/>
    <w:rsid w:val="5EFB4BA4"/>
    <w:rsid w:val="5F5F46B5"/>
    <w:rsid w:val="5FBA3CC0"/>
    <w:rsid w:val="5FD90D61"/>
    <w:rsid w:val="60177697"/>
    <w:rsid w:val="602329DB"/>
    <w:rsid w:val="607777D6"/>
    <w:rsid w:val="60BC76A1"/>
    <w:rsid w:val="610B7637"/>
    <w:rsid w:val="615F5624"/>
    <w:rsid w:val="61D215CF"/>
    <w:rsid w:val="625C563D"/>
    <w:rsid w:val="626A1704"/>
    <w:rsid w:val="62AC1EAF"/>
    <w:rsid w:val="62B362C8"/>
    <w:rsid w:val="62C1330E"/>
    <w:rsid w:val="633D32E3"/>
    <w:rsid w:val="6342085E"/>
    <w:rsid w:val="636F415C"/>
    <w:rsid w:val="64917820"/>
    <w:rsid w:val="64AA1CC5"/>
    <w:rsid w:val="64EB6B5C"/>
    <w:rsid w:val="656B2909"/>
    <w:rsid w:val="65864EAB"/>
    <w:rsid w:val="65A3045D"/>
    <w:rsid w:val="65B8702E"/>
    <w:rsid w:val="65D97752"/>
    <w:rsid w:val="65E25E59"/>
    <w:rsid w:val="66307F76"/>
    <w:rsid w:val="66580EAF"/>
    <w:rsid w:val="66694D0D"/>
    <w:rsid w:val="66F041A8"/>
    <w:rsid w:val="6721178A"/>
    <w:rsid w:val="6739399A"/>
    <w:rsid w:val="673F39DE"/>
    <w:rsid w:val="674C5D22"/>
    <w:rsid w:val="67663AF8"/>
    <w:rsid w:val="67762CFD"/>
    <w:rsid w:val="677A678D"/>
    <w:rsid w:val="67B173AF"/>
    <w:rsid w:val="68011379"/>
    <w:rsid w:val="68115472"/>
    <w:rsid w:val="68252C37"/>
    <w:rsid w:val="68817BAC"/>
    <w:rsid w:val="68972BAC"/>
    <w:rsid w:val="689A5E59"/>
    <w:rsid w:val="68C40F6C"/>
    <w:rsid w:val="68EE72DF"/>
    <w:rsid w:val="69390486"/>
    <w:rsid w:val="69485FEA"/>
    <w:rsid w:val="69677DC0"/>
    <w:rsid w:val="698B4794"/>
    <w:rsid w:val="69937EC7"/>
    <w:rsid w:val="69D64558"/>
    <w:rsid w:val="6A042548"/>
    <w:rsid w:val="6A471EFD"/>
    <w:rsid w:val="6A9C3B68"/>
    <w:rsid w:val="6AB57116"/>
    <w:rsid w:val="6B17424A"/>
    <w:rsid w:val="6B2218FA"/>
    <w:rsid w:val="6B621F16"/>
    <w:rsid w:val="6B691672"/>
    <w:rsid w:val="6B9604B9"/>
    <w:rsid w:val="6C5E6A51"/>
    <w:rsid w:val="6C6513C3"/>
    <w:rsid w:val="6C744268"/>
    <w:rsid w:val="6CD62D03"/>
    <w:rsid w:val="6CD97FB6"/>
    <w:rsid w:val="6D2B2113"/>
    <w:rsid w:val="6D433682"/>
    <w:rsid w:val="6D930013"/>
    <w:rsid w:val="6E1A1656"/>
    <w:rsid w:val="6E5A5288"/>
    <w:rsid w:val="6E91253A"/>
    <w:rsid w:val="6E9251C1"/>
    <w:rsid w:val="6E9A0CBF"/>
    <w:rsid w:val="6EAE1862"/>
    <w:rsid w:val="6EE013EE"/>
    <w:rsid w:val="6EE079F1"/>
    <w:rsid w:val="6EE42C42"/>
    <w:rsid w:val="6F517877"/>
    <w:rsid w:val="6F7F7CB0"/>
    <w:rsid w:val="6F8B338E"/>
    <w:rsid w:val="6FE0165C"/>
    <w:rsid w:val="6FEC1DAE"/>
    <w:rsid w:val="701557A9"/>
    <w:rsid w:val="7017178D"/>
    <w:rsid w:val="70222744"/>
    <w:rsid w:val="705D3D9F"/>
    <w:rsid w:val="706D2B21"/>
    <w:rsid w:val="707B1384"/>
    <w:rsid w:val="70857A34"/>
    <w:rsid w:val="70985D3C"/>
    <w:rsid w:val="71047C73"/>
    <w:rsid w:val="7109004F"/>
    <w:rsid w:val="71103167"/>
    <w:rsid w:val="71280339"/>
    <w:rsid w:val="712E56F7"/>
    <w:rsid w:val="71691ABB"/>
    <w:rsid w:val="71AE1AEA"/>
    <w:rsid w:val="71CF3B6C"/>
    <w:rsid w:val="71D42710"/>
    <w:rsid w:val="722922C6"/>
    <w:rsid w:val="732D4B5D"/>
    <w:rsid w:val="73393C88"/>
    <w:rsid w:val="7362513F"/>
    <w:rsid w:val="73771D49"/>
    <w:rsid w:val="73A1354E"/>
    <w:rsid w:val="73FE5758"/>
    <w:rsid w:val="74A11E7D"/>
    <w:rsid w:val="74FD680C"/>
    <w:rsid w:val="753D30AC"/>
    <w:rsid w:val="75590B0A"/>
    <w:rsid w:val="7582279F"/>
    <w:rsid w:val="75BB71AF"/>
    <w:rsid w:val="75EA4FE2"/>
    <w:rsid w:val="75F01962"/>
    <w:rsid w:val="760E19DF"/>
    <w:rsid w:val="76676A53"/>
    <w:rsid w:val="76B620A1"/>
    <w:rsid w:val="77462524"/>
    <w:rsid w:val="77A21064"/>
    <w:rsid w:val="77E34EB2"/>
    <w:rsid w:val="781564B8"/>
    <w:rsid w:val="78224ACF"/>
    <w:rsid w:val="78670B6C"/>
    <w:rsid w:val="78684DB0"/>
    <w:rsid w:val="78CD6DCC"/>
    <w:rsid w:val="78D07CAF"/>
    <w:rsid w:val="78DE12D7"/>
    <w:rsid w:val="78E538D4"/>
    <w:rsid w:val="790B0C57"/>
    <w:rsid w:val="79210683"/>
    <w:rsid w:val="79264BBA"/>
    <w:rsid w:val="792D2129"/>
    <w:rsid w:val="799C3465"/>
    <w:rsid w:val="79B14EC4"/>
    <w:rsid w:val="7A282B95"/>
    <w:rsid w:val="7A2A6B4A"/>
    <w:rsid w:val="7A362AAB"/>
    <w:rsid w:val="7A3E58FC"/>
    <w:rsid w:val="7A681070"/>
    <w:rsid w:val="7A860C7C"/>
    <w:rsid w:val="7AB879FE"/>
    <w:rsid w:val="7B3264DD"/>
    <w:rsid w:val="7B7977CF"/>
    <w:rsid w:val="7B81188A"/>
    <w:rsid w:val="7B9E2902"/>
    <w:rsid w:val="7BC854E2"/>
    <w:rsid w:val="7BE67FFA"/>
    <w:rsid w:val="7C0562EC"/>
    <w:rsid w:val="7C27683F"/>
    <w:rsid w:val="7CB14B4D"/>
    <w:rsid w:val="7CC50E9B"/>
    <w:rsid w:val="7CF26969"/>
    <w:rsid w:val="7D292894"/>
    <w:rsid w:val="7DB23041"/>
    <w:rsid w:val="7E5F7809"/>
    <w:rsid w:val="7ED56C53"/>
    <w:rsid w:val="7EEA1BAF"/>
    <w:rsid w:val="7F7107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1"/>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pPr>
    <w:rPr>
      <w:rFonts w:ascii="Times New Roman" w:hAnsi="Times New Roman"/>
      <w:kern w:val="0"/>
      <w:sz w:val="20"/>
      <w:szCs w:val="2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0"/>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2 字符"/>
    <w:basedOn w:val="38"/>
    <w:link w:val="4"/>
    <w:qFormat/>
    <w:uiPriority w:val="9"/>
    <w:rPr>
      <w:rFonts w:ascii="Arial" w:hAnsi="Arial" w:eastAsia="宋体" w:cs="Times New Roman"/>
      <w:b/>
      <w:bCs/>
      <w:sz w:val="24"/>
      <w:szCs w:val="32"/>
    </w:rPr>
  </w:style>
  <w:style w:type="character" w:customStyle="1" w:styleId="47">
    <w:name w:val="标题 1 字符"/>
    <w:basedOn w:val="38"/>
    <w:link w:val="3"/>
    <w:qFormat/>
    <w:uiPriority w:val="9"/>
    <w:rPr>
      <w:rFonts w:ascii="Calibri" w:hAnsi="Calibri" w:eastAsia="宋体" w:cs="Times New Roman"/>
      <w:b/>
      <w:bCs/>
      <w:kern w:val="44"/>
      <w:sz w:val="36"/>
      <w:szCs w:val="44"/>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rPr>
      <w:rFonts w:eastAsia="黑体"/>
      <w:b w:val="0"/>
      <w:color w:val="000000"/>
      <w:sz w:val="30"/>
      <w:szCs w:val="24"/>
    </w:rPr>
  </w:style>
  <w:style w:type="paragraph" w:customStyle="1" w:styleId="1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3">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34">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5">
    <w:name w:val="正文表标题"/>
    <w:next w:val="134"/>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6">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137">
    <w:name w:val="Table Text"/>
    <w:basedOn w:val="1"/>
    <w:semiHidden/>
    <w:qFormat/>
    <w:uiPriority w:val="0"/>
    <w:rPr>
      <w:rFonts w:ascii="宋体" w:hAnsi="宋体" w:eastAsia="宋体" w:cs="宋体"/>
      <w:sz w:val="24"/>
      <w:szCs w:val="24"/>
      <w:lang w:eastAsia="en-US"/>
    </w:rPr>
  </w:style>
  <w:style w:type="paragraph" w:customStyle="1" w:styleId="138">
    <w:name w:val="正文内容"/>
    <w:qFormat/>
    <w:uiPriority w:val="0"/>
    <w:pPr>
      <w:widowControl w:val="0"/>
      <w:spacing w:after="160" w:line="278" w:lineRule="auto"/>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39">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0">
    <w:name w:val="hr2"/>
    <w:basedOn w:val="1"/>
    <w:qFormat/>
    <w:uiPriority w:val="0"/>
    <w:pPr>
      <w:widowControl/>
      <w:adjustRightInd w:val="0"/>
      <w:snapToGrid w:val="0"/>
      <w:spacing w:line="360" w:lineRule="auto"/>
      <w:ind w:firstLine="200" w:firstLineChars="200"/>
      <w:jc w:val="left"/>
    </w:pPr>
    <w:rPr>
      <w:rFonts w:hint="eastAsia" w:ascii="宋体" w:hAnsi="宋体" w:eastAsia="宋体" w:cs="Times New Roman"/>
      <w:kern w:val="0"/>
      <w:sz w:val="24"/>
    </w:rPr>
  </w:style>
  <w:style w:type="character" w:customStyle="1" w:styleId="141">
    <w:name w:val="font41"/>
    <w:basedOn w:val="38"/>
    <w:qFormat/>
    <w:uiPriority w:val="0"/>
    <w:rPr>
      <w:rFonts w:hint="eastAsia" w:ascii="宋体" w:hAnsi="宋体" w:eastAsia="宋体" w:cs="宋体"/>
      <w:color w:val="000000"/>
      <w:sz w:val="20"/>
      <w:szCs w:val="20"/>
      <w:u w:val="none"/>
    </w:rPr>
  </w:style>
  <w:style w:type="character" w:customStyle="1" w:styleId="142">
    <w:name w:val="font51"/>
    <w:basedOn w:val="38"/>
    <w:qFormat/>
    <w:uiPriority w:val="0"/>
    <w:rPr>
      <w:rFonts w:hint="eastAsia" w:ascii="宋体" w:hAnsi="宋体" w:eastAsia="宋体" w:cs="宋体"/>
      <w:b/>
      <w:bCs/>
      <w:color w:val="FE0300"/>
      <w:sz w:val="20"/>
      <w:szCs w:val="20"/>
      <w:u w:val="none"/>
    </w:rPr>
  </w:style>
  <w:style w:type="character" w:customStyle="1" w:styleId="143">
    <w:name w:val="font61"/>
    <w:basedOn w:val="38"/>
    <w:qFormat/>
    <w:uiPriority w:val="0"/>
    <w:rPr>
      <w:rFonts w:hint="eastAsia" w:ascii="宋体" w:hAnsi="宋体" w:eastAsia="宋体" w:cs="宋体"/>
      <w:b/>
      <w:bCs/>
      <w:color w:val="FE0300"/>
      <w:sz w:val="20"/>
      <w:szCs w:val="20"/>
      <w:u w:val="none"/>
    </w:rPr>
  </w:style>
  <w:style w:type="paragraph" w:customStyle="1" w:styleId="144">
    <w:name w:val="修订3"/>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145">
    <w:name w:val="网格型3"/>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4"/>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header" Target="header4.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4586AD-51B1-450C-9C07-34D0A2BE902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57</Pages>
  <Words>5772</Words>
  <Characters>6365</Characters>
  <Lines>229</Lines>
  <Paragraphs>64</Paragraphs>
  <TotalTime>2</TotalTime>
  <ScaleCrop>false</ScaleCrop>
  <LinksUpToDate>false</LinksUpToDate>
  <CharactersWithSpaces>6570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2023-07-27T04:18:00Z</dcterms:created>
  <dc:creator>ZQNet</dc:creator>
  <cp:lastModifiedBy>赵力</cp:lastModifiedBy>
  <cp:lastPrinted>2022-07-01T03:19:00Z</cp:lastPrinted>
  <dcterms:modified xsi:type="dcterms:W3CDTF">2025-10-29T06:36:50Z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B8E05696E0D340089FB3B02A40FBF70B_13</vt:lpwstr>
  </property>
  <property fmtid="{D5CDD505-2E9C-101B-9397-08002B2CF9AE}" pid="4" name="KSOTemplateDocerSaveRecord">
    <vt:lpwstr>eyJoZGlkIjoiNzdjZDFiM2MwZjFmOWNlYTkxMWM2NzA1OGZiMzY4MmEiLCJ1c2VySWQiOiIzMTUyNjU4NSJ9</vt:lpwstr>
  </property>
</Properties>
</file>