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试制部真空加注机维修改造项目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FSCZB2025100202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highlight w:val="yellow"/>
          <w:u w:val="single"/>
          <w:lang w:val="en-US" w:eastAsia="zh-CN"/>
        </w:rPr>
        <w:t>25</w:t>
      </w:r>
      <w:r>
        <w:rPr>
          <w:rFonts w:hint="eastAsia" w:ascii="宋体" w:hAnsi="宋体"/>
          <w:sz w:val="28"/>
          <w:szCs w:val="28"/>
          <w:u w:val="single"/>
        </w:rPr>
        <w:t>年</w:t>
      </w:r>
      <w:r>
        <w:rPr>
          <w:rFonts w:hint="eastAsia" w:ascii="宋体" w:hAnsi="宋体"/>
          <w:sz w:val="28"/>
          <w:szCs w:val="28"/>
          <w:highlight w:val="yellow"/>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A6E7B1A">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试制部真空加注机维修改造项目招标公告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试制部真空加注机维修改造项目</w:t>
      </w:r>
    </w:p>
    <w:p w14:paraId="15020D03">
      <w:pPr>
        <w:pStyle w:val="73"/>
      </w:pPr>
      <w:r>
        <w:rPr>
          <w:rFonts w:hint="eastAsia"/>
        </w:rPr>
        <w:t>项目编号：</w:t>
      </w:r>
      <w:r>
        <w:rPr>
          <w:rFonts w:hint="eastAsia"/>
          <w:highlight w:val="yellow"/>
        </w:rPr>
        <w:t xml:space="preserve"> FSCZB2025100202</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试制部真空加注机维修改造项目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3B2A600C">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sz w:val="21"/>
          <w:szCs w:val="21"/>
        </w:rPr>
      </w:pPr>
      <w:r>
        <w:rPr>
          <w:rFonts w:hint="eastAsia" w:ascii="宋体" w:hAnsi="宋体" w:eastAsia="宋体" w:cs="宋体"/>
          <w:b/>
          <w:bCs/>
          <w:color w:val="000000"/>
          <w:sz w:val="21"/>
          <w:szCs w:val="21"/>
        </w:rPr>
        <w:t>1</w:t>
      </w:r>
      <w:r>
        <w:rPr>
          <w:rFonts w:hint="eastAsia" w:ascii="宋体" w:hAnsi="宋体" w:eastAsia="宋体" w:cs="宋体"/>
          <w:b/>
          <w:bCs/>
          <w:sz w:val="21"/>
          <w:szCs w:val="21"/>
        </w:rPr>
        <w:t>、公司注册资本不少于</w:t>
      </w:r>
      <w:r>
        <w:rPr>
          <w:rFonts w:hint="eastAsia" w:ascii="宋体" w:hAnsi="宋体" w:eastAsia="宋体" w:cs="宋体"/>
          <w:b/>
          <w:bCs/>
          <w:sz w:val="21"/>
          <w:szCs w:val="21"/>
          <w:lang w:val="en-US" w:eastAsia="zh-CN"/>
        </w:rPr>
        <w:t>3</w:t>
      </w:r>
      <w:r>
        <w:rPr>
          <w:rFonts w:hint="eastAsia" w:ascii="宋体" w:hAnsi="宋体" w:eastAsia="宋体" w:cs="宋体"/>
          <w:b/>
          <w:bCs/>
          <w:sz w:val="21"/>
          <w:szCs w:val="21"/>
          <w:u w:val="single"/>
        </w:rPr>
        <w:t>00</w:t>
      </w:r>
      <w:r>
        <w:rPr>
          <w:rFonts w:hint="eastAsia" w:ascii="宋体" w:hAnsi="宋体" w:eastAsia="宋体" w:cs="宋体"/>
          <w:b/>
          <w:bCs/>
          <w:sz w:val="21"/>
          <w:szCs w:val="21"/>
        </w:rPr>
        <w:t>万元（人民币）；</w:t>
      </w:r>
    </w:p>
    <w:p w14:paraId="67CC22B3">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rPr>
        <w:t>2、</w:t>
      </w:r>
      <w:r>
        <w:rPr>
          <w:rFonts w:hint="eastAsia" w:ascii="宋体" w:hAnsi="宋体" w:eastAsia="宋体" w:cs="宋体"/>
          <w:b/>
          <w:bCs/>
          <w:color w:val="000000"/>
          <w:sz w:val="21"/>
          <w:szCs w:val="21"/>
          <w:lang w:val="en-US" w:eastAsia="zh-CN"/>
        </w:rPr>
        <w:t>公司需成立三年以上，或</w:t>
      </w:r>
      <w:r>
        <w:rPr>
          <w:rFonts w:hint="eastAsia" w:ascii="宋体" w:hAnsi="宋体" w:eastAsia="宋体" w:cs="宋体"/>
          <w:b/>
          <w:bCs/>
          <w:color w:val="000000"/>
          <w:sz w:val="21"/>
          <w:szCs w:val="21"/>
          <w:shd w:val="clear" w:color="auto" w:fill="FCFCFC"/>
        </w:rPr>
        <w:t>有相关工作经历</w:t>
      </w:r>
      <w:r>
        <w:rPr>
          <w:rFonts w:hint="eastAsia" w:ascii="宋体" w:hAnsi="宋体" w:eastAsia="宋体" w:cs="宋体"/>
          <w:b/>
          <w:bCs/>
          <w:color w:val="000000"/>
          <w:sz w:val="21"/>
          <w:szCs w:val="21"/>
          <w:shd w:val="clear" w:color="auto" w:fill="FCFCFC"/>
          <w:lang w:val="en-US" w:eastAsia="zh-CN"/>
        </w:rPr>
        <w:t>和</w:t>
      </w:r>
      <w:r>
        <w:rPr>
          <w:rFonts w:hint="eastAsia" w:ascii="宋体" w:hAnsi="宋体" w:eastAsia="宋体" w:cs="宋体"/>
          <w:b/>
          <w:bCs/>
          <w:color w:val="000000"/>
          <w:sz w:val="21"/>
          <w:szCs w:val="21"/>
          <w:shd w:val="clear" w:color="auto" w:fill="FCFCFC"/>
        </w:rPr>
        <w:t>成功的工程案例；</w:t>
      </w:r>
    </w:p>
    <w:p w14:paraId="35836FAD">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3、在社会上和重汽集团内的其它招标过程中没有不良行为记录；无招标违规、谎报年度报告信息、提供虚假资质资料等行为和行政处罚记录；</w:t>
      </w:r>
    </w:p>
    <w:p w14:paraId="314E7FB5">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4、公司财务良好，经营稳定，有全面履约的能力；供方之间有良好的竞争关系；</w:t>
      </w:r>
    </w:p>
    <w:p w14:paraId="6F44BEB4">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5、</w:t>
      </w:r>
      <w:r>
        <w:rPr>
          <w:rFonts w:hint="eastAsia" w:ascii="宋体" w:hAnsi="宋体" w:eastAsia="宋体" w:cs="宋体"/>
          <w:b/>
          <w:bCs/>
          <w:color w:val="000000"/>
          <w:kern w:val="0"/>
          <w:sz w:val="21"/>
          <w:szCs w:val="21"/>
        </w:rPr>
        <w:t>投标单位应具有良好的商业信誉，没有被处于责令停产、财产被冻结、接管、破产、且财务状况良好。投标单位未在“信用中国”网站（www.creditchina.gov.cn）或各级信用信息共享平台列入失信被执行人名单。</w:t>
      </w:r>
    </w:p>
    <w:p w14:paraId="7F7F81B8">
      <w:pPr>
        <w:pStyle w:val="65"/>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6、投标方的直接或间接股东、法定代表人、董事、监事、高管非重汽员工及其亲属；</w:t>
      </w:r>
    </w:p>
    <w:p w14:paraId="38EB26AE">
      <w:pPr>
        <w:pStyle w:val="65"/>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7、应签订“安全协议书”明确双方安全责任与义务；严禁拍照；</w:t>
      </w:r>
    </w:p>
    <w:p w14:paraId="69C13688">
      <w:pPr>
        <w:keepNext w:val="0"/>
        <w:keepLines w:val="0"/>
        <w:pageBreakBefore w:val="0"/>
        <w:widowControl w:val="0"/>
        <w:kinsoku/>
        <w:wordWrap/>
        <w:overflowPunct/>
        <w:topLinePunct w:val="0"/>
        <w:bidi w:val="0"/>
        <w:adjustRightInd w:val="0"/>
        <w:snapToGrid w:val="0"/>
        <w:spacing w:line="360" w:lineRule="auto"/>
        <w:textAlignment w:val="auto"/>
        <w:rPr>
          <w:highlight w:val="yellow"/>
        </w:rPr>
      </w:pPr>
      <w:r>
        <w:rPr>
          <w:rFonts w:hint="eastAsia" w:ascii="宋体" w:hAnsi="宋体" w:eastAsia="宋体" w:cs="宋体"/>
          <w:b/>
          <w:bCs/>
          <w:sz w:val="21"/>
          <w:szCs w:val="21"/>
        </w:rPr>
        <w:t>8、维修队伍中主要作业人员必须具有</w:t>
      </w:r>
      <w:r>
        <w:rPr>
          <w:rFonts w:hint="eastAsia" w:ascii="宋体" w:hAnsi="宋体" w:eastAsia="宋体" w:cs="宋体"/>
          <w:b/>
          <w:bCs/>
          <w:color w:val="000000"/>
          <w:sz w:val="21"/>
          <w:szCs w:val="21"/>
        </w:rPr>
        <w:t>合规的特种设备作业人员证，主要负责人应持有特种设备安全管理人员证</w:t>
      </w:r>
      <w:r>
        <w:rPr>
          <w:rFonts w:hint="eastAsia" w:ascii="宋体" w:hAnsi="宋体" w:eastAsia="宋体" w:cs="宋体"/>
          <w:b/>
          <w:bCs/>
          <w:sz w:val="21"/>
          <w:szCs w:val="21"/>
        </w:rPr>
        <w:t>；危险作业（登高、动火、临时线等）应经审批后实施。</w:t>
      </w:r>
    </w:p>
    <w:p w14:paraId="76B97D53">
      <w:pPr>
        <w:pStyle w:val="72"/>
        <w:rPr>
          <w:highlight w:val="yellow"/>
        </w:rPr>
      </w:pPr>
      <w:bookmarkStart w:id="6" w:name="_Toc47976591"/>
      <w:r>
        <w:rPr>
          <w:rFonts w:hint="eastAsia"/>
          <w:highlight w:val="yellow"/>
        </w:rPr>
        <w:t>报名及招标文件的获取</w:t>
      </w:r>
      <w:bookmarkEnd w:id="6"/>
    </w:p>
    <w:p w14:paraId="0E06EF19">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7</w:t>
      </w:r>
      <w:r>
        <w:rPr>
          <w:rFonts w:hint="eastAsia" w:hAnsi="宋体" w:cs="宋体"/>
          <w:b/>
          <w:bCs/>
          <w:szCs w:val="21"/>
        </w:rPr>
        <w:t>日下午17点</w:t>
      </w:r>
    </w:p>
    <w:p w14:paraId="6BBCD822">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bookmarkStart w:id="7" w:name="_Toc47976592"/>
      <w:r>
        <w:rPr>
          <w:rFonts w:hint="eastAsia"/>
          <w:highlight w:val="yellow"/>
        </w:rPr>
        <w:t>投标文件的递交</w:t>
      </w:r>
      <w:bookmarkEnd w:id="7"/>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时间：2025年11月</w:t>
      </w:r>
      <w:r>
        <w:rPr>
          <w:rFonts w:hint="eastAsia" w:ascii="宋体" w:hAnsi="宋体" w:eastAsia="宋体" w:cs="宋体"/>
          <w:sz w:val="21"/>
          <w:szCs w:val="21"/>
          <w:highlight w:val="yellow"/>
          <w:lang w:val="en-US" w:eastAsia="zh-CN"/>
        </w:rPr>
        <w:t>26</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bookmarkStart w:id="8" w:name="_Toc47976593"/>
      <w:r>
        <w:rPr>
          <w:rFonts w:hint="eastAsia"/>
        </w:rPr>
        <w:t>招标公告发布媒介</w:t>
      </w:r>
      <w:bookmarkEnd w:id="8"/>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bookmarkStart w:id="9" w:name="_Toc47976594"/>
      <w:r>
        <w:rPr>
          <w:rFonts w:hint="eastAsia"/>
          <w:highlight w:val="yellow"/>
        </w:rPr>
        <w:t>联系方式</w:t>
      </w:r>
      <w:bookmarkEnd w:id="9"/>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李自晗</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电话：18953738595</w:t>
      </w:r>
    </w:p>
    <w:p w14:paraId="5BDF6439">
      <w:pPr>
        <w:pStyle w:val="76"/>
        <w:ind w:firstLine="422" w:firstLineChars="200"/>
      </w:pPr>
      <w:r>
        <w:rPr>
          <w:rFonts w:hint="eastAsia" w:ascii="宋体" w:hAnsi="宋体" w:eastAsia="宋体" w:cs="宋体"/>
          <w:b/>
          <w:bCs/>
          <w:sz w:val="21"/>
          <w:szCs w:val="21"/>
        </w:rPr>
        <w:t>邮箱：</w:t>
      </w:r>
      <w:r>
        <w:rPr>
          <w:rFonts w:hint="eastAsia" w:hAnsi="宋体" w:cs="宋体"/>
          <w:b/>
          <w:bCs/>
          <w:sz w:val="21"/>
          <w:szCs w:val="21"/>
        </w:rPr>
        <w:t>lizihan@sinotruk.com</w:t>
      </w: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29</w:t>
      </w:r>
      <w:r>
        <w:rPr>
          <w:rFonts w:hint="eastAsia"/>
        </w:rPr>
        <w:t>日</w:t>
      </w:r>
    </w:p>
    <w:p w14:paraId="04C96706">
      <w:r>
        <w:br w:type="page"/>
      </w:r>
    </w:p>
    <w:p w14:paraId="417C20D8">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试制部真空加注机维修改造项目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FSCZB2025100202</w:t>
      </w:r>
    </w:p>
    <w:p w14:paraId="1AB00ACC">
      <w:pPr>
        <w:pStyle w:val="76"/>
        <w:numPr>
          <w:ilvl w:val="0"/>
          <w:numId w:val="13"/>
        </w:numPr>
        <w:ind w:left="425" w:leftChars="0" w:hanging="425" w:firstLineChars="0"/>
        <w:rPr>
          <w:rFonts w:hint="eastAsia"/>
          <w:highlight w:val="none"/>
        </w:rPr>
      </w:pPr>
      <w:r>
        <w:rPr>
          <w:rFonts w:hint="eastAsia"/>
        </w:rPr>
        <w:t>招标形式：</w:t>
      </w:r>
      <w:bookmarkStart w:id="13" w:name="_Toc47112482"/>
      <w:r>
        <w:rPr>
          <w:rFonts w:hint="eastAsia"/>
          <w:highlight w:val="yellow"/>
        </w:rPr>
        <w:t>公开招标</w:t>
      </w:r>
    </w:p>
    <w:p w14:paraId="742B3A80">
      <w:pPr>
        <w:pStyle w:val="76"/>
        <w:numPr>
          <w:ilvl w:val="0"/>
          <w:numId w:val="13"/>
        </w:numPr>
        <w:ind w:left="425" w:leftChars="0" w:hanging="425" w:firstLineChars="0"/>
        <w:rPr>
          <w:rFonts w:hint="eastAsia"/>
          <w:highlight w:val="none"/>
        </w:rPr>
      </w:pPr>
      <w:r>
        <w:rPr>
          <w:rFonts w:hint="eastAsia"/>
          <w:lang w:val="en-US" w:eastAsia="zh-CN"/>
        </w:rPr>
        <w:t>项目概况：</w:t>
      </w:r>
      <w:r>
        <w:rPr>
          <w:rFonts w:hint="eastAsia"/>
          <w:highlight w:val="none"/>
        </w:rPr>
        <w:t>试制部搬迁莱芜之初，搬迁总装五部4台真空加注机至试制部试制现场分部进行使用，由于设备使用年限过高（11年和14年设备），设备故障频发，严重影响现场的生产节拍，因此申请对此4台设备进行维修，保证设备正常运行，保证生产。</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18E6F645">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FDC250D">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16D5704">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BED9A4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ED2298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李自晗</w:t>
      </w:r>
    </w:p>
    <w:p w14:paraId="3348315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电话：18953738595</w:t>
      </w:r>
    </w:p>
    <w:p w14:paraId="7DEC9DBE">
      <w:pPr>
        <w:pStyle w:val="76"/>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w:t>
      </w:r>
      <w:r>
        <w:rPr>
          <w:rFonts w:hint="eastAsia" w:hAnsi="宋体" w:cs="宋体"/>
          <w:b/>
          <w:bCs/>
          <w:sz w:val="21"/>
          <w:szCs w:val="21"/>
        </w:rPr>
        <w:t>lizihan@sinotruk.com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13377097">
      <w:pPr>
        <w:pStyle w:val="76"/>
        <w:numPr>
          <w:ilvl w:val="0"/>
          <w:numId w:val="15"/>
        </w:numPr>
        <w:jc w:val="both"/>
      </w:pPr>
      <w:r>
        <w:rPr>
          <w:rFonts w:hint="eastAsia"/>
        </w:rPr>
        <w:t>发标时间：</w:t>
      </w:r>
      <w:r>
        <w:rPr>
          <w:rFonts w:hint="eastAsia"/>
          <w:highlight w:val="yellow"/>
        </w:rPr>
        <w:t>2025年10月</w:t>
      </w:r>
      <w:r>
        <w:rPr>
          <w:rFonts w:hint="eastAsia"/>
          <w:highlight w:val="yellow"/>
          <w:lang w:val="en-US" w:eastAsia="zh-CN"/>
        </w:rPr>
        <w:t>30</w:t>
      </w:r>
      <w:r>
        <w:rPr>
          <w:rFonts w:hint="eastAsia"/>
          <w:highlight w:val="yellow"/>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7</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7</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7</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4F735DCC">
      <w:pPr>
        <w:pStyle w:val="76"/>
        <w:numPr>
          <w:ilvl w:val="0"/>
          <w:numId w:val="15"/>
        </w:numPr>
        <w:ind w:left="425" w:leftChars="0" w:hanging="425" w:firstLineChars="0"/>
        <w:rPr>
          <w:rFonts w:hint="default" w:ascii="宋体" w:hAnsi="Courier New" w:eastAsia="宋体" w:cs="Times New Roman"/>
          <w:highlight w:val="cyan"/>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7</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753D4E99">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投标保证金银行回执；</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2FDFC03D">
      <w:pPr>
        <w:pStyle w:val="75"/>
        <w:numPr>
          <w:ilvl w:val="0"/>
          <w:numId w:val="20"/>
        </w:numPr>
        <w:ind w:left="425" w:leftChars="0" w:hanging="425" w:firstLineChars="0"/>
        <w:rPr>
          <w:b w:val="0"/>
          <w:bCs/>
          <w:highlight w:val="yellow"/>
        </w:rPr>
      </w:pPr>
      <w:r>
        <w:rPr>
          <w:rFonts w:hint="eastAsia" w:cs="Times New Roman"/>
          <w:b w:val="0"/>
          <w:bCs/>
          <w:highlight w:val="yellow"/>
          <w:lang w:val="en-US" w:eastAsia="zh-CN"/>
        </w:rPr>
        <w:t>供方认为需要提交的其他文件</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569BDB82">
      <w:pPr>
        <w:pStyle w:val="75"/>
        <w:numPr>
          <w:ilvl w:val="0"/>
          <w:numId w:val="21"/>
        </w:numPr>
        <w:ind w:left="425" w:leftChars="0" w:hanging="425" w:firstLineChars="0"/>
        <w:rPr>
          <w:b w:val="0"/>
          <w:bCs/>
          <w:highlight w:val="yellow"/>
        </w:rPr>
      </w:pPr>
      <w:r>
        <w:rPr>
          <w:rFonts w:hint="eastAsia"/>
          <w:b w:val="0"/>
          <w:bCs/>
          <w:highlight w:val="yellow"/>
          <w:lang w:val="en-US" w:eastAsia="zh-CN"/>
        </w:rPr>
        <w:t>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7.0353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24B728A5">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default" w:cs="Times New Roman"/>
          <w:b w:val="0"/>
          <w:lang w:val="en-US" w:eastAsia="zh-CN"/>
        </w:rPr>
      </w:pPr>
      <w:r>
        <w:rPr>
          <w:rFonts w:hint="eastAsia"/>
          <w:bCs/>
        </w:rPr>
        <w:t>投标文件递交截止时间：</w:t>
      </w:r>
      <w:r>
        <w:rPr>
          <w:rFonts w:hint="eastAsia"/>
          <w:bCs/>
          <w:highlight w:val="yellow"/>
        </w:rPr>
        <w:t>2025年11月</w:t>
      </w:r>
      <w:r>
        <w:rPr>
          <w:rFonts w:hint="eastAsia"/>
          <w:bCs/>
          <w:highlight w:val="yellow"/>
          <w:lang w:val="en-US" w:eastAsia="zh-CN"/>
        </w:rPr>
        <w:t>26</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66418DCA">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账号：531900051810601</w:t>
      </w:r>
    </w:p>
    <w:p w14:paraId="20A3976A">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户名：中国重汽集团济南卡车股份有限公司</w:t>
      </w:r>
    </w:p>
    <w:p w14:paraId="4DCBE51A">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开户银行：招商银行股份有限公司济南分行营业部</w:t>
      </w:r>
    </w:p>
    <w:p w14:paraId="28691E5D">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联行号：308451028020</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C23A9D6">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2025年11月</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开标时间：2025年11月</w:t>
      </w:r>
      <w:r>
        <w:rPr>
          <w:rFonts w:hint="eastAsia" w:ascii="宋体" w:hAnsi="宋体" w:eastAsia="宋体" w:cs="宋体"/>
          <w:b w:val="0"/>
          <w:bCs w:val="0"/>
          <w:sz w:val="21"/>
          <w:szCs w:val="21"/>
          <w:highlight w:val="yellow"/>
          <w:lang w:val="en-US" w:eastAsia="zh-CN"/>
        </w:rPr>
        <w:t>26</w:t>
      </w:r>
      <w:r>
        <w:rPr>
          <w:rFonts w:hint="eastAsia" w:ascii="宋体" w:hAnsi="宋体" w:eastAsia="宋体" w:cs="宋体"/>
          <w:b w:val="0"/>
          <w:bCs w:val="0"/>
          <w:sz w:val="21"/>
          <w:szCs w:val="21"/>
          <w:highlight w:val="yellow"/>
        </w:rPr>
        <w:t>日9:00:00</w:t>
      </w:r>
    </w:p>
    <w:p w14:paraId="3FE1E09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1A7C6FA9">
      <w:pPr>
        <w:pStyle w:val="72"/>
        <w:numPr>
          <w:ilvl w:val="0"/>
          <w:numId w:val="0"/>
        </w:numPr>
        <w:ind w:left="59" w:leftChars="0"/>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7"/>
      <w:bookmarkStart w:id="18" w:name="OLE_LINK25"/>
      <w:bookmarkStart w:id="19" w:name="OLE_LINK26"/>
      <w:bookmarkStart w:id="20" w:name="OLE_LINK28"/>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45019210">
      <w:pPr>
        <w:pStyle w:val="2"/>
        <w:rPr>
          <w:rFonts w:hint="eastAsia" w:eastAsia="宋体"/>
          <w:lang w:val="en-US" w:eastAsia="zh-CN"/>
        </w:rPr>
      </w:pPr>
      <w:r>
        <w:rPr>
          <w:rFonts w:hint="eastAsia" w:hAnsi="宋体" w:cs="宋体"/>
          <w:b/>
          <w:sz w:val="21"/>
          <w:szCs w:val="21"/>
          <w:lang w:val="en-US" w:eastAsia="zh-CN"/>
        </w:rPr>
        <w:t>6.招标人有权指定招标人的关联单位作为合同签订人，与中标人签署相关合同，且具体权利义务以中标人与招标人的关联公司最终签署的合同为准</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1ABDA94B">
      <w:pPr>
        <w:pStyle w:val="12"/>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9</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的价款。</w:t>
      </w:r>
    </w:p>
    <w:p w14:paraId="3D71FA26">
      <w:pPr>
        <w:pStyle w:val="12"/>
        <w:widowControl/>
        <w:snapToGrid w:val="0"/>
        <w:spacing w:line="36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A 金额为合同总价格100%的增值税发票（适应税率）（正本一份，复印件二份）。</w:t>
      </w:r>
    </w:p>
    <w:p w14:paraId="083340A0">
      <w:pPr>
        <w:pStyle w:val="12"/>
        <w:keepNext w:val="0"/>
        <w:keepLines w:val="0"/>
        <w:pageBreakBefore w:val="0"/>
        <w:widowControl/>
        <w:kinsoku/>
        <w:wordWrap/>
        <w:overflowPunct/>
        <w:topLinePunct w:val="0"/>
        <w:autoSpaceDE/>
        <w:autoSpaceDN/>
        <w:bidi w:val="0"/>
        <w:adjustRightInd/>
        <w:snapToGrid w:val="0"/>
        <w:spacing w:after="0" w:line="36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 该项目经相关机构最终验收、备案证书或资料文件的复印件一式五份。【特殊项目才需要】</w:t>
      </w:r>
    </w:p>
    <w:p w14:paraId="4657E3D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color w:val="auto"/>
          <w:sz w:val="21"/>
          <w:szCs w:val="21"/>
        </w:rPr>
        <w:t>b)剩余合同总金额的约</w:t>
      </w:r>
      <w:r>
        <w:rPr>
          <w:rFonts w:hint="eastAsia" w:ascii="宋体" w:hAnsi="宋体" w:eastAsia="宋体" w:cs="宋体"/>
          <w:color w:val="auto"/>
          <w:sz w:val="21"/>
          <w:szCs w:val="21"/>
          <w:u w:val="single"/>
        </w:rPr>
        <w:t>10%</w:t>
      </w:r>
      <w:r>
        <w:rPr>
          <w:rFonts w:hint="eastAsia" w:ascii="宋体" w:hAnsi="宋体" w:eastAsia="宋体" w:cs="宋体"/>
          <w:color w:val="auto"/>
          <w:sz w:val="21"/>
          <w:szCs w:val="21"/>
        </w:rPr>
        <w:t>作为质量保证金，待该合同标的质量保证期满，经项目招标单位出具证明和必要的手续，委托方在按照规定账期内内支付给承揽方该合同价格的约10%尾款（如有问题，应扣除相应部分款项）。</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21" w:name="_Toc47976607"/>
    </w:p>
    <w:p w14:paraId="243FF35F">
      <w:pPr>
        <w:rPr>
          <w:rFonts w:hint="eastAsia"/>
        </w:rPr>
      </w:pPr>
      <w:r>
        <w:rPr>
          <w:rFonts w:hint="eastAsia"/>
        </w:rPr>
        <w:br w:type="page"/>
      </w:r>
      <w:bookmarkStart w:id="37" w:name="_GoBack"/>
      <w:bookmarkEnd w:id="37"/>
    </w:p>
    <w:p w14:paraId="0E22B492">
      <w:pPr>
        <w:pStyle w:val="71"/>
        <w:jc w:val="both"/>
        <w:rPr>
          <w:rFonts w:hint="eastAsia"/>
        </w:rPr>
      </w:pPr>
    </w:p>
    <w:bookmarkEnd w:id="21"/>
    <w:p w14:paraId="1FB6CA61">
      <w:pPr>
        <w:pStyle w:val="71"/>
        <w:numPr>
          <w:ilvl w:val="0"/>
          <w:numId w:val="29"/>
        </w:numPr>
        <w:jc w:val="center"/>
        <w:rPr>
          <w:rFonts w:hint="eastAsia"/>
          <w:lang w:val="en-US" w:eastAsia="zh-CN"/>
        </w:rPr>
      </w:pPr>
      <w:bookmarkStart w:id="22" w:name="_Toc1910"/>
      <w:r>
        <w:rPr>
          <w:rFonts w:hint="eastAsia"/>
          <w:lang w:val="en-US" w:eastAsia="zh-CN"/>
        </w:rPr>
        <w:t>技术标书</w:t>
      </w:r>
      <w:bookmarkEnd w:id="22"/>
    </w:p>
    <w:p w14:paraId="1BA28143">
      <w:pPr>
        <w:keepNext w:val="0"/>
        <w:keepLines w:val="0"/>
        <w:pageBreakBefore w:val="0"/>
        <w:widowControl w:val="0"/>
        <w:numPr>
          <w:ilvl w:val="0"/>
          <w:numId w:val="30"/>
        </w:numPr>
        <w:kinsoku/>
        <w:wordWrap/>
        <w:overflowPunct/>
        <w:topLinePunct w:val="0"/>
        <w:autoSpaceDE/>
        <w:autoSpaceDN/>
        <w:bidi w:val="0"/>
        <w:adjustRightInd w:val="0"/>
        <w:snapToGrid w:val="0"/>
        <w:spacing w:line="360" w:lineRule="auto"/>
        <w:ind w:firstLine="482" w:firstLineChars="200"/>
        <w:jc w:val="left"/>
        <w:textAlignment w:val="auto"/>
        <w:rPr>
          <w:rFonts w:hint="eastAsia"/>
          <w:b/>
          <w:bCs/>
          <w:sz w:val="24"/>
          <w:szCs w:val="24"/>
          <w:lang w:val="en-US" w:eastAsia="zh-CN"/>
        </w:rPr>
      </w:pPr>
      <w:r>
        <w:rPr>
          <w:rFonts w:hint="eastAsia"/>
          <w:b/>
          <w:bCs/>
          <w:sz w:val="24"/>
          <w:szCs w:val="24"/>
          <w:lang w:val="en-US" w:eastAsia="zh-CN"/>
        </w:rPr>
        <w:t>项目简介：</w:t>
      </w:r>
    </w:p>
    <w:p w14:paraId="61A1FD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试制部搬迁莱芜之初，搬迁总装五部4台真空加注机至试制部试制现场分部进行使用，由于设备使用年限过高（11年和14年设备），设备故障频发，故障表现为：1.抽真空效果不佳；2.设备真空报警；3.真空泵油串液；4.加注机机柜空调不制冷；5.无真空检测功能6.铜管破损；7.回吸开关损坏；8.角座阀老化破损；9.加注枪爪子、密封圈、阀芯、转接头损坏；10.流量传感器失灵；11.电气元件部分老化；12.管路多处破损。</w:t>
      </w:r>
    </w:p>
    <w:p w14:paraId="45404D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严重影响现场的生产节拍，因此申请对此4台设备进行维修和改造升级。</w:t>
      </w:r>
    </w:p>
    <w:p w14:paraId="41BD31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sz w:val="24"/>
          <w:szCs w:val="24"/>
          <w:highlight w:val="none"/>
        </w:rPr>
      </w:pPr>
      <w:r>
        <w:rPr>
          <w:rFonts w:hint="eastAsia" w:ascii="宋体" w:hAnsi="宋体"/>
          <w:sz w:val="24"/>
          <w:szCs w:val="24"/>
          <w:highlight w:val="none"/>
        </w:rPr>
        <w:t>工作制度：全年工作</w:t>
      </w:r>
      <w:r>
        <w:rPr>
          <w:rFonts w:hint="eastAsia" w:ascii="宋体" w:hAnsi="宋体"/>
          <w:sz w:val="24"/>
          <w:szCs w:val="24"/>
          <w:highlight w:val="none"/>
          <w:u w:val="single"/>
        </w:rPr>
        <w:t xml:space="preserve"> 3</w:t>
      </w:r>
      <w:r>
        <w:rPr>
          <w:rFonts w:hint="eastAsia" w:ascii="宋体" w:hAnsi="宋体"/>
          <w:sz w:val="24"/>
          <w:szCs w:val="24"/>
          <w:highlight w:val="none"/>
          <w:u w:val="single"/>
          <w:lang w:val="en-US" w:eastAsia="zh-CN"/>
        </w:rPr>
        <w:t>65</w:t>
      </w:r>
      <w:r>
        <w:rPr>
          <w:rFonts w:hint="eastAsia" w:ascii="宋体" w:hAnsi="宋体"/>
          <w:sz w:val="24"/>
          <w:szCs w:val="24"/>
          <w:highlight w:val="none"/>
          <w:u w:val="single"/>
        </w:rPr>
        <w:t xml:space="preserve"> </w:t>
      </w:r>
      <w:r>
        <w:rPr>
          <w:rFonts w:hint="eastAsia" w:ascii="宋体" w:hAnsi="宋体"/>
          <w:sz w:val="24"/>
          <w:szCs w:val="24"/>
          <w:highlight w:val="none"/>
        </w:rPr>
        <w:t>天、</w:t>
      </w:r>
      <w:r>
        <w:rPr>
          <w:rFonts w:hint="eastAsia" w:ascii="宋体" w:hAnsi="宋体"/>
          <w:sz w:val="24"/>
          <w:szCs w:val="24"/>
          <w:highlight w:val="none"/>
          <w:u w:val="single"/>
        </w:rPr>
        <w:t xml:space="preserve"> 双 </w:t>
      </w:r>
      <w:r>
        <w:rPr>
          <w:rFonts w:hint="eastAsia" w:ascii="宋体" w:hAnsi="宋体"/>
          <w:sz w:val="24"/>
          <w:szCs w:val="24"/>
          <w:highlight w:val="none"/>
        </w:rPr>
        <w:t>班制、</w:t>
      </w:r>
    </w:p>
    <w:p w14:paraId="1AC6DC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bCs/>
          <w:sz w:val="24"/>
          <w:szCs w:val="24"/>
          <w:highlight w:val="none"/>
        </w:rPr>
      </w:pPr>
      <w:r>
        <w:rPr>
          <w:rFonts w:hint="eastAsia" w:ascii="宋体" w:hAnsi="宋体"/>
          <w:sz w:val="24"/>
          <w:szCs w:val="24"/>
          <w:highlight w:val="none"/>
        </w:rPr>
        <w:t>使用环境：</w:t>
      </w:r>
      <w:r>
        <w:rPr>
          <w:rFonts w:hint="eastAsia" w:ascii="宋体" w:hAnsi="宋体"/>
          <w:sz w:val="24"/>
          <w:szCs w:val="24"/>
          <w:highlight w:val="none"/>
          <w:u w:val="single"/>
        </w:rPr>
        <w:t>钢结构厂房</w:t>
      </w:r>
      <w:r>
        <w:rPr>
          <w:rFonts w:hint="eastAsia" w:ascii="宋体" w:hAnsi="宋体"/>
          <w:sz w:val="24"/>
          <w:szCs w:val="24"/>
          <w:highlight w:val="none"/>
          <w:u w:val="single"/>
          <w:lang w:eastAsia="zh-CN"/>
        </w:rPr>
        <w:t>内部</w:t>
      </w:r>
      <w:r>
        <w:rPr>
          <w:rFonts w:hint="eastAsia" w:ascii="宋体" w:hAnsi="宋体"/>
          <w:sz w:val="24"/>
          <w:szCs w:val="24"/>
          <w:highlight w:val="none"/>
          <w:u w:val="single"/>
        </w:rPr>
        <w:t xml:space="preserve"> </w:t>
      </w:r>
    </w:p>
    <w:p w14:paraId="13C04FA1">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ascii="宋体" w:hAnsi="宋体" w:cs="宋体"/>
          <w:bCs/>
          <w:kern w:val="1"/>
          <w:sz w:val="24"/>
          <w:szCs w:val="24"/>
          <w:highlight w:val="none"/>
        </w:rPr>
      </w:pPr>
      <w:r>
        <w:rPr>
          <w:rFonts w:hint="eastAsia" w:ascii="宋体" w:hAnsi="宋体" w:cs="宋体"/>
          <w:bCs/>
          <w:kern w:val="1"/>
          <w:sz w:val="24"/>
          <w:szCs w:val="24"/>
          <w:highlight w:val="none"/>
        </w:rPr>
        <w:t>1）海拔高度：1000m以下；2）环境温度-</w:t>
      </w:r>
      <w:r>
        <w:rPr>
          <w:rFonts w:hint="eastAsia" w:ascii="宋体" w:hAnsi="宋体" w:cs="宋体"/>
          <w:bCs/>
          <w:kern w:val="1"/>
          <w:sz w:val="24"/>
          <w:szCs w:val="24"/>
          <w:highlight w:val="none"/>
          <w:lang w:val="en-US" w:eastAsia="zh-CN"/>
        </w:rPr>
        <w:t>20</w:t>
      </w:r>
      <w:r>
        <w:rPr>
          <w:rFonts w:hint="eastAsia" w:ascii="宋体" w:hAnsi="宋体" w:cs="宋体"/>
          <w:bCs/>
          <w:kern w:val="1"/>
          <w:sz w:val="24"/>
          <w:szCs w:val="24"/>
          <w:highlight w:val="none"/>
        </w:rPr>
        <w:t>--+45℃，最大日温差：25℃；</w:t>
      </w:r>
    </w:p>
    <w:p w14:paraId="6BE44B83">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bCs/>
          <w:kern w:val="1"/>
          <w:sz w:val="24"/>
          <w:szCs w:val="24"/>
          <w:highlight w:val="none"/>
        </w:rPr>
      </w:pPr>
      <w:r>
        <w:rPr>
          <w:rFonts w:hint="eastAsia" w:ascii="宋体" w:hAnsi="宋体" w:cs="宋体"/>
          <w:bCs/>
          <w:kern w:val="1"/>
          <w:sz w:val="24"/>
          <w:szCs w:val="24"/>
          <w:highlight w:val="none"/>
        </w:rPr>
        <w:t xml:space="preserve">3）年平均湿度：59%       </w:t>
      </w:r>
    </w:p>
    <w:p w14:paraId="66D741B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bCs/>
          <w:kern w:val="1"/>
          <w:sz w:val="24"/>
          <w:szCs w:val="24"/>
          <w:highlight w:val="none"/>
        </w:rPr>
      </w:pPr>
      <w:r>
        <w:rPr>
          <w:rFonts w:hint="eastAsia" w:ascii="宋体" w:hAnsi="宋体" w:cs="宋体"/>
          <w:bCs/>
          <w:kern w:val="1"/>
          <w:sz w:val="24"/>
          <w:szCs w:val="24"/>
          <w:highlight w:val="none"/>
        </w:rPr>
        <w:t>4）地震裂度：七度</w:t>
      </w:r>
    </w:p>
    <w:p w14:paraId="52C69C2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cs="宋体"/>
          <w:sz w:val="24"/>
          <w:szCs w:val="24"/>
          <w:highlight w:val="none"/>
          <w:lang w:val="en-US" w:eastAsia="zh-CN"/>
        </w:rPr>
      </w:pPr>
      <w:r>
        <w:rPr>
          <w:rFonts w:hint="eastAsia" w:ascii="宋体" w:hAnsi="宋体" w:cs="宋体"/>
          <w:bCs/>
          <w:kern w:val="1"/>
          <w:sz w:val="24"/>
          <w:szCs w:val="24"/>
          <w:highlight w:val="none"/>
        </w:rPr>
        <w:t>5）使用地点：</w:t>
      </w:r>
      <w:r>
        <w:rPr>
          <w:rFonts w:hint="eastAsia" w:ascii="宋体" w:hAnsi="宋体" w:cs="宋体"/>
          <w:sz w:val="24"/>
          <w:szCs w:val="24"/>
          <w:highlight w:val="none"/>
        </w:rPr>
        <w:t>济南卡车股份有限公司</w:t>
      </w:r>
      <w:r>
        <w:rPr>
          <w:rFonts w:hint="eastAsia" w:ascii="宋体" w:hAnsi="宋体" w:cs="宋体"/>
          <w:sz w:val="24"/>
          <w:szCs w:val="24"/>
          <w:highlight w:val="none"/>
          <w:lang w:val="en-US" w:eastAsia="zh-CN"/>
        </w:rPr>
        <w:t>莱芜、党家厂区</w:t>
      </w:r>
    </w:p>
    <w:p w14:paraId="10351FAA">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sz w:val="24"/>
          <w:szCs w:val="24"/>
          <w:lang w:val="en-US" w:eastAsia="zh-CN"/>
        </w:rPr>
      </w:pPr>
      <w:r>
        <w:rPr>
          <w:rFonts w:hint="eastAsia" w:ascii="宋体" w:hAnsi="宋体" w:cs="宋体"/>
          <w:bCs/>
          <w:kern w:val="1"/>
          <w:sz w:val="24"/>
          <w:szCs w:val="24"/>
          <w:highlight w:val="none"/>
        </w:rPr>
        <w:t>6）电源：符合中国制式，供电电压：380V±15%，供电频率50HZ±2%</w:t>
      </w:r>
    </w:p>
    <w:p w14:paraId="425496F2">
      <w:pPr>
        <w:numPr>
          <w:ilvl w:val="0"/>
          <w:numId w:val="0"/>
        </w:numPr>
        <w:spacing w:line="360" w:lineRule="auto"/>
        <w:ind w:left="240" w:left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rPr>
        <w:t>项目内容：</w:t>
      </w:r>
    </w:p>
    <w:p w14:paraId="2F9C3481">
      <w:pPr>
        <w:numPr>
          <w:ilvl w:val="0"/>
          <w:numId w:val="0"/>
        </w:numPr>
        <w:spacing w:line="360" w:lineRule="auto"/>
        <w:ind w:left="2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为了保障试制车间4台加注机正常运行、满足试制车间生产需要。现需对四台加注设备进行维修改造，更换老化配件。</w:t>
      </w:r>
    </w:p>
    <w:p w14:paraId="6FD6C4F7">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drawing>
          <wp:anchor distT="0" distB="0" distL="114300" distR="114300" simplePos="0" relativeHeight="251660288" behindDoc="0" locked="0" layoutInCell="1" allowOverlap="1">
            <wp:simplePos x="0" y="0"/>
            <wp:positionH relativeFrom="column">
              <wp:posOffset>8255</wp:posOffset>
            </wp:positionH>
            <wp:positionV relativeFrom="paragraph">
              <wp:posOffset>112395</wp:posOffset>
            </wp:positionV>
            <wp:extent cx="5272405" cy="1705610"/>
            <wp:effectExtent l="0" t="0" r="10795"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2405" cy="1705610"/>
                    </a:xfrm>
                    <a:prstGeom prst="rect">
                      <a:avLst/>
                    </a:prstGeom>
                    <a:noFill/>
                    <a:ln>
                      <a:noFill/>
                    </a:ln>
                  </pic:spPr>
                </pic:pic>
              </a:graphicData>
            </a:graphic>
          </wp:anchor>
        </w:drawing>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技术标准:</w:t>
      </w:r>
    </w:p>
    <w:p w14:paraId="2E2779E0">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JJF (津) 5003-2024《汽车制造专用加注机校准规范》</w:t>
      </w:r>
    </w:p>
    <w:p w14:paraId="43479762">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GB/T 5226.1-2019《机械电气安全 机械电气设备 第 1 部分：通用技术条件》GB/T 14194-2017《压缩气体气瓶充装规定》</w:t>
      </w:r>
    </w:p>
    <w:p w14:paraId="4EFDBE37">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 5083-2008《生产设备安全卫生设计总则》</w:t>
      </w:r>
    </w:p>
    <w:p w14:paraId="4FDB1DAF">
      <w:pPr>
        <w:pStyle w:val="65"/>
        <w:snapToGrid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GB 50156-2021《汽车加油加气加氢站技术标准</w:t>
      </w:r>
      <w:r>
        <w:rPr>
          <w:rFonts w:hint="eastAsia" w:ascii="宋体" w:hAnsi="宋体" w:eastAsia="宋体" w:cs="宋体"/>
          <w:sz w:val="24"/>
          <w:szCs w:val="24"/>
          <w:highlight w:val="none"/>
          <w:lang w:eastAsia="zh-CN"/>
        </w:rPr>
        <w:t>》</w:t>
      </w:r>
    </w:p>
    <w:p w14:paraId="6DB4687F">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 50169-2016《电气装置安装工程 接地装置施工及验收规范》</w:t>
      </w:r>
    </w:p>
    <w:p w14:paraId="62B60944">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GB/T 21205-2022《旋转电机 修理、检修和修复》</w:t>
      </w:r>
    </w:p>
    <w:p w14:paraId="4C5C6E88">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JT/T 1548—2025《新能源汽车售后维修服务能力技术要求》（交通运输部行业标准</w:t>
      </w:r>
    </w:p>
    <w:p w14:paraId="16B565B3">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QC/T 413-2002《汽车电气设备基本技术条件》</w:t>
      </w:r>
    </w:p>
    <w:p w14:paraId="7DEE5220">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IPC-7711/7721C-AM1《电子组件的返工、修改和维修》</w:t>
      </w:r>
    </w:p>
    <w:p w14:paraId="1D8935EE">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 3836.13-2013《爆炸性环境 第 13 部分：设备的修理、检修、修复和改造》</w:t>
      </w:r>
    </w:p>
    <w:p w14:paraId="467BA7DA">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GB/T 18384-2020《电动汽车安全要求》</w:t>
      </w:r>
    </w:p>
    <w:p w14:paraId="3E8077FE">
      <w:pPr>
        <w:pStyle w:val="65"/>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ISO 13849-1:2015《机械安全 控制系统安全相关部件 第 1 部分：设计通则》</w:t>
      </w:r>
    </w:p>
    <w:p w14:paraId="2175C78D">
      <w:pPr>
        <w:pStyle w:val="65"/>
        <w:numPr>
          <w:ilvl w:val="0"/>
          <w:numId w:val="0"/>
        </w:numPr>
        <w:snapToGrid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通用安全要求：</w:t>
      </w:r>
    </w:p>
    <w:p w14:paraId="06BC0B7D">
      <w:pPr>
        <w:numPr>
          <w:ilvl w:val="0"/>
          <w:numId w:val="31"/>
        </w:numPr>
        <w:autoSpaceDE w:val="0"/>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投标单位施工前须提供详细的安全施工措施并经招标方认可，签订《安全协议》；</w:t>
      </w:r>
    </w:p>
    <w:p w14:paraId="2AE0E3D1">
      <w:pPr>
        <w:pStyle w:val="12"/>
        <w:numPr>
          <w:ilvl w:val="0"/>
          <w:numId w:val="31"/>
        </w:numPr>
        <w:snapToGrid w:val="0"/>
        <w:spacing w:after="0"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投标单位对</w:t>
      </w:r>
      <w:r>
        <w:rPr>
          <w:rFonts w:hint="eastAsia" w:ascii="宋体" w:hAnsi="宋体" w:eastAsia="宋体" w:cs="宋体"/>
          <w:bCs/>
          <w:sz w:val="24"/>
          <w:szCs w:val="24"/>
          <w:highlight w:val="none"/>
          <w:lang w:val="en-US" w:eastAsia="zh-CN"/>
        </w:rPr>
        <w:t>加注机设备</w:t>
      </w:r>
      <w:r>
        <w:rPr>
          <w:rFonts w:hint="eastAsia" w:ascii="宋体" w:hAnsi="宋体" w:eastAsia="宋体" w:cs="宋体"/>
          <w:bCs/>
          <w:sz w:val="24"/>
          <w:szCs w:val="24"/>
          <w:highlight w:val="none"/>
        </w:rPr>
        <w:t>的</w:t>
      </w:r>
      <w:r>
        <w:rPr>
          <w:rFonts w:hint="eastAsia" w:ascii="宋体" w:hAnsi="宋体" w:eastAsia="宋体" w:cs="宋体"/>
          <w:bCs/>
          <w:sz w:val="24"/>
          <w:szCs w:val="24"/>
          <w:highlight w:val="none"/>
          <w:lang w:val="en-US" w:eastAsia="zh-CN"/>
        </w:rPr>
        <w:t>改造</w:t>
      </w:r>
      <w:r>
        <w:rPr>
          <w:rFonts w:hint="eastAsia" w:ascii="宋体" w:hAnsi="宋体" w:eastAsia="宋体" w:cs="宋体"/>
          <w:bCs/>
          <w:sz w:val="24"/>
          <w:szCs w:val="24"/>
          <w:highlight w:val="none"/>
        </w:rPr>
        <w:t>和</w:t>
      </w:r>
      <w:r>
        <w:rPr>
          <w:rFonts w:hint="eastAsia" w:ascii="宋体" w:hAnsi="宋体" w:eastAsia="宋体" w:cs="宋体"/>
          <w:bCs/>
          <w:sz w:val="24"/>
          <w:szCs w:val="24"/>
          <w:highlight w:val="none"/>
          <w:lang w:val="en-US" w:eastAsia="zh-CN"/>
        </w:rPr>
        <w:t>维修</w:t>
      </w:r>
      <w:r>
        <w:rPr>
          <w:rFonts w:hint="eastAsia" w:ascii="宋体" w:hAnsi="宋体" w:eastAsia="宋体" w:cs="宋体"/>
          <w:bCs/>
          <w:sz w:val="24"/>
          <w:szCs w:val="24"/>
          <w:highlight w:val="none"/>
        </w:rPr>
        <w:t>必须严格遵循或高于所涉及的中国国家标准、行业标准执行及招标方相关规范和企业标准；</w:t>
      </w:r>
    </w:p>
    <w:p w14:paraId="5F512998">
      <w:pPr>
        <w:pStyle w:val="65"/>
        <w:numPr>
          <w:ilvl w:val="0"/>
          <w:numId w:val="31"/>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投标单位在整个项目过程中必须严格执行招标方及国家相关安全、消防等法律、法规；</w:t>
      </w:r>
    </w:p>
    <w:p w14:paraId="015031B6">
      <w:pPr>
        <w:pStyle w:val="65"/>
        <w:numPr>
          <w:ilvl w:val="0"/>
          <w:numId w:val="31"/>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进入现场所有的特种工必须持有操作资格证（如电工、焊工、高空作业证、有限空间作业证等）；</w:t>
      </w:r>
    </w:p>
    <w:p w14:paraId="5B73F296">
      <w:pPr>
        <w:pStyle w:val="65"/>
        <w:numPr>
          <w:ilvl w:val="0"/>
          <w:numId w:val="31"/>
        </w:numPr>
        <w:snapToGrid w:val="0"/>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保证生产及安全，需采用隔栏或围墙的形式将施工区域与生产区域隔开，</w:t>
      </w:r>
      <w:r>
        <w:rPr>
          <w:rFonts w:hint="eastAsia" w:ascii="宋体" w:hAnsi="宋体" w:eastAsia="宋体" w:cs="宋体"/>
          <w:sz w:val="24"/>
          <w:szCs w:val="24"/>
          <w:highlight w:val="none"/>
          <w:shd w:val="clear" w:color="auto" w:fill="FCFCFC"/>
        </w:rPr>
        <w:t>可靠封闭，防止围栏带电、倒塌，防止无关人员进入，并设专人值守，下班后与现场值班人员做好安全交底。</w:t>
      </w:r>
      <w:r>
        <w:rPr>
          <w:rFonts w:hint="eastAsia" w:ascii="宋体" w:hAnsi="宋体" w:eastAsia="宋体" w:cs="宋体"/>
          <w:sz w:val="24"/>
          <w:szCs w:val="24"/>
          <w:highlight w:val="none"/>
        </w:rPr>
        <w:t>不能影响生产；</w:t>
      </w:r>
    </w:p>
    <w:p w14:paraId="7F6767C1">
      <w:pPr>
        <w:pStyle w:val="65"/>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r>
        <w:rPr>
          <w:rFonts w:hint="eastAsia" w:ascii="宋体" w:hAnsi="宋体" w:eastAsia="宋体" w:cs="宋体"/>
          <w:sz w:val="24"/>
          <w:szCs w:val="24"/>
          <w:highlight w:val="none"/>
        </w:rPr>
        <w:t>施工前</w:t>
      </w:r>
      <w:r>
        <w:rPr>
          <w:rFonts w:hint="eastAsia" w:ascii="宋体" w:hAnsi="宋体" w:eastAsia="宋体" w:cs="宋体"/>
          <w:bCs/>
          <w:sz w:val="24"/>
          <w:szCs w:val="24"/>
          <w:highlight w:val="none"/>
        </w:rPr>
        <w:t>进入现场，需按要求办理出入证件，</w:t>
      </w:r>
      <w:r>
        <w:rPr>
          <w:rFonts w:hint="eastAsia" w:ascii="宋体" w:hAnsi="宋体" w:eastAsia="宋体" w:cs="宋体"/>
          <w:sz w:val="24"/>
          <w:szCs w:val="24"/>
          <w:highlight w:val="none"/>
          <w:shd w:val="clear" w:color="auto" w:fill="FCFCFC"/>
        </w:rPr>
        <w:t>进场施工人员相对固定，</w:t>
      </w:r>
      <w:r>
        <w:rPr>
          <w:rFonts w:hint="eastAsia" w:ascii="宋体" w:hAnsi="宋体" w:eastAsia="宋体" w:cs="宋体"/>
          <w:bCs/>
          <w:sz w:val="24"/>
          <w:szCs w:val="24"/>
          <w:highlight w:val="none"/>
        </w:rPr>
        <w:t>招标方协助相关证件的办理；须提供安全施工技术方案；</w:t>
      </w:r>
    </w:p>
    <w:p w14:paraId="61A638BE">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7、所有进入现场的人员必须穿戴合适的劳保用品，例如劳保鞋、安全帽、带侧面保护的眼镜等，并对现场施工做安全标识、警示标识；</w:t>
      </w:r>
    </w:p>
    <w:p w14:paraId="1C3E625E">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8、高处作业施工人员，严禁投掷物料，并做安全标识，做好防高处坠落、物体打击、防触电、防机械伤害的各项安全防护工作；</w:t>
      </w:r>
    </w:p>
    <w:p w14:paraId="59ACE4DB">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9、</w:t>
      </w:r>
      <w:r>
        <w:rPr>
          <w:rFonts w:hint="eastAsia" w:ascii="宋体" w:hAnsi="宋体" w:eastAsia="宋体" w:cs="宋体"/>
          <w:bCs/>
          <w:sz w:val="24"/>
          <w:szCs w:val="24"/>
          <w:highlight w:val="none"/>
        </w:rPr>
        <w:t>现场的各种安全防护设施，未经招标方批准，任何人不准随意拆改；</w:t>
      </w:r>
    </w:p>
    <w:p w14:paraId="7D3CD372">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Cs/>
          <w:sz w:val="24"/>
          <w:szCs w:val="24"/>
          <w:highlight w:val="none"/>
        </w:rPr>
        <w:t>设备的安全与环保要求必须符合国家标准，在运转过程中应保证安全、可靠，无漏电、漏气现象；</w:t>
      </w:r>
    </w:p>
    <w:p w14:paraId="67B23077">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11、</w:t>
      </w:r>
      <w:r>
        <w:rPr>
          <w:rFonts w:hint="eastAsia" w:ascii="宋体" w:hAnsi="宋体" w:eastAsia="宋体" w:cs="宋体"/>
          <w:bCs/>
          <w:sz w:val="24"/>
          <w:szCs w:val="24"/>
          <w:highlight w:val="none"/>
        </w:rPr>
        <w:t>现场施工时，必须严格遵守招标方制定的安全、防火规定和其它规章制度，遵守国家各项安全制度，并制订安全预案，文明施工，如因投标单位施工不遵守规章制度而造成的各种损失由投标单位负全责；</w:t>
      </w:r>
    </w:p>
    <w:p w14:paraId="017BB89A">
      <w:pPr>
        <w:spacing w:line="360" w:lineRule="auto"/>
        <w:rPr>
          <w:rFonts w:hint="eastAsia" w:ascii="宋体" w:hAnsi="宋体" w:eastAsia="宋体" w:cs="宋体"/>
          <w:kern w:val="0"/>
          <w:sz w:val="24"/>
          <w:szCs w:val="24"/>
          <w:highlight w:val="none"/>
        </w:rPr>
      </w:pPr>
      <w:r>
        <w:rPr>
          <w:rFonts w:hint="eastAsia" w:ascii="宋体" w:hAnsi="宋体" w:eastAsia="宋体" w:cs="宋体"/>
          <w:bCs/>
          <w:sz w:val="24"/>
          <w:szCs w:val="24"/>
          <w:highlight w:val="none"/>
        </w:rPr>
        <w:t>12、</w:t>
      </w:r>
      <w:r>
        <w:rPr>
          <w:rFonts w:hint="eastAsia" w:ascii="宋体" w:hAnsi="宋体" w:eastAsia="宋体" w:cs="宋体"/>
          <w:sz w:val="24"/>
          <w:szCs w:val="24"/>
          <w:highlight w:val="none"/>
        </w:rPr>
        <w:t>在进入厂房前，所有的车辆，包括起重机、叉车、运营车、运输车辆等达到安全使用标准，须听从招标方指挥。</w:t>
      </w:r>
    </w:p>
    <w:p w14:paraId="34E3E3EF">
      <w:pPr>
        <w:pStyle w:val="12"/>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施工基本要求：</w:t>
      </w:r>
    </w:p>
    <w:p w14:paraId="007026A9">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1、施工方须按招标方指定的时间、地点</w:t>
      </w:r>
      <w:r>
        <w:rPr>
          <w:rFonts w:hint="eastAsia" w:ascii="宋体" w:hAnsi="宋体" w:eastAsia="宋体" w:cs="宋体"/>
          <w:sz w:val="24"/>
          <w:szCs w:val="24"/>
          <w:highlight w:val="none"/>
          <w:lang w:val="en-US" w:eastAsia="zh-CN"/>
        </w:rPr>
        <w:t>进行安装、更换、维修</w:t>
      </w:r>
      <w:r>
        <w:rPr>
          <w:rFonts w:hint="eastAsia" w:ascii="宋体" w:hAnsi="宋体" w:eastAsia="宋体" w:cs="宋体"/>
          <w:sz w:val="24"/>
          <w:szCs w:val="24"/>
          <w:highlight w:val="none"/>
        </w:rPr>
        <w:t>。</w:t>
      </w:r>
    </w:p>
    <w:p w14:paraId="55273716">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2、根据设备设施工作状况、脏污程度及设备所处的环境温度确定合理完善的施工方案。</w:t>
      </w:r>
    </w:p>
    <w:p w14:paraId="7A9E9748">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3、检修维护前后双方需视频记录或拍照留存，作为项目开展的实际工作及项目验收依据之一。</w:t>
      </w:r>
    </w:p>
    <w:p w14:paraId="0BFE730D">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4、施工方检修维护完毕后，需清理现场产生的垃圾并负责合规处置。</w:t>
      </w:r>
    </w:p>
    <w:p w14:paraId="21D69E92">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5、施工方应严格按照相关规范操作并遵守卡车公司相关规章制度，切记佩戴好个人防护措施，安全作业。</w:t>
      </w:r>
    </w:p>
    <w:p w14:paraId="78FF4A54">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6、在维护过程中、后，由于施工方维护不当造成招标方设备、零部件损坏的、人员受伤等，由施工方承担由此造成的损失并负全部责任。</w:t>
      </w:r>
    </w:p>
    <w:p w14:paraId="71C48DE5">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7、施工过程必须设施安全警示标识，施工人员必须经过安全技术交底，且技能素质必须符合规定要求，取得相关带电作业资质，持证上岗。</w:t>
      </w:r>
    </w:p>
    <w:p w14:paraId="698F8EDB">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8、在维修施工过程中，如发现问题及时汇报。</w:t>
      </w:r>
    </w:p>
    <w:p w14:paraId="17F2DA12">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9、如因施工方产品质量问题或施工方违反安全规定、操作失误而发生的事故，一切责任由施工方承担。如因施工方安全措施不利造成事故的责任和因此发生的一切费用均由施工方承担；</w:t>
      </w:r>
    </w:p>
    <w:p w14:paraId="372696F1">
      <w:pPr>
        <w:spacing w:line="240" w:lineRule="auto"/>
        <w:ind w:firstLine="0" w:firstLineChars="0"/>
        <w:jc w:val="left"/>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六、按照招标方的时间要求，完成以下维修工作内容：</w:t>
      </w:r>
    </w:p>
    <w:p w14:paraId="40A6DD6A">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1、四台加注机维修：</w:t>
      </w:r>
    </w:p>
    <w:p w14:paraId="52946205">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 试制车间南线。对四台加注机进行检查，分别为冷媒加注机、防冻液加注机、转向油加注机、举升油加注机。</w:t>
      </w:r>
    </w:p>
    <w:p w14:paraId="66A2E7F2">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 （1）检修内部管路及各个阀门解决因为渗漏导致真空度不达标</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（2）增加真空灌并检修原有的真空灌更换内部滤芯解决真空泵进液问题</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（3）更换控制柜中机柜空调解决调整温度无效问题</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（4）更换加注机内部破损角座阀提高真空度</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（5）增加一套转接头（6种）</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（6）更换老化电磁阀</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（7）更换老化隔离变压器</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（8）更换老化电器件、开关电源、熔断器等</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（9）更换设备内部所有铜管路</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（10）更换冷媒快插接头</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（11）更换套管及补液管</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（12）更换举升泵油加注机转接头。</w:t>
      </w:r>
    </w:p>
    <w:p w14:paraId="600FDD93">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2、冷媒加注机改造：更换专用冷媒加注泵并编写PLC程序。</w:t>
      </w:r>
    </w:p>
    <w:p w14:paraId="5A1110D3">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3、维修后需满足的要求:</w:t>
      </w:r>
    </w:p>
    <w:p w14:paraId="09586059">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 真空度</w:t>
      </w:r>
    </w:p>
    <w:p w14:paraId="2ACD043D">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动转液真空加注机≤10； 防冻液真空加注机≤20； 冷媒真空加注机≤15 ；举升油真空加注机≤10；</w:t>
      </w:r>
    </w:p>
    <w:p w14:paraId="0DB5A53E">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 设备精度</w:t>
      </w:r>
    </w:p>
    <w:p w14:paraId="08D33918">
      <w:pPr>
        <w:spacing w:line="360" w:lineRule="auto"/>
        <w:ind w:firstLine="360" w:firstLineChars="15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动转液真空加注机≤±20ML 防冻液真空加注机≤±0.5% 冷媒真空加注机≤±5g 举升油真空加注机≤±10ML</w:t>
      </w:r>
    </w:p>
    <w:p w14:paraId="1FFAF061">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3.3 空调</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空调功率满足真空加注机温度调节要求</w:t>
      </w:r>
      <w:r>
        <w:rPr>
          <w:rFonts w:hint="eastAsia" w:ascii="宋体" w:hAnsi="宋体" w:cs="宋体"/>
          <w:sz w:val="24"/>
          <w:szCs w:val="24"/>
          <w:highlight w:val="none"/>
          <w:lang w:val="en-US" w:eastAsia="zh-CN"/>
        </w:rPr>
        <w:t>。</w:t>
      </w:r>
    </w:p>
    <w:p w14:paraId="55E54AC2">
      <w:r>
        <w:br w:type="page"/>
      </w:r>
    </w:p>
    <w:p w14:paraId="532E4C71">
      <w:pPr>
        <w:pStyle w:val="76"/>
      </w:pPr>
    </w:p>
    <w:p w14:paraId="5871DF53">
      <w:pPr>
        <w:pStyle w:val="71"/>
      </w:pPr>
      <w:bookmarkStart w:id="23" w:name="_Toc47976609"/>
      <w:bookmarkStart w:id="24" w:name="_Toc20595"/>
      <w:r>
        <w:rPr>
          <w:rFonts w:hint="eastAsia"/>
        </w:rPr>
        <w:t>第三部分　合同主要条款</w:t>
      </w:r>
      <w:bookmarkEnd w:id="23"/>
      <w:bookmarkEnd w:id="24"/>
    </w:p>
    <w:p w14:paraId="23914DBE">
      <w:pPr>
        <w:pStyle w:val="72"/>
        <w:numPr>
          <w:ilvl w:val="0"/>
          <w:numId w:val="32"/>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lang w:val="en-US" w:eastAsia="zh-CN"/>
        </w:rPr>
        <w:t>投标文件附件</w:t>
      </w:r>
      <w:bookmarkEnd w:id="31"/>
    </w:p>
    <w:p w14:paraId="600DE1DD">
      <w:pPr>
        <w:pStyle w:val="71"/>
        <w:jc w:val="left"/>
        <w:rPr>
          <w:rFonts w:hint="eastAsia" w:ascii="宋体" w:hAnsi="宋体" w:eastAsia="宋体" w:cs="宋体"/>
          <w:sz w:val="32"/>
          <w:szCs w:val="32"/>
          <w:highlight w:val="yellow"/>
          <w:lang w:eastAsia="zh-CN"/>
        </w:rPr>
      </w:pPr>
      <w:bookmarkStart w:id="32" w:name="_Toc4225"/>
      <w:bookmarkStart w:id="33" w:name="_Toc47976616"/>
      <w:r>
        <w:rPr>
          <w:rFonts w:hint="eastAsia" w:ascii="宋体" w:hAnsi="宋体" w:eastAsia="宋体" w:cs="宋体"/>
          <w:sz w:val="32"/>
          <w:szCs w:val="32"/>
          <w:highlight w:val="yellow"/>
        </w:rPr>
        <w:t>附件</w:t>
      </w:r>
      <w:bookmarkEnd w:id="32"/>
      <w:bookmarkEnd w:id="3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4" w:name="_Toc47976618"/>
      <w:bookmarkStart w:id="35" w:name="_Toc29366865"/>
      <w:bookmarkStart w:id="36" w:name="_Toc29366869"/>
      <w:r>
        <w:rPr>
          <w:rFonts w:hint="eastAsia" w:ascii="宋体" w:hAnsi="宋体" w:eastAsia="宋体" w:cs="宋体"/>
          <w:sz w:val="32"/>
          <w:szCs w:val="32"/>
          <w:highlight w:val="yellow"/>
          <w:lang w:val="en-US" w:eastAsia="zh-CN"/>
        </w:rPr>
        <w:t>附件2</w:t>
      </w:r>
    </w:p>
    <w:bookmarkEnd w:id="3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2"/>
      </w:pPr>
    </w:p>
    <w:p w14:paraId="3A5DEF51">
      <w:pPr>
        <w:spacing w:line="360" w:lineRule="auto"/>
        <w:rPr>
          <w:rFonts w:ascii="宋体" w:hAnsi="宋体" w:cs="宋体"/>
          <w:sz w:val="24"/>
          <w:szCs w:val="21"/>
        </w:rPr>
      </w:pPr>
    </w:p>
    <w:bookmarkEnd w:id="35"/>
    <w:bookmarkEnd w:id="3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2"/>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2"/>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23E75332">
      <w:pPr>
        <w:pStyle w:val="76"/>
        <w:rPr>
          <w:rFonts w:hint="eastAsia" w:ascii="宋体" w:hAnsi="宋体" w:eastAsia="宋体" w:cs="宋体"/>
          <w:b/>
          <w:bCs/>
          <w:kern w:val="2"/>
          <w:sz w:val="32"/>
          <w:szCs w:val="32"/>
          <w:lang w:val="en-US" w:eastAsia="zh-CN" w:bidi="ar-SA"/>
        </w:rPr>
      </w:pPr>
    </w:p>
    <w:p w14:paraId="3E97F0A1">
      <w:pPr>
        <w:pStyle w:val="72"/>
        <w:numPr>
          <w:ilvl w:val="0"/>
          <w:numId w:val="0"/>
        </w:numPr>
        <w:ind w:leftChars="0"/>
        <w:jc w:val="both"/>
        <w:rPr>
          <w:rFonts w:hint="eastAsia" w:ascii="宋体" w:hAnsi="宋体" w:cs="宋体"/>
          <w:b/>
          <w:bCs/>
          <w:sz w:val="36"/>
          <w:szCs w:val="36"/>
          <w:lang w:val="en-US" w:eastAsia="zh-CN"/>
        </w:rPr>
      </w:pPr>
      <w:r>
        <w:rPr>
          <w:rFonts w:hint="eastAsia" w:ascii="宋体" w:hAnsi="宋体" w:eastAsia="宋体" w:cs="宋体"/>
          <w:sz w:val="32"/>
          <w:szCs w:val="32"/>
          <w:highlight w:val="yellow"/>
          <w:lang w:val="en-US" w:eastAsia="zh-CN"/>
        </w:rPr>
        <w:t>附件4</w:t>
      </w:r>
      <w:r>
        <w:rPr>
          <w:rFonts w:hint="eastAsia" w:ascii="宋体" w:hAnsi="宋体" w:eastAsia="宋体" w:cs="宋体"/>
          <w:sz w:val="32"/>
          <w:szCs w:val="32"/>
          <w:highlight w:val="none"/>
          <w:lang w:val="en-US" w:eastAsia="zh-CN"/>
        </w:rPr>
        <w:t xml:space="preserve">                  </w:t>
      </w:r>
      <w:r>
        <w:rPr>
          <w:rFonts w:hint="eastAsia" w:ascii="宋体" w:hAnsi="宋体" w:cs="宋体"/>
          <w:b/>
          <w:bCs/>
          <w:sz w:val="36"/>
          <w:szCs w:val="36"/>
          <w:lang w:val="en-US" w:eastAsia="zh-CN"/>
        </w:rPr>
        <w:t>分项报价表</w:t>
      </w:r>
    </w:p>
    <w:p w14:paraId="786F25DC">
      <w:pPr>
        <w:keepNext w:val="0"/>
        <w:keepLines w:val="0"/>
        <w:pageBreakBefore w:val="0"/>
        <w:kinsoku/>
        <w:wordWrap/>
        <w:overflowPunct/>
        <w:topLinePunct w:val="0"/>
        <w:autoSpaceDE/>
        <w:autoSpaceDN/>
        <w:bidi w:val="0"/>
        <w:adjustRightInd/>
        <w:snapToGrid w:val="0"/>
        <w:spacing w:line="360" w:lineRule="auto"/>
        <w:ind w:firstLine="630" w:firstLineChars="300"/>
        <w:rPr>
          <w:rFonts w:hint="default"/>
          <w:lang w:val="en-US" w:eastAsia="zh-CN"/>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tbl>
      <w:tblPr>
        <w:tblStyle w:val="30"/>
        <w:tblW w:w="958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7"/>
        <w:gridCol w:w="1353"/>
        <w:gridCol w:w="1249"/>
        <w:gridCol w:w="1025"/>
        <w:gridCol w:w="742"/>
        <w:gridCol w:w="804"/>
        <w:gridCol w:w="850"/>
        <w:gridCol w:w="1560"/>
        <w:gridCol w:w="1225"/>
      </w:tblGrid>
      <w:tr w14:paraId="697E0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58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174FC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材料部分</w:t>
            </w:r>
          </w:p>
        </w:tc>
      </w:tr>
      <w:tr w14:paraId="72935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2B1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066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材料名称</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22A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规格型号</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D35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品牌</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7EA9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214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318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314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r>
              <w:rPr>
                <w:rFonts w:hint="default" w:ascii="等线" w:hAnsi="等线" w:eastAsia="等线" w:cs="等线"/>
                <w:b/>
                <w:bCs/>
                <w:i w:val="0"/>
                <w:iCs w:val="0"/>
                <w:color w:val="000000"/>
                <w:kern w:val="0"/>
                <w:sz w:val="22"/>
                <w:szCs w:val="22"/>
                <w:u w:val="none"/>
                <w:lang w:val="en-US" w:eastAsia="zh-CN" w:bidi="ar"/>
              </w:rPr>
              <w:t>（不含税）</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E2DA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18F20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52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A0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内外部管路</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10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非标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A4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国标优质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C2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8E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08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eastAsiaTheme="minorEastAsia" w:cstheme="minorEastAsia"/>
                <w:i w:val="0"/>
                <w:iCs w:val="0"/>
                <w:color w:val="000000"/>
                <w:sz w:val="24"/>
                <w:szCs w:val="24"/>
                <w:u w:val="none"/>
                <w:lang w:val="en-US" w:eastAsia="zh-CN"/>
              </w:rPr>
              <w:t>套</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50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DB08">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17495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0D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9A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不锈钢真空罐</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F6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5L</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BE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国标优质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FA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22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461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D0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65C1">
            <w:pPr>
              <w:jc w:val="center"/>
              <w:rPr>
                <w:rFonts w:hint="eastAsia" w:asciiTheme="minorEastAsia" w:hAnsiTheme="minorEastAsia" w:eastAsiaTheme="minorEastAsia" w:cstheme="minorEastAsia"/>
                <w:i w:val="0"/>
                <w:iCs w:val="0"/>
                <w:color w:val="000000"/>
                <w:sz w:val="24"/>
                <w:szCs w:val="24"/>
                <w:u w:val="none"/>
              </w:rPr>
            </w:pPr>
          </w:p>
        </w:tc>
      </w:tr>
      <w:tr w14:paraId="71C5D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5DE5">
            <w:pPr>
              <w:keepNext w:val="0"/>
              <w:keepLines w:val="0"/>
              <w:widowControl/>
              <w:suppressLineNumbers w:val="0"/>
              <w:jc w:val="center"/>
              <w:textAlignment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3F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机柜空调</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E3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LA-03B-H</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BE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雷博</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6A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60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67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A4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5F902">
            <w:pPr>
              <w:jc w:val="center"/>
              <w:rPr>
                <w:rFonts w:hint="eastAsia" w:asciiTheme="minorEastAsia" w:hAnsiTheme="minorEastAsia" w:eastAsiaTheme="minorEastAsia" w:cstheme="minorEastAsia"/>
                <w:i w:val="0"/>
                <w:iCs w:val="0"/>
                <w:color w:val="000000"/>
                <w:sz w:val="24"/>
                <w:szCs w:val="24"/>
                <w:u w:val="none"/>
              </w:rPr>
            </w:pPr>
          </w:p>
        </w:tc>
      </w:tr>
      <w:tr w14:paraId="56059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47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4</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F5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光电传感器</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D3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HPQ-D23</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D7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山武</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5D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8D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3AD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88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1BEE">
            <w:pPr>
              <w:jc w:val="center"/>
              <w:rPr>
                <w:rFonts w:hint="eastAsia" w:asciiTheme="minorEastAsia" w:hAnsiTheme="minorEastAsia" w:eastAsiaTheme="minorEastAsia" w:cstheme="minorEastAsia"/>
                <w:i w:val="0"/>
                <w:iCs w:val="0"/>
                <w:color w:val="000000"/>
                <w:sz w:val="24"/>
                <w:szCs w:val="24"/>
                <w:u w:val="none"/>
              </w:rPr>
            </w:pPr>
          </w:p>
        </w:tc>
      </w:tr>
      <w:tr w14:paraId="09889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D5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5</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94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角座阀</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D6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DN15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E5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海菲勒</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1C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B6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2EF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14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2930">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6304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A1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6</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09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防冻液转接头(各配30个密封垫）</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D1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非标定制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4F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国标优质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5C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C7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24B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1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0E7E">
            <w:pPr>
              <w:jc w:val="center"/>
              <w:rPr>
                <w:rFonts w:hint="eastAsia" w:asciiTheme="minorEastAsia" w:hAnsiTheme="minorEastAsia" w:eastAsiaTheme="minorEastAsia" w:cstheme="minorEastAsia"/>
                <w:i w:val="0"/>
                <w:iCs w:val="0"/>
                <w:color w:val="000000"/>
                <w:sz w:val="24"/>
                <w:szCs w:val="24"/>
                <w:u w:val="none"/>
              </w:rPr>
            </w:pPr>
          </w:p>
        </w:tc>
      </w:tr>
      <w:tr w14:paraId="51806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74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7</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E9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隔离变压器</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C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JBK5-630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58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九川</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F1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74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E9F5">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7A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5E4A">
            <w:pPr>
              <w:jc w:val="center"/>
              <w:rPr>
                <w:rFonts w:hint="eastAsia" w:asciiTheme="minorEastAsia" w:hAnsiTheme="minorEastAsia" w:eastAsiaTheme="minorEastAsia" w:cstheme="minorEastAsia"/>
                <w:i w:val="0"/>
                <w:iCs w:val="0"/>
                <w:color w:val="000000"/>
                <w:sz w:val="24"/>
                <w:szCs w:val="24"/>
                <w:u w:val="none"/>
              </w:rPr>
            </w:pPr>
          </w:p>
        </w:tc>
      </w:tr>
      <w:tr w14:paraId="6225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BE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8</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99D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冷媒加注泵</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C9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59015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B8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HASKEL</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71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8E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E36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90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52C6">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0974C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EB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9</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D55E">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举升泵转接头</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74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非标定制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29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国标优质</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7A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33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E222">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2F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163E">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0F348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E1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10</w:t>
            </w:r>
          </w:p>
        </w:tc>
        <w:tc>
          <w:tcPr>
            <w:tcW w:w="13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00A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改造维修用耗材，辅材</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8EB4">
            <w:pPr>
              <w:jc w:val="center"/>
              <w:rPr>
                <w:rFonts w:hint="eastAsia" w:asciiTheme="minorEastAsia" w:hAnsiTheme="minorEastAsia" w:eastAsiaTheme="minorEastAsia" w:cstheme="minorEastAsia"/>
                <w:i w:val="0"/>
                <w:iCs w:val="0"/>
                <w:color w:val="000000"/>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EBBE">
            <w:pPr>
              <w:jc w:val="center"/>
              <w:rPr>
                <w:rFonts w:hint="eastAsia" w:asciiTheme="minorEastAsia" w:hAnsiTheme="minorEastAsia" w:eastAsiaTheme="minorEastAsia" w:cstheme="minorEastAsia"/>
                <w:i w:val="0"/>
                <w:iCs w:val="0"/>
                <w:color w:val="000000"/>
                <w:sz w:val="24"/>
                <w:szCs w:val="24"/>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24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37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232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24"/>
                <w:szCs w:val="24"/>
                <w:u w:val="none"/>
                <w:lang w:val="en-US" w:eastAsia="zh-CN"/>
              </w:rPr>
            </w:pPr>
            <w:r>
              <w:rPr>
                <w:rFonts w:hint="eastAsia" w:asciiTheme="minorEastAsia" w:hAnsiTheme="minorEastAsia" w:cstheme="minorEastAsia"/>
                <w:i w:val="0"/>
                <w:iCs w:val="0"/>
                <w:color w:val="000000"/>
                <w:sz w:val="24"/>
                <w:szCs w:val="24"/>
                <w:u w:val="none"/>
                <w:lang w:val="en-US" w:eastAsia="zh-CN"/>
              </w:rPr>
              <w:t>项</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C3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EDB9">
            <w:pPr>
              <w:jc w:val="center"/>
              <w:rPr>
                <w:rFonts w:hint="eastAsia" w:asciiTheme="minorEastAsia" w:hAnsiTheme="minorEastAsia" w:eastAsiaTheme="minorEastAsia" w:cstheme="minorEastAsia"/>
                <w:i w:val="0"/>
                <w:iCs w:val="0"/>
                <w:color w:val="000000"/>
                <w:sz w:val="24"/>
                <w:szCs w:val="24"/>
                <w:u w:val="none"/>
                <w:lang w:val="en-US" w:eastAsia="zh-CN"/>
              </w:rPr>
            </w:pPr>
          </w:p>
        </w:tc>
      </w:tr>
      <w:tr w14:paraId="516F2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9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8AFC6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小计</w:t>
            </w:r>
          </w:p>
        </w:tc>
        <w:tc>
          <w:tcPr>
            <w:tcW w:w="850" w:type="dxa"/>
            <w:tcBorders>
              <w:top w:val="single" w:color="000000" w:sz="4" w:space="0"/>
              <w:left w:val="nil"/>
              <w:bottom w:val="single" w:color="000000" w:sz="4" w:space="0"/>
              <w:right w:val="single" w:color="000000" w:sz="4" w:space="0"/>
            </w:tcBorders>
            <w:shd w:val="clear" w:color="auto" w:fill="auto"/>
            <w:vAlign w:val="center"/>
          </w:tcPr>
          <w:p w14:paraId="58EEDFB3">
            <w:pPr>
              <w:jc w:val="center"/>
              <w:rPr>
                <w:rFonts w:hint="eastAsia" w:ascii="仿宋" w:hAnsi="仿宋" w:eastAsia="仿宋" w:cs="仿宋"/>
                <w:b/>
                <w:bCs/>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5653">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eastAsia="zh-CN"/>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7572">
            <w:pPr>
              <w:jc w:val="center"/>
              <w:rPr>
                <w:rFonts w:hint="eastAsia" w:ascii="仿宋" w:hAnsi="仿宋" w:eastAsia="仿宋" w:cs="仿宋"/>
                <w:b/>
                <w:bCs/>
                <w:i w:val="0"/>
                <w:iCs w:val="0"/>
                <w:color w:val="000000"/>
                <w:sz w:val="24"/>
                <w:szCs w:val="24"/>
                <w:u w:val="none"/>
              </w:rPr>
            </w:pPr>
          </w:p>
        </w:tc>
      </w:tr>
      <w:tr w14:paraId="43BF8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58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17EBF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其他费用</w:t>
            </w:r>
          </w:p>
        </w:tc>
      </w:tr>
      <w:tr w14:paraId="147C5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603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3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58726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C5F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4C9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28D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627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r>
              <w:rPr>
                <w:rFonts w:hint="default" w:ascii="等线" w:hAnsi="等线" w:eastAsia="等线" w:cs="等线"/>
                <w:b/>
                <w:bCs/>
                <w:i w:val="0"/>
                <w:iCs w:val="0"/>
                <w:color w:val="000000"/>
                <w:kern w:val="0"/>
                <w:sz w:val="22"/>
                <w:szCs w:val="22"/>
                <w:u w:val="none"/>
                <w:lang w:val="en-US" w:eastAsia="zh-CN" w:bidi="ar"/>
              </w:rPr>
              <w:t>（不含税）</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E0A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3B35E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AE21">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w:t>
            </w:r>
          </w:p>
        </w:tc>
        <w:tc>
          <w:tcPr>
            <w:tcW w:w="3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5EB9D">
            <w:pPr>
              <w:jc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人工5人4天</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EF9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lang w:val="en-US"/>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37D04">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3C3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人/天</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67A1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kern w:val="2"/>
                <w:sz w:val="20"/>
                <w:szCs w:val="20"/>
                <w:u w:val="none"/>
                <w:lang w:val="en-US" w:eastAsia="zh-CN" w:bidi="ar-SA"/>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68B1">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r>
      <w:tr w14:paraId="0C3E2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498B">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2</w:t>
            </w:r>
          </w:p>
        </w:tc>
        <w:tc>
          <w:tcPr>
            <w:tcW w:w="3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342BFC">
            <w:pPr>
              <w:jc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修PLC程序</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7FEB">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2FB16">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E1E5">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项</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692D">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F09A">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r>
      <w:tr w14:paraId="281A1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FCE6">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3</w:t>
            </w:r>
          </w:p>
        </w:tc>
        <w:tc>
          <w:tcPr>
            <w:tcW w:w="36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BA8761">
            <w:pPr>
              <w:jc w:val="center"/>
              <w:rPr>
                <w:rFonts w:hint="eastAsia" w:asciiTheme="minorEastAsia" w:hAnsiTheme="minorEastAsia" w:eastAsiaTheme="minorEastAsia" w:cstheme="minorEastAsia"/>
                <w:b w:val="0"/>
                <w:bCs w:val="0"/>
                <w:i w:val="0"/>
                <w:iCs w:val="0"/>
                <w:color w:val="000000"/>
                <w:sz w:val="24"/>
                <w:szCs w:val="24"/>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运输费</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7F1E">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F1F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B6AB">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E27A">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0A95">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r>
      <w:tr w14:paraId="44BA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77" w:type="dxa"/>
            <w:tcBorders>
              <w:top w:val="single" w:color="000000" w:sz="4" w:space="0"/>
              <w:left w:val="single" w:color="000000" w:sz="4" w:space="0"/>
              <w:bottom w:val="single" w:color="auto" w:sz="4" w:space="0"/>
              <w:right w:val="single" w:color="000000" w:sz="4" w:space="0"/>
            </w:tcBorders>
            <w:shd w:val="clear" w:color="auto" w:fill="auto"/>
            <w:vAlign w:val="center"/>
          </w:tcPr>
          <w:p w14:paraId="1C9A9C2F">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4</w:t>
            </w:r>
          </w:p>
        </w:tc>
        <w:tc>
          <w:tcPr>
            <w:tcW w:w="3627"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3758CFA1">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r>
              <w:rPr>
                <w:rFonts w:hint="eastAsia" w:asciiTheme="minorEastAsia" w:hAnsiTheme="minorEastAsia" w:eastAsiaTheme="minorEastAsia" w:cstheme="minorEastAsia"/>
                <w:b w:val="0"/>
                <w:bCs w:val="0"/>
                <w:i w:val="0"/>
                <w:iCs w:val="0"/>
                <w:color w:val="000000"/>
                <w:sz w:val="24"/>
                <w:szCs w:val="24"/>
                <w:u w:val="none"/>
                <w:lang w:val="en-US" w:eastAsia="zh-CN"/>
              </w:rPr>
              <w:t>其他费用</w:t>
            </w:r>
          </w:p>
        </w:tc>
        <w:tc>
          <w:tcPr>
            <w:tcW w:w="742" w:type="dxa"/>
            <w:tcBorders>
              <w:top w:val="single" w:color="000000" w:sz="4" w:space="0"/>
              <w:left w:val="single" w:color="000000" w:sz="4" w:space="0"/>
              <w:bottom w:val="single" w:color="auto" w:sz="4" w:space="0"/>
              <w:right w:val="single" w:color="000000" w:sz="4" w:space="0"/>
            </w:tcBorders>
            <w:shd w:val="clear" w:color="auto" w:fill="auto"/>
            <w:vAlign w:val="center"/>
          </w:tcPr>
          <w:p w14:paraId="16C320FE">
            <w:pPr>
              <w:jc w:val="center"/>
              <w:rPr>
                <w:rFonts w:hint="eastAsia" w:asciiTheme="minorEastAsia" w:hAnsiTheme="minorEastAsia" w:eastAsiaTheme="minorEastAsia" w:cstheme="minorEastAsia"/>
                <w:b w:val="0"/>
                <w:bCs w:val="0"/>
                <w:i w:val="0"/>
                <w:iCs w:val="0"/>
                <w:color w:val="000000"/>
                <w:sz w:val="24"/>
                <w:szCs w:val="24"/>
                <w:u w:val="none"/>
              </w:rPr>
            </w:pPr>
          </w:p>
        </w:tc>
        <w:tc>
          <w:tcPr>
            <w:tcW w:w="804" w:type="dxa"/>
            <w:tcBorders>
              <w:top w:val="single" w:color="000000" w:sz="4" w:space="0"/>
              <w:left w:val="single" w:color="000000" w:sz="4" w:space="0"/>
              <w:bottom w:val="single" w:color="auto" w:sz="4" w:space="0"/>
              <w:right w:val="single" w:color="000000" w:sz="4" w:space="0"/>
            </w:tcBorders>
            <w:shd w:val="clear" w:color="auto" w:fill="auto"/>
            <w:vAlign w:val="center"/>
          </w:tcPr>
          <w:p w14:paraId="5D008D3F">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000000"/>
                <w:sz w:val="24"/>
                <w:szCs w:val="24"/>
                <w:u w:val="none"/>
              </w:rPr>
            </w:pPr>
          </w:p>
        </w:tc>
        <w:tc>
          <w:tcPr>
            <w:tcW w:w="850" w:type="dxa"/>
            <w:tcBorders>
              <w:top w:val="single" w:color="000000" w:sz="4" w:space="0"/>
              <w:left w:val="single" w:color="000000" w:sz="4" w:space="0"/>
              <w:bottom w:val="single" w:color="auto" w:sz="4" w:space="0"/>
              <w:right w:val="single" w:color="000000" w:sz="4" w:space="0"/>
            </w:tcBorders>
            <w:shd w:val="clear" w:color="auto" w:fill="auto"/>
            <w:noWrap/>
            <w:vAlign w:val="bottom"/>
          </w:tcPr>
          <w:p w14:paraId="7884433A">
            <w:pPr>
              <w:keepNext w:val="0"/>
              <w:keepLines w:val="0"/>
              <w:widowControl/>
              <w:suppressLineNumbers w:val="0"/>
              <w:jc w:val="center"/>
              <w:textAlignment w:val="bottom"/>
              <w:rPr>
                <w:rFonts w:hint="eastAsia" w:asciiTheme="minorEastAsia" w:hAnsiTheme="minorEastAsia" w:eastAsiaTheme="minorEastAsia" w:cstheme="minorEastAsia"/>
                <w:b w:val="0"/>
                <w:bCs w:val="0"/>
                <w:i w:val="0"/>
                <w:iCs w:val="0"/>
                <w:color w:val="000000"/>
                <w:sz w:val="24"/>
                <w:szCs w:val="24"/>
                <w:u w:val="none"/>
              </w:rPr>
            </w:pPr>
          </w:p>
        </w:tc>
        <w:tc>
          <w:tcPr>
            <w:tcW w:w="1560" w:type="dxa"/>
            <w:tcBorders>
              <w:top w:val="single" w:color="000000" w:sz="4" w:space="0"/>
              <w:left w:val="single" w:color="000000" w:sz="4" w:space="0"/>
              <w:bottom w:val="single" w:color="auto" w:sz="4" w:space="0"/>
              <w:right w:val="single" w:color="000000" w:sz="4" w:space="0"/>
            </w:tcBorders>
            <w:shd w:val="clear" w:color="auto" w:fill="auto"/>
            <w:vAlign w:val="center"/>
          </w:tcPr>
          <w:p w14:paraId="26284C3A">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c>
          <w:tcPr>
            <w:tcW w:w="122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7F4423">
            <w:pPr>
              <w:jc w:val="center"/>
              <w:rPr>
                <w:rFonts w:hint="eastAsia" w:asciiTheme="minorEastAsia" w:hAnsiTheme="minorEastAsia" w:eastAsiaTheme="minorEastAsia" w:cstheme="minorEastAsia"/>
                <w:b w:val="0"/>
                <w:bCs w:val="0"/>
                <w:i w:val="0"/>
                <w:iCs w:val="0"/>
                <w:color w:val="000000"/>
                <w:sz w:val="24"/>
                <w:szCs w:val="24"/>
                <w:u w:val="none"/>
                <w:lang w:val="en-US" w:eastAsia="zh-CN"/>
              </w:rPr>
            </w:pPr>
          </w:p>
        </w:tc>
      </w:tr>
      <w:tr w14:paraId="3C01A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6E4F3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i w:val="0"/>
                <w:iCs w:val="0"/>
                <w:color w:val="000000"/>
                <w:sz w:val="24"/>
                <w:szCs w:val="24"/>
                <w:u w:val="none"/>
              </w:rPr>
            </w:pPr>
            <w:r>
              <w:rPr>
                <w:rFonts w:hint="eastAsia" w:ascii="宋体" w:hAnsi="宋体" w:eastAsia="宋体" w:cs="宋体"/>
                <w:b/>
                <w:bCs/>
                <w:i w:val="0"/>
                <w:iCs w:val="0"/>
                <w:color w:val="000000"/>
                <w:kern w:val="0"/>
                <w:sz w:val="20"/>
                <w:szCs w:val="20"/>
                <w:u w:val="none"/>
                <w:lang w:val="en-US" w:eastAsia="zh-CN" w:bidi="ar"/>
              </w:rPr>
              <w:t>合计未税价格</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2CA1AB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i w:val="0"/>
                <w:iCs w:val="0"/>
                <w:color w:val="000000"/>
                <w:sz w:val="24"/>
                <w:szCs w:val="24"/>
                <w:u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5066FBA">
            <w:pPr>
              <w:jc w:val="center"/>
              <w:rPr>
                <w:rFonts w:hint="default" w:ascii="仿宋" w:hAnsi="仿宋" w:eastAsia="仿宋" w:cs="仿宋"/>
                <w:b/>
                <w:bCs/>
                <w:i w:val="0"/>
                <w:iCs w:val="0"/>
                <w:color w:val="000000"/>
                <w:sz w:val="24"/>
                <w:szCs w:val="24"/>
                <w:u w:val="none"/>
                <w:lang w:val="en-US" w:eastAsia="zh-CN"/>
              </w:rPr>
            </w:pP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4E9E1A0C">
            <w:pPr>
              <w:jc w:val="center"/>
              <w:rPr>
                <w:rFonts w:hint="eastAsia" w:ascii="仿宋" w:hAnsi="仿宋" w:eastAsia="仿宋" w:cs="仿宋"/>
                <w:i w:val="0"/>
                <w:iCs w:val="0"/>
                <w:color w:val="000000"/>
                <w:sz w:val="24"/>
                <w:szCs w:val="24"/>
                <w:u w:val="none"/>
              </w:rPr>
            </w:pPr>
          </w:p>
        </w:tc>
      </w:tr>
      <w:tr w14:paraId="2C8D1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E5A89D">
            <w:pPr>
              <w:keepNext w:val="0"/>
              <w:keepLines w:val="0"/>
              <w:widowControl/>
              <w:suppressLineNumbers w:val="0"/>
              <w:spacing w:before="0" w:beforeAutospacing="0" w:after="0" w:afterAutospacing="0"/>
              <w:ind w:left="0" w:leftChars="0" w:right="0" w:rightChars="0"/>
              <w:jc w:val="center"/>
              <w:textAlignment w:val="center"/>
              <w:rPr>
                <w:rFonts w:hint="default" w:ascii="等线" w:hAnsi="等线" w:eastAsia="等线" w:cs="等线"/>
                <w:b/>
                <w:bCs/>
                <w:i w:val="0"/>
                <w:iCs w:val="0"/>
                <w:color w:val="000000"/>
                <w:sz w:val="22"/>
                <w:szCs w:val="22"/>
                <w:u w:val="none"/>
              </w:rPr>
            </w:pPr>
            <w:r>
              <w:rPr>
                <w:rFonts w:hint="eastAsia" w:ascii="宋体" w:hAnsi="宋体" w:eastAsia="宋体" w:cs="宋体"/>
                <w:b/>
                <w:bCs/>
                <w:i w:val="0"/>
                <w:iCs w:val="0"/>
                <w:color w:val="000000"/>
                <w:kern w:val="0"/>
                <w:sz w:val="20"/>
                <w:szCs w:val="20"/>
                <w:u w:val="none"/>
                <w:lang w:val="en-US" w:eastAsia="zh-CN" w:bidi="ar"/>
              </w:rPr>
              <w:t>税额（税率****%）</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CD3505B">
            <w:pPr>
              <w:keepNext w:val="0"/>
              <w:keepLines w:val="0"/>
              <w:widowControl/>
              <w:suppressLineNumbers w:val="0"/>
              <w:spacing w:before="0" w:beforeAutospacing="0" w:after="0" w:afterAutospacing="0"/>
              <w:ind w:left="0" w:leftChars="0" w:right="0" w:rightChars="0"/>
              <w:jc w:val="center"/>
              <w:textAlignment w:val="center"/>
              <w:rPr>
                <w:rFonts w:hint="default" w:ascii="等线" w:hAnsi="等线" w:eastAsia="等线" w:cs="等线"/>
                <w:b/>
                <w:bCs/>
                <w:i w:val="0"/>
                <w:iCs w:val="0"/>
                <w:color w:val="000000"/>
                <w:sz w:val="22"/>
                <w:szCs w:val="22"/>
                <w:u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72D5F38">
            <w:pPr>
              <w:jc w:val="center"/>
              <w:rPr>
                <w:rFonts w:hint="default" w:ascii="等线" w:hAnsi="等线" w:eastAsia="等线" w:cs="等线"/>
                <w:b/>
                <w:bCs/>
                <w:i w:val="0"/>
                <w:iCs w:val="0"/>
                <w:color w:val="000000"/>
                <w:sz w:val="22"/>
                <w:szCs w:val="22"/>
                <w:u w:val="none"/>
                <w:lang w:val="en-US" w:eastAsia="zh-CN"/>
              </w:rPr>
            </w:pP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209B4A6F">
            <w:pPr>
              <w:jc w:val="center"/>
              <w:rPr>
                <w:rFonts w:hint="default" w:ascii="等线" w:hAnsi="等线" w:eastAsia="等线" w:cs="等线"/>
                <w:b/>
                <w:bCs/>
                <w:i w:val="0"/>
                <w:iCs w:val="0"/>
                <w:color w:val="000000"/>
                <w:sz w:val="22"/>
                <w:szCs w:val="22"/>
                <w:u w:val="none"/>
              </w:rPr>
            </w:pPr>
          </w:p>
        </w:tc>
      </w:tr>
      <w:tr w14:paraId="5C82D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9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4331C89">
            <w:pPr>
              <w:keepNext w:val="0"/>
              <w:keepLines w:val="0"/>
              <w:widowControl/>
              <w:suppressLineNumbers w:val="0"/>
              <w:spacing w:before="0" w:beforeAutospacing="0" w:after="0" w:afterAutospacing="0"/>
              <w:ind w:left="0" w:leftChars="0" w:right="0" w:rightChars="0"/>
              <w:jc w:val="center"/>
              <w:textAlignment w:val="center"/>
              <w:rPr>
                <w:rFonts w:hint="default" w:ascii="等线" w:hAnsi="等线" w:eastAsia="等线" w:cs="等线"/>
                <w:b/>
                <w:bCs/>
                <w:i w:val="0"/>
                <w:iCs w:val="0"/>
                <w:color w:val="000000"/>
                <w:sz w:val="22"/>
                <w:szCs w:val="22"/>
                <w:u w:val="none"/>
              </w:rPr>
            </w:pPr>
            <w:r>
              <w:rPr>
                <w:rFonts w:hint="eastAsia" w:ascii="宋体" w:hAnsi="宋体" w:eastAsia="宋体" w:cs="宋体"/>
                <w:b/>
                <w:bCs/>
                <w:i w:val="0"/>
                <w:iCs w:val="0"/>
                <w:color w:val="000000"/>
                <w:kern w:val="0"/>
                <w:sz w:val="20"/>
                <w:szCs w:val="20"/>
                <w:u w:val="none"/>
                <w:lang w:val="en-US" w:eastAsia="zh-CN" w:bidi="ar"/>
              </w:rPr>
              <w:t>合计含税价格大写人民币：元</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7C5E7F8">
            <w:pPr>
              <w:keepNext w:val="0"/>
              <w:keepLines w:val="0"/>
              <w:widowControl/>
              <w:suppressLineNumbers w:val="0"/>
              <w:spacing w:before="0" w:beforeAutospacing="0" w:after="0" w:afterAutospacing="0"/>
              <w:ind w:left="0" w:leftChars="0" w:right="0" w:rightChars="0"/>
              <w:jc w:val="center"/>
              <w:textAlignment w:val="center"/>
              <w:rPr>
                <w:rFonts w:hint="default" w:ascii="等线" w:hAnsi="等线" w:eastAsia="等线" w:cs="等线"/>
                <w:b/>
                <w:bCs/>
                <w:i w:val="0"/>
                <w:iCs w:val="0"/>
                <w:color w:val="000000"/>
                <w:sz w:val="22"/>
                <w:szCs w:val="22"/>
                <w:u w:val="none"/>
              </w:rPr>
            </w:pPr>
          </w:p>
        </w:tc>
        <w:tc>
          <w:tcPr>
            <w:tcW w:w="1560" w:type="dxa"/>
            <w:tcBorders>
              <w:top w:val="single" w:color="auto" w:sz="4" w:space="0"/>
              <w:left w:val="single" w:color="auto" w:sz="4" w:space="0"/>
              <w:bottom w:val="single" w:color="auto" w:sz="4" w:space="0"/>
              <w:right w:val="single" w:color="auto" w:sz="4" w:space="0"/>
            </w:tcBorders>
            <w:shd w:val="clear" w:color="auto" w:fill="auto"/>
          </w:tcPr>
          <w:p w14:paraId="10D6250D">
            <w:pPr>
              <w:jc w:val="center"/>
              <w:rPr>
                <w:rFonts w:hint="default" w:ascii="等线" w:hAnsi="等线" w:eastAsia="等线" w:cs="等线"/>
                <w:b/>
                <w:bCs/>
                <w:i w:val="0"/>
                <w:iCs w:val="0"/>
                <w:color w:val="000000"/>
                <w:sz w:val="22"/>
                <w:szCs w:val="22"/>
                <w:u w:val="none"/>
                <w:lang w:val="en-US" w:eastAsia="zh-CN"/>
              </w:rPr>
            </w:pPr>
          </w:p>
        </w:tc>
        <w:tc>
          <w:tcPr>
            <w:tcW w:w="1225" w:type="dxa"/>
            <w:tcBorders>
              <w:top w:val="single" w:color="auto" w:sz="4" w:space="0"/>
              <w:left w:val="single" w:color="auto" w:sz="4" w:space="0"/>
              <w:bottom w:val="single" w:color="auto" w:sz="4" w:space="0"/>
              <w:right w:val="single" w:color="auto" w:sz="4" w:space="0"/>
            </w:tcBorders>
            <w:shd w:val="clear" w:color="auto" w:fill="auto"/>
          </w:tcPr>
          <w:p w14:paraId="68BAB3C7">
            <w:pPr>
              <w:jc w:val="center"/>
              <w:rPr>
                <w:rFonts w:hint="default" w:ascii="等线" w:hAnsi="等线" w:eastAsia="等线" w:cs="等线"/>
                <w:b/>
                <w:bCs/>
                <w:i w:val="0"/>
                <w:iCs w:val="0"/>
                <w:color w:val="000000"/>
                <w:sz w:val="22"/>
                <w:szCs w:val="22"/>
                <w:u w:val="none"/>
              </w:rPr>
            </w:pPr>
          </w:p>
        </w:tc>
      </w:tr>
    </w:tbl>
    <w:p w14:paraId="4095D1E7">
      <w:pPr>
        <w:jc w:val="left"/>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ascii="宋体" w:hAnsi="宋体" w:cs="宋体"/>
          <w:b/>
          <w:bCs/>
          <w:kern w:val="2"/>
          <w:sz w:val="32"/>
          <w:szCs w:val="32"/>
          <w:lang w:val="en-US" w:eastAsia="zh-CN" w:bidi="ar-SA"/>
        </w:rPr>
        <w:t>5</w:t>
      </w:r>
    </w:p>
    <w:p w14:paraId="17AEAF51">
      <w:pPr>
        <w:jc w:val="center"/>
        <w:rPr>
          <w:rFonts w:eastAsia="黑体"/>
          <w:sz w:val="28"/>
        </w:rPr>
      </w:pPr>
      <w:r>
        <w:rPr>
          <w:rFonts w:hint="eastAsia" w:eastAsia="黑体"/>
          <w:sz w:val="28"/>
        </w:rPr>
        <w:t>技术规格偏离表</w:t>
      </w:r>
    </w:p>
    <w:p w14:paraId="44F7BB29">
      <w:pPr>
        <w:rPr>
          <w:rFonts w:ascii="宋体" w:hAnsi="宋体"/>
          <w:szCs w:val="21"/>
        </w:rPr>
      </w:pPr>
    </w:p>
    <w:p w14:paraId="6E0B7FED">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A33611C">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929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094C7A1D">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30843AE7">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34B10C9B">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0913697E">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5F4660A9">
            <w:pPr>
              <w:jc w:val="center"/>
              <w:rPr>
                <w:rFonts w:ascii="宋体" w:hAnsi="宋体"/>
                <w:kern w:val="0"/>
                <w:sz w:val="20"/>
                <w:szCs w:val="21"/>
              </w:rPr>
            </w:pPr>
            <w:r>
              <w:rPr>
                <w:rFonts w:hint="eastAsia" w:ascii="宋体" w:hAnsi="宋体"/>
                <w:kern w:val="0"/>
                <w:sz w:val="20"/>
                <w:szCs w:val="21"/>
              </w:rPr>
              <w:t>说明</w:t>
            </w:r>
          </w:p>
        </w:tc>
      </w:tr>
      <w:tr w14:paraId="7263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31F8BB">
            <w:pPr>
              <w:jc w:val="center"/>
              <w:rPr>
                <w:rFonts w:ascii="宋体" w:hAnsi="宋体"/>
                <w:kern w:val="0"/>
                <w:sz w:val="20"/>
                <w:szCs w:val="21"/>
              </w:rPr>
            </w:pPr>
          </w:p>
        </w:tc>
        <w:tc>
          <w:tcPr>
            <w:tcW w:w="2175" w:type="dxa"/>
            <w:vAlign w:val="center"/>
          </w:tcPr>
          <w:p w14:paraId="3EA98759">
            <w:pPr>
              <w:jc w:val="center"/>
              <w:rPr>
                <w:rFonts w:ascii="宋体" w:hAnsi="宋体"/>
                <w:kern w:val="0"/>
                <w:sz w:val="20"/>
                <w:szCs w:val="21"/>
              </w:rPr>
            </w:pPr>
          </w:p>
        </w:tc>
        <w:tc>
          <w:tcPr>
            <w:tcW w:w="2425" w:type="dxa"/>
            <w:vAlign w:val="center"/>
          </w:tcPr>
          <w:p w14:paraId="3581C2FE">
            <w:pPr>
              <w:jc w:val="center"/>
              <w:rPr>
                <w:rFonts w:ascii="宋体" w:hAnsi="宋体"/>
                <w:kern w:val="0"/>
                <w:sz w:val="20"/>
                <w:szCs w:val="21"/>
              </w:rPr>
            </w:pPr>
          </w:p>
        </w:tc>
        <w:tc>
          <w:tcPr>
            <w:tcW w:w="1774" w:type="dxa"/>
            <w:vAlign w:val="center"/>
          </w:tcPr>
          <w:p w14:paraId="13577A00">
            <w:pPr>
              <w:jc w:val="center"/>
              <w:rPr>
                <w:rFonts w:ascii="宋体" w:hAnsi="宋体"/>
                <w:kern w:val="0"/>
                <w:sz w:val="20"/>
                <w:szCs w:val="21"/>
              </w:rPr>
            </w:pPr>
          </w:p>
        </w:tc>
        <w:tc>
          <w:tcPr>
            <w:tcW w:w="1846" w:type="dxa"/>
            <w:vAlign w:val="center"/>
          </w:tcPr>
          <w:p w14:paraId="2842A95A">
            <w:pPr>
              <w:jc w:val="center"/>
              <w:rPr>
                <w:rFonts w:ascii="宋体" w:hAnsi="宋体"/>
                <w:kern w:val="0"/>
                <w:sz w:val="20"/>
                <w:szCs w:val="21"/>
              </w:rPr>
            </w:pPr>
          </w:p>
        </w:tc>
      </w:tr>
      <w:tr w14:paraId="440C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3BB2BDA">
            <w:pPr>
              <w:jc w:val="center"/>
              <w:rPr>
                <w:rFonts w:ascii="宋体" w:hAnsi="宋体"/>
                <w:kern w:val="0"/>
                <w:sz w:val="20"/>
                <w:szCs w:val="21"/>
              </w:rPr>
            </w:pPr>
          </w:p>
        </w:tc>
        <w:tc>
          <w:tcPr>
            <w:tcW w:w="2175" w:type="dxa"/>
            <w:vAlign w:val="center"/>
          </w:tcPr>
          <w:p w14:paraId="06511707">
            <w:pPr>
              <w:jc w:val="center"/>
              <w:rPr>
                <w:rFonts w:ascii="宋体" w:hAnsi="宋体"/>
                <w:kern w:val="0"/>
                <w:sz w:val="20"/>
                <w:szCs w:val="21"/>
              </w:rPr>
            </w:pPr>
          </w:p>
        </w:tc>
        <w:tc>
          <w:tcPr>
            <w:tcW w:w="2425" w:type="dxa"/>
            <w:vAlign w:val="center"/>
          </w:tcPr>
          <w:p w14:paraId="4B962BCA">
            <w:pPr>
              <w:jc w:val="center"/>
              <w:rPr>
                <w:rFonts w:ascii="宋体" w:hAnsi="宋体"/>
                <w:kern w:val="0"/>
                <w:sz w:val="20"/>
                <w:szCs w:val="21"/>
              </w:rPr>
            </w:pPr>
          </w:p>
        </w:tc>
        <w:tc>
          <w:tcPr>
            <w:tcW w:w="1774" w:type="dxa"/>
            <w:vAlign w:val="center"/>
          </w:tcPr>
          <w:p w14:paraId="3B735538">
            <w:pPr>
              <w:jc w:val="center"/>
              <w:rPr>
                <w:rFonts w:ascii="宋体" w:hAnsi="宋体"/>
                <w:kern w:val="0"/>
                <w:sz w:val="20"/>
                <w:szCs w:val="21"/>
              </w:rPr>
            </w:pPr>
          </w:p>
        </w:tc>
        <w:tc>
          <w:tcPr>
            <w:tcW w:w="1846" w:type="dxa"/>
            <w:vAlign w:val="center"/>
          </w:tcPr>
          <w:p w14:paraId="554B830F">
            <w:pPr>
              <w:jc w:val="center"/>
              <w:rPr>
                <w:rFonts w:ascii="宋体" w:hAnsi="宋体"/>
                <w:kern w:val="0"/>
                <w:sz w:val="20"/>
                <w:szCs w:val="21"/>
              </w:rPr>
            </w:pPr>
          </w:p>
        </w:tc>
      </w:tr>
      <w:tr w14:paraId="164E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9294C95">
            <w:pPr>
              <w:jc w:val="center"/>
              <w:rPr>
                <w:rFonts w:ascii="宋体" w:hAnsi="宋体"/>
                <w:kern w:val="0"/>
                <w:sz w:val="20"/>
                <w:szCs w:val="21"/>
              </w:rPr>
            </w:pPr>
          </w:p>
        </w:tc>
        <w:tc>
          <w:tcPr>
            <w:tcW w:w="2175" w:type="dxa"/>
            <w:vAlign w:val="center"/>
          </w:tcPr>
          <w:p w14:paraId="263C0CB3">
            <w:pPr>
              <w:jc w:val="center"/>
              <w:rPr>
                <w:rFonts w:ascii="宋体" w:hAnsi="宋体"/>
                <w:kern w:val="0"/>
                <w:sz w:val="20"/>
                <w:szCs w:val="21"/>
              </w:rPr>
            </w:pPr>
          </w:p>
        </w:tc>
        <w:tc>
          <w:tcPr>
            <w:tcW w:w="2425" w:type="dxa"/>
            <w:vAlign w:val="center"/>
          </w:tcPr>
          <w:p w14:paraId="7C669FB8">
            <w:pPr>
              <w:jc w:val="center"/>
              <w:rPr>
                <w:rFonts w:ascii="宋体" w:hAnsi="宋体"/>
                <w:kern w:val="0"/>
                <w:sz w:val="20"/>
                <w:szCs w:val="21"/>
              </w:rPr>
            </w:pPr>
          </w:p>
        </w:tc>
        <w:tc>
          <w:tcPr>
            <w:tcW w:w="1774" w:type="dxa"/>
            <w:vAlign w:val="center"/>
          </w:tcPr>
          <w:p w14:paraId="3FE45F8A">
            <w:pPr>
              <w:jc w:val="center"/>
              <w:rPr>
                <w:rFonts w:ascii="宋体" w:hAnsi="宋体"/>
                <w:kern w:val="0"/>
                <w:sz w:val="20"/>
                <w:szCs w:val="21"/>
              </w:rPr>
            </w:pPr>
          </w:p>
        </w:tc>
        <w:tc>
          <w:tcPr>
            <w:tcW w:w="1846" w:type="dxa"/>
            <w:vAlign w:val="center"/>
          </w:tcPr>
          <w:p w14:paraId="1E1791C9">
            <w:pPr>
              <w:jc w:val="center"/>
              <w:rPr>
                <w:rFonts w:ascii="宋体" w:hAnsi="宋体"/>
                <w:kern w:val="0"/>
                <w:sz w:val="20"/>
                <w:szCs w:val="21"/>
              </w:rPr>
            </w:pPr>
          </w:p>
        </w:tc>
      </w:tr>
      <w:tr w14:paraId="387E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A1B4E6C">
            <w:pPr>
              <w:jc w:val="center"/>
              <w:rPr>
                <w:rFonts w:ascii="宋体" w:hAnsi="宋体"/>
                <w:kern w:val="0"/>
                <w:sz w:val="20"/>
                <w:szCs w:val="21"/>
              </w:rPr>
            </w:pPr>
          </w:p>
        </w:tc>
        <w:tc>
          <w:tcPr>
            <w:tcW w:w="2175" w:type="dxa"/>
            <w:vAlign w:val="center"/>
          </w:tcPr>
          <w:p w14:paraId="067FD450">
            <w:pPr>
              <w:jc w:val="center"/>
              <w:rPr>
                <w:rFonts w:ascii="宋体" w:hAnsi="宋体"/>
                <w:kern w:val="0"/>
                <w:sz w:val="20"/>
                <w:szCs w:val="21"/>
              </w:rPr>
            </w:pPr>
          </w:p>
        </w:tc>
        <w:tc>
          <w:tcPr>
            <w:tcW w:w="2425" w:type="dxa"/>
            <w:vAlign w:val="center"/>
          </w:tcPr>
          <w:p w14:paraId="4DAE3252">
            <w:pPr>
              <w:jc w:val="center"/>
              <w:rPr>
                <w:rFonts w:ascii="宋体" w:hAnsi="宋体"/>
                <w:kern w:val="0"/>
                <w:sz w:val="20"/>
                <w:szCs w:val="21"/>
              </w:rPr>
            </w:pPr>
          </w:p>
        </w:tc>
        <w:tc>
          <w:tcPr>
            <w:tcW w:w="1774" w:type="dxa"/>
            <w:vAlign w:val="center"/>
          </w:tcPr>
          <w:p w14:paraId="1854C7CE">
            <w:pPr>
              <w:jc w:val="center"/>
              <w:rPr>
                <w:rFonts w:ascii="宋体" w:hAnsi="宋体"/>
                <w:kern w:val="0"/>
                <w:sz w:val="20"/>
                <w:szCs w:val="21"/>
              </w:rPr>
            </w:pPr>
          </w:p>
        </w:tc>
        <w:tc>
          <w:tcPr>
            <w:tcW w:w="1846" w:type="dxa"/>
            <w:vAlign w:val="center"/>
          </w:tcPr>
          <w:p w14:paraId="2C436831">
            <w:pPr>
              <w:jc w:val="center"/>
              <w:rPr>
                <w:rFonts w:ascii="宋体" w:hAnsi="宋体"/>
                <w:kern w:val="0"/>
                <w:sz w:val="20"/>
                <w:szCs w:val="21"/>
              </w:rPr>
            </w:pPr>
          </w:p>
        </w:tc>
      </w:tr>
      <w:tr w14:paraId="79C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DB2AE9F">
            <w:pPr>
              <w:jc w:val="center"/>
              <w:rPr>
                <w:rFonts w:ascii="宋体" w:hAnsi="宋体"/>
                <w:kern w:val="0"/>
                <w:sz w:val="20"/>
                <w:szCs w:val="21"/>
              </w:rPr>
            </w:pPr>
          </w:p>
        </w:tc>
        <w:tc>
          <w:tcPr>
            <w:tcW w:w="2175" w:type="dxa"/>
            <w:vAlign w:val="center"/>
          </w:tcPr>
          <w:p w14:paraId="3DF675A3">
            <w:pPr>
              <w:jc w:val="center"/>
              <w:rPr>
                <w:rFonts w:ascii="宋体" w:hAnsi="宋体"/>
                <w:kern w:val="0"/>
                <w:sz w:val="20"/>
                <w:szCs w:val="21"/>
              </w:rPr>
            </w:pPr>
          </w:p>
        </w:tc>
        <w:tc>
          <w:tcPr>
            <w:tcW w:w="2425" w:type="dxa"/>
            <w:vAlign w:val="center"/>
          </w:tcPr>
          <w:p w14:paraId="532229A9">
            <w:pPr>
              <w:jc w:val="center"/>
              <w:rPr>
                <w:rFonts w:ascii="宋体" w:hAnsi="宋体"/>
                <w:kern w:val="0"/>
                <w:sz w:val="20"/>
                <w:szCs w:val="21"/>
              </w:rPr>
            </w:pPr>
          </w:p>
        </w:tc>
        <w:tc>
          <w:tcPr>
            <w:tcW w:w="1774" w:type="dxa"/>
            <w:vAlign w:val="center"/>
          </w:tcPr>
          <w:p w14:paraId="257DAD9D">
            <w:pPr>
              <w:jc w:val="center"/>
              <w:rPr>
                <w:rFonts w:ascii="宋体" w:hAnsi="宋体"/>
                <w:kern w:val="0"/>
                <w:sz w:val="20"/>
                <w:szCs w:val="21"/>
              </w:rPr>
            </w:pPr>
          </w:p>
        </w:tc>
        <w:tc>
          <w:tcPr>
            <w:tcW w:w="1846" w:type="dxa"/>
            <w:vAlign w:val="center"/>
          </w:tcPr>
          <w:p w14:paraId="452D806E">
            <w:pPr>
              <w:jc w:val="center"/>
              <w:rPr>
                <w:rFonts w:ascii="宋体" w:hAnsi="宋体"/>
                <w:kern w:val="0"/>
                <w:sz w:val="20"/>
                <w:szCs w:val="21"/>
              </w:rPr>
            </w:pPr>
          </w:p>
        </w:tc>
      </w:tr>
      <w:tr w14:paraId="2B9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F7382C3">
            <w:pPr>
              <w:jc w:val="center"/>
              <w:rPr>
                <w:rFonts w:ascii="宋体" w:hAnsi="宋体"/>
                <w:kern w:val="0"/>
                <w:sz w:val="20"/>
                <w:szCs w:val="21"/>
              </w:rPr>
            </w:pPr>
          </w:p>
        </w:tc>
        <w:tc>
          <w:tcPr>
            <w:tcW w:w="2175" w:type="dxa"/>
            <w:vAlign w:val="center"/>
          </w:tcPr>
          <w:p w14:paraId="277525DA">
            <w:pPr>
              <w:jc w:val="center"/>
              <w:rPr>
                <w:rFonts w:ascii="宋体" w:hAnsi="宋体"/>
                <w:kern w:val="0"/>
                <w:sz w:val="20"/>
                <w:szCs w:val="21"/>
              </w:rPr>
            </w:pPr>
          </w:p>
        </w:tc>
        <w:tc>
          <w:tcPr>
            <w:tcW w:w="2425" w:type="dxa"/>
            <w:vAlign w:val="center"/>
          </w:tcPr>
          <w:p w14:paraId="5E32EFE3">
            <w:pPr>
              <w:jc w:val="center"/>
              <w:rPr>
                <w:rFonts w:ascii="宋体" w:hAnsi="宋体"/>
                <w:kern w:val="0"/>
                <w:sz w:val="20"/>
                <w:szCs w:val="21"/>
              </w:rPr>
            </w:pPr>
          </w:p>
        </w:tc>
        <w:tc>
          <w:tcPr>
            <w:tcW w:w="1774" w:type="dxa"/>
            <w:vAlign w:val="center"/>
          </w:tcPr>
          <w:p w14:paraId="7DFE0FAB">
            <w:pPr>
              <w:jc w:val="center"/>
              <w:rPr>
                <w:rFonts w:ascii="宋体" w:hAnsi="宋体"/>
                <w:kern w:val="0"/>
                <w:sz w:val="20"/>
                <w:szCs w:val="21"/>
              </w:rPr>
            </w:pPr>
          </w:p>
        </w:tc>
        <w:tc>
          <w:tcPr>
            <w:tcW w:w="1846" w:type="dxa"/>
            <w:vAlign w:val="center"/>
          </w:tcPr>
          <w:p w14:paraId="3AE73D82">
            <w:pPr>
              <w:jc w:val="center"/>
              <w:rPr>
                <w:rFonts w:ascii="宋体" w:hAnsi="宋体"/>
                <w:kern w:val="0"/>
                <w:sz w:val="20"/>
                <w:szCs w:val="21"/>
              </w:rPr>
            </w:pPr>
          </w:p>
        </w:tc>
      </w:tr>
    </w:tbl>
    <w:p w14:paraId="76D0F1D5">
      <w:pPr>
        <w:rPr>
          <w:rFonts w:ascii="宋体" w:hAnsi="宋体"/>
          <w:szCs w:val="21"/>
        </w:rPr>
      </w:pPr>
    </w:p>
    <w:p w14:paraId="195B8D13">
      <w:pPr>
        <w:rPr>
          <w:rFonts w:ascii="宋体" w:hAnsi="宋体"/>
          <w:szCs w:val="21"/>
        </w:rPr>
      </w:pPr>
    </w:p>
    <w:p w14:paraId="23653900">
      <w:pPr>
        <w:rPr>
          <w:rFonts w:ascii="宋体" w:hAnsi="宋体"/>
          <w:szCs w:val="21"/>
        </w:rPr>
      </w:pPr>
    </w:p>
    <w:p w14:paraId="04DF8CC3">
      <w:pPr>
        <w:rPr>
          <w:rFonts w:ascii="宋体" w:hAnsi="宋体"/>
          <w:szCs w:val="21"/>
        </w:rPr>
      </w:pPr>
    </w:p>
    <w:p w14:paraId="46B0E768">
      <w:r>
        <w:rPr>
          <w:rFonts w:hint="eastAsia" w:ascii="宋体" w:hAnsi="宋体"/>
          <w:szCs w:val="21"/>
        </w:rPr>
        <w:t>投标人名称（盖章）：              法定代表人或授权代表签字：</w:t>
      </w:r>
    </w:p>
    <w:p w14:paraId="2B389CC7">
      <w:pPr>
        <w:pStyle w:val="76"/>
        <w:rPr>
          <w:b/>
          <w:bCs/>
        </w:rPr>
      </w:pPr>
    </w:p>
    <w:p w14:paraId="79FA32FC">
      <w:pPr>
        <w:rPr>
          <w:rFonts w:ascii="宋体" w:hAnsi="宋体" w:cs="宋体"/>
          <w:b/>
          <w:bCs/>
          <w:sz w:val="32"/>
          <w:szCs w:val="32"/>
        </w:rPr>
      </w:pPr>
      <w:r>
        <w:rPr>
          <w:rFonts w:ascii="宋体" w:hAnsi="宋体" w:cs="宋体"/>
          <w:b/>
          <w:bCs/>
          <w:sz w:val="32"/>
          <w:szCs w:val="32"/>
        </w:rPr>
        <w:br w:type="page"/>
      </w:r>
    </w:p>
    <w:p w14:paraId="06174B79">
      <w:pPr>
        <w:pStyle w:val="76"/>
        <w:rPr>
          <w:rFonts w:hint="eastAsia" w:hAnsi="宋体" w:eastAsia="宋体" w:cs="宋体"/>
          <w:b/>
          <w:bCs/>
          <w:sz w:val="32"/>
          <w:szCs w:val="32"/>
          <w:lang w:val="en-US" w:eastAsia="zh-CN"/>
        </w:rPr>
      </w:pPr>
      <w:r>
        <w:rPr>
          <w:rFonts w:hint="eastAsia" w:hAnsi="宋体" w:cs="宋体"/>
          <w:b/>
          <w:bCs/>
          <w:sz w:val="32"/>
          <w:szCs w:val="32"/>
        </w:rPr>
        <w:t>附件</w:t>
      </w:r>
      <w:r>
        <w:rPr>
          <w:rFonts w:hint="eastAsia" w:hAnsi="宋体" w:cs="宋体"/>
          <w:b/>
          <w:bCs/>
          <w:sz w:val="32"/>
          <w:szCs w:val="32"/>
          <w:lang w:val="en-US" w:eastAsia="zh-CN"/>
        </w:rPr>
        <w:t>6</w:t>
      </w:r>
    </w:p>
    <w:p w14:paraId="3CAF1A82">
      <w:pPr>
        <w:jc w:val="center"/>
        <w:rPr>
          <w:rFonts w:eastAsia="黑体"/>
          <w:sz w:val="28"/>
        </w:rPr>
      </w:pPr>
      <w:r>
        <w:rPr>
          <w:rFonts w:hint="eastAsia" w:eastAsia="黑体"/>
          <w:sz w:val="28"/>
        </w:rPr>
        <w:t>商务偏离表</w:t>
      </w:r>
    </w:p>
    <w:p w14:paraId="0E0F6B8E">
      <w:pPr>
        <w:rPr>
          <w:rFonts w:ascii="宋体" w:hAnsi="宋体"/>
          <w:szCs w:val="21"/>
        </w:rPr>
      </w:pPr>
    </w:p>
    <w:p w14:paraId="46B86972">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D5703B3">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2CB6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23077CFB">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0F399A9F">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5990E59C">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56B1FA2B">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2FEBB463">
            <w:pPr>
              <w:jc w:val="center"/>
              <w:rPr>
                <w:rFonts w:ascii="宋体" w:hAnsi="宋体"/>
                <w:kern w:val="0"/>
                <w:sz w:val="20"/>
                <w:szCs w:val="21"/>
              </w:rPr>
            </w:pPr>
            <w:r>
              <w:rPr>
                <w:rFonts w:hint="eastAsia" w:ascii="宋体" w:hAnsi="宋体"/>
                <w:kern w:val="0"/>
                <w:sz w:val="20"/>
                <w:szCs w:val="21"/>
              </w:rPr>
              <w:t>说明</w:t>
            </w:r>
          </w:p>
        </w:tc>
      </w:tr>
      <w:tr w14:paraId="6A21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4900DB">
            <w:pPr>
              <w:jc w:val="center"/>
              <w:rPr>
                <w:rFonts w:ascii="宋体" w:hAnsi="宋体"/>
                <w:kern w:val="0"/>
                <w:sz w:val="20"/>
                <w:szCs w:val="21"/>
              </w:rPr>
            </w:pPr>
          </w:p>
        </w:tc>
        <w:tc>
          <w:tcPr>
            <w:tcW w:w="2175" w:type="dxa"/>
            <w:vAlign w:val="center"/>
          </w:tcPr>
          <w:p w14:paraId="7ABE9100">
            <w:pPr>
              <w:jc w:val="center"/>
              <w:rPr>
                <w:rFonts w:ascii="宋体" w:hAnsi="宋体"/>
                <w:kern w:val="0"/>
                <w:sz w:val="20"/>
                <w:szCs w:val="21"/>
              </w:rPr>
            </w:pPr>
          </w:p>
        </w:tc>
        <w:tc>
          <w:tcPr>
            <w:tcW w:w="2425" w:type="dxa"/>
            <w:vAlign w:val="center"/>
          </w:tcPr>
          <w:p w14:paraId="29773168">
            <w:pPr>
              <w:jc w:val="center"/>
              <w:rPr>
                <w:rFonts w:ascii="宋体" w:hAnsi="宋体"/>
                <w:kern w:val="0"/>
                <w:sz w:val="20"/>
                <w:szCs w:val="21"/>
              </w:rPr>
            </w:pPr>
          </w:p>
        </w:tc>
        <w:tc>
          <w:tcPr>
            <w:tcW w:w="1774" w:type="dxa"/>
            <w:vAlign w:val="center"/>
          </w:tcPr>
          <w:p w14:paraId="10B7AF4F">
            <w:pPr>
              <w:jc w:val="center"/>
              <w:rPr>
                <w:rFonts w:ascii="宋体" w:hAnsi="宋体"/>
                <w:kern w:val="0"/>
                <w:sz w:val="20"/>
                <w:szCs w:val="21"/>
              </w:rPr>
            </w:pPr>
          </w:p>
        </w:tc>
        <w:tc>
          <w:tcPr>
            <w:tcW w:w="1846" w:type="dxa"/>
            <w:vAlign w:val="center"/>
          </w:tcPr>
          <w:p w14:paraId="761495A5">
            <w:pPr>
              <w:jc w:val="center"/>
              <w:rPr>
                <w:rFonts w:ascii="宋体" w:hAnsi="宋体"/>
                <w:kern w:val="0"/>
                <w:sz w:val="20"/>
                <w:szCs w:val="21"/>
              </w:rPr>
            </w:pPr>
          </w:p>
        </w:tc>
      </w:tr>
      <w:tr w14:paraId="0CB6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68B2876">
            <w:pPr>
              <w:jc w:val="center"/>
              <w:rPr>
                <w:rFonts w:ascii="宋体" w:hAnsi="宋体"/>
                <w:kern w:val="0"/>
                <w:sz w:val="20"/>
                <w:szCs w:val="21"/>
              </w:rPr>
            </w:pPr>
          </w:p>
        </w:tc>
        <w:tc>
          <w:tcPr>
            <w:tcW w:w="2175" w:type="dxa"/>
            <w:vAlign w:val="center"/>
          </w:tcPr>
          <w:p w14:paraId="19526812">
            <w:pPr>
              <w:jc w:val="center"/>
              <w:rPr>
                <w:rFonts w:ascii="宋体" w:hAnsi="宋体"/>
                <w:kern w:val="0"/>
                <w:sz w:val="20"/>
                <w:szCs w:val="21"/>
              </w:rPr>
            </w:pPr>
          </w:p>
        </w:tc>
        <w:tc>
          <w:tcPr>
            <w:tcW w:w="2425" w:type="dxa"/>
            <w:vAlign w:val="center"/>
          </w:tcPr>
          <w:p w14:paraId="020217A2">
            <w:pPr>
              <w:jc w:val="center"/>
              <w:rPr>
                <w:rFonts w:ascii="宋体" w:hAnsi="宋体"/>
                <w:kern w:val="0"/>
                <w:sz w:val="20"/>
                <w:szCs w:val="21"/>
              </w:rPr>
            </w:pPr>
          </w:p>
        </w:tc>
        <w:tc>
          <w:tcPr>
            <w:tcW w:w="1774" w:type="dxa"/>
            <w:vAlign w:val="center"/>
          </w:tcPr>
          <w:p w14:paraId="002220A2">
            <w:pPr>
              <w:jc w:val="center"/>
              <w:rPr>
                <w:rFonts w:ascii="宋体" w:hAnsi="宋体"/>
                <w:kern w:val="0"/>
                <w:sz w:val="20"/>
                <w:szCs w:val="21"/>
              </w:rPr>
            </w:pPr>
          </w:p>
        </w:tc>
        <w:tc>
          <w:tcPr>
            <w:tcW w:w="1846" w:type="dxa"/>
            <w:vAlign w:val="center"/>
          </w:tcPr>
          <w:p w14:paraId="76C8B12F">
            <w:pPr>
              <w:jc w:val="center"/>
              <w:rPr>
                <w:rFonts w:ascii="宋体" w:hAnsi="宋体"/>
                <w:kern w:val="0"/>
                <w:sz w:val="20"/>
                <w:szCs w:val="21"/>
              </w:rPr>
            </w:pPr>
          </w:p>
        </w:tc>
      </w:tr>
      <w:tr w14:paraId="200C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55085E2">
            <w:pPr>
              <w:jc w:val="center"/>
              <w:rPr>
                <w:rFonts w:ascii="宋体" w:hAnsi="宋体"/>
                <w:kern w:val="0"/>
                <w:sz w:val="20"/>
                <w:szCs w:val="21"/>
              </w:rPr>
            </w:pPr>
          </w:p>
        </w:tc>
        <w:tc>
          <w:tcPr>
            <w:tcW w:w="2175" w:type="dxa"/>
            <w:vAlign w:val="center"/>
          </w:tcPr>
          <w:p w14:paraId="563B130B">
            <w:pPr>
              <w:jc w:val="center"/>
              <w:rPr>
                <w:rFonts w:ascii="宋体" w:hAnsi="宋体"/>
                <w:kern w:val="0"/>
                <w:sz w:val="20"/>
                <w:szCs w:val="21"/>
              </w:rPr>
            </w:pPr>
          </w:p>
        </w:tc>
        <w:tc>
          <w:tcPr>
            <w:tcW w:w="2425" w:type="dxa"/>
            <w:vAlign w:val="center"/>
          </w:tcPr>
          <w:p w14:paraId="3898073B">
            <w:pPr>
              <w:jc w:val="center"/>
              <w:rPr>
                <w:rFonts w:ascii="宋体" w:hAnsi="宋体"/>
                <w:kern w:val="0"/>
                <w:sz w:val="20"/>
                <w:szCs w:val="21"/>
              </w:rPr>
            </w:pPr>
          </w:p>
        </w:tc>
        <w:tc>
          <w:tcPr>
            <w:tcW w:w="1774" w:type="dxa"/>
            <w:vAlign w:val="center"/>
          </w:tcPr>
          <w:p w14:paraId="516E23A6">
            <w:pPr>
              <w:jc w:val="center"/>
              <w:rPr>
                <w:rFonts w:ascii="宋体" w:hAnsi="宋体"/>
                <w:kern w:val="0"/>
                <w:sz w:val="20"/>
                <w:szCs w:val="21"/>
              </w:rPr>
            </w:pPr>
          </w:p>
        </w:tc>
        <w:tc>
          <w:tcPr>
            <w:tcW w:w="1846" w:type="dxa"/>
            <w:vAlign w:val="center"/>
          </w:tcPr>
          <w:p w14:paraId="1FFA0C64">
            <w:pPr>
              <w:jc w:val="center"/>
              <w:rPr>
                <w:rFonts w:ascii="宋体" w:hAnsi="宋体"/>
                <w:kern w:val="0"/>
                <w:sz w:val="20"/>
                <w:szCs w:val="21"/>
              </w:rPr>
            </w:pPr>
          </w:p>
        </w:tc>
      </w:tr>
      <w:tr w14:paraId="054D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378E3A4">
            <w:pPr>
              <w:jc w:val="center"/>
              <w:rPr>
                <w:rFonts w:ascii="宋体" w:hAnsi="宋体"/>
                <w:kern w:val="0"/>
                <w:sz w:val="20"/>
                <w:szCs w:val="21"/>
              </w:rPr>
            </w:pPr>
          </w:p>
        </w:tc>
        <w:tc>
          <w:tcPr>
            <w:tcW w:w="2175" w:type="dxa"/>
            <w:vAlign w:val="center"/>
          </w:tcPr>
          <w:p w14:paraId="43305251">
            <w:pPr>
              <w:jc w:val="center"/>
              <w:rPr>
                <w:rFonts w:ascii="宋体" w:hAnsi="宋体"/>
                <w:kern w:val="0"/>
                <w:sz w:val="20"/>
                <w:szCs w:val="21"/>
              </w:rPr>
            </w:pPr>
          </w:p>
        </w:tc>
        <w:tc>
          <w:tcPr>
            <w:tcW w:w="2425" w:type="dxa"/>
            <w:vAlign w:val="center"/>
          </w:tcPr>
          <w:p w14:paraId="6CDC8E18">
            <w:pPr>
              <w:jc w:val="center"/>
              <w:rPr>
                <w:rFonts w:ascii="宋体" w:hAnsi="宋体"/>
                <w:kern w:val="0"/>
                <w:sz w:val="20"/>
                <w:szCs w:val="21"/>
              </w:rPr>
            </w:pPr>
          </w:p>
        </w:tc>
        <w:tc>
          <w:tcPr>
            <w:tcW w:w="1774" w:type="dxa"/>
            <w:vAlign w:val="center"/>
          </w:tcPr>
          <w:p w14:paraId="022A44D2">
            <w:pPr>
              <w:jc w:val="center"/>
              <w:rPr>
                <w:rFonts w:ascii="宋体" w:hAnsi="宋体"/>
                <w:kern w:val="0"/>
                <w:sz w:val="20"/>
                <w:szCs w:val="21"/>
              </w:rPr>
            </w:pPr>
          </w:p>
        </w:tc>
        <w:tc>
          <w:tcPr>
            <w:tcW w:w="1846" w:type="dxa"/>
            <w:vAlign w:val="center"/>
          </w:tcPr>
          <w:p w14:paraId="05A78BB2">
            <w:pPr>
              <w:jc w:val="center"/>
              <w:rPr>
                <w:rFonts w:ascii="宋体" w:hAnsi="宋体"/>
                <w:kern w:val="0"/>
                <w:sz w:val="20"/>
                <w:szCs w:val="21"/>
              </w:rPr>
            </w:pPr>
          </w:p>
        </w:tc>
      </w:tr>
      <w:tr w14:paraId="53B5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71045FA">
            <w:pPr>
              <w:jc w:val="center"/>
              <w:rPr>
                <w:rFonts w:ascii="宋体" w:hAnsi="宋体"/>
                <w:kern w:val="0"/>
                <w:sz w:val="20"/>
                <w:szCs w:val="21"/>
              </w:rPr>
            </w:pPr>
          </w:p>
        </w:tc>
        <w:tc>
          <w:tcPr>
            <w:tcW w:w="2175" w:type="dxa"/>
            <w:vAlign w:val="center"/>
          </w:tcPr>
          <w:p w14:paraId="4A24A8DB">
            <w:pPr>
              <w:jc w:val="center"/>
              <w:rPr>
                <w:rFonts w:ascii="宋体" w:hAnsi="宋体"/>
                <w:kern w:val="0"/>
                <w:sz w:val="20"/>
                <w:szCs w:val="21"/>
              </w:rPr>
            </w:pPr>
          </w:p>
        </w:tc>
        <w:tc>
          <w:tcPr>
            <w:tcW w:w="2425" w:type="dxa"/>
            <w:vAlign w:val="center"/>
          </w:tcPr>
          <w:p w14:paraId="2540822A">
            <w:pPr>
              <w:jc w:val="center"/>
              <w:rPr>
                <w:rFonts w:ascii="宋体" w:hAnsi="宋体"/>
                <w:kern w:val="0"/>
                <w:sz w:val="20"/>
                <w:szCs w:val="21"/>
              </w:rPr>
            </w:pPr>
          </w:p>
        </w:tc>
        <w:tc>
          <w:tcPr>
            <w:tcW w:w="1774" w:type="dxa"/>
            <w:vAlign w:val="center"/>
          </w:tcPr>
          <w:p w14:paraId="39D23CDB">
            <w:pPr>
              <w:jc w:val="center"/>
              <w:rPr>
                <w:rFonts w:ascii="宋体" w:hAnsi="宋体"/>
                <w:kern w:val="0"/>
                <w:sz w:val="20"/>
                <w:szCs w:val="21"/>
              </w:rPr>
            </w:pPr>
          </w:p>
        </w:tc>
        <w:tc>
          <w:tcPr>
            <w:tcW w:w="1846" w:type="dxa"/>
            <w:vAlign w:val="center"/>
          </w:tcPr>
          <w:p w14:paraId="22C67063">
            <w:pPr>
              <w:jc w:val="center"/>
              <w:rPr>
                <w:rFonts w:ascii="宋体" w:hAnsi="宋体"/>
                <w:kern w:val="0"/>
                <w:sz w:val="20"/>
                <w:szCs w:val="21"/>
              </w:rPr>
            </w:pPr>
          </w:p>
        </w:tc>
      </w:tr>
      <w:tr w14:paraId="3FC3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7EDF66CE">
            <w:pPr>
              <w:jc w:val="center"/>
              <w:rPr>
                <w:rFonts w:ascii="宋体" w:hAnsi="宋体"/>
                <w:kern w:val="0"/>
                <w:sz w:val="20"/>
                <w:szCs w:val="21"/>
              </w:rPr>
            </w:pPr>
          </w:p>
        </w:tc>
        <w:tc>
          <w:tcPr>
            <w:tcW w:w="2175" w:type="dxa"/>
            <w:vAlign w:val="center"/>
          </w:tcPr>
          <w:p w14:paraId="7E4AE688">
            <w:pPr>
              <w:jc w:val="center"/>
              <w:rPr>
                <w:rFonts w:ascii="宋体" w:hAnsi="宋体"/>
                <w:kern w:val="0"/>
                <w:sz w:val="20"/>
                <w:szCs w:val="21"/>
              </w:rPr>
            </w:pPr>
          </w:p>
        </w:tc>
        <w:tc>
          <w:tcPr>
            <w:tcW w:w="2425" w:type="dxa"/>
            <w:vAlign w:val="center"/>
          </w:tcPr>
          <w:p w14:paraId="0EFCA554">
            <w:pPr>
              <w:jc w:val="center"/>
              <w:rPr>
                <w:rFonts w:ascii="宋体" w:hAnsi="宋体"/>
                <w:kern w:val="0"/>
                <w:sz w:val="20"/>
                <w:szCs w:val="21"/>
              </w:rPr>
            </w:pPr>
          </w:p>
        </w:tc>
        <w:tc>
          <w:tcPr>
            <w:tcW w:w="1774" w:type="dxa"/>
            <w:vAlign w:val="center"/>
          </w:tcPr>
          <w:p w14:paraId="06A464E6">
            <w:pPr>
              <w:jc w:val="center"/>
              <w:rPr>
                <w:rFonts w:ascii="宋体" w:hAnsi="宋体"/>
                <w:kern w:val="0"/>
                <w:sz w:val="20"/>
                <w:szCs w:val="21"/>
              </w:rPr>
            </w:pPr>
          </w:p>
        </w:tc>
        <w:tc>
          <w:tcPr>
            <w:tcW w:w="1846" w:type="dxa"/>
            <w:vAlign w:val="center"/>
          </w:tcPr>
          <w:p w14:paraId="6EE78DBE">
            <w:pPr>
              <w:jc w:val="center"/>
              <w:rPr>
                <w:rFonts w:ascii="宋体" w:hAnsi="宋体"/>
                <w:kern w:val="0"/>
                <w:sz w:val="20"/>
                <w:szCs w:val="21"/>
              </w:rPr>
            </w:pPr>
          </w:p>
        </w:tc>
      </w:tr>
    </w:tbl>
    <w:p w14:paraId="079B79C0">
      <w:pPr>
        <w:rPr>
          <w:rFonts w:ascii="宋体" w:hAnsi="宋体"/>
          <w:szCs w:val="21"/>
        </w:rPr>
      </w:pPr>
    </w:p>
    <w:p w14:paraId="47F87054">
      <w:pPr>
        <w:rPr>
          <w:rFonts w:ascii="宋体" w:hAnsi="宋体"/>
          <w:szCs w:val="21"/>
        </w:rPr>
      </w:pPr>
    </w:p>
    <w:p w14:paraId="65FBF977">
      <w:pPr>
        <w:rPr>
          <w:rFonts w:ascii="宋体" w:hAnsi="宋体"/>
          <w:szCs w:val="21"/>
        </w:rPr>
      </w:pPr>
    </w:p>
    <w:p w14:paraId="676546F3">
      <w:pPr>
        <w:rPr>
          <w:rFonts w:ascii="宋体" w:hAnsi="宋体"/>
          <w:szCs w:val="21"/>
        </w:rPr>
      </w:pPr>
    </w:p>
    <w:p w14:paraId="47B7D59C">
      <w:pPr>
        <w:pStyle w:val="76"/>
        <w:rPr>
          <w:rFonts w:hAnsi="宋体"/>
          <w:szCs w:val="21"/>
        </w:rPr>
      </w:pPr>
      <w:r>
        <w:rPr>
          <w:rFonts w:hint="eastAsia" w:hAnsi="宋体"/>
          <w:szCs w:val="21"/>
        </w:rPr>
        <w:t>投标人名称（盖章）：              法定代表人或授权代表签字：</w:t>
      </w:r>
    </w:p>
    <w:p w14:paraId="6DB6E000">
      <w:pPr>
        <w:pStyle w:val="2"/>
        <w:outlineLvl w:val="2"/>
        <w:rPr>
          <w:rFonts w:hAnsi="宋体" w:cs="宋体"/>
          <w:b/>
          <w:bCs/>
          <w:color w:val="000000"/>
          <w:sz w:val="24"/>
          <w:szCs w:val="24"/>
        </w:rPr>
      </w:pPr>
      <w:r>
        <w:rPr>
          <w:rFonts w:ascii="宋体" w:hAnsi="宋体" w:cs="宋体"/>
          <w:b/>
          <w:bCs/>
          <w:sz w:val="32"/>
          <w:szCs w:val="32"/>
        </w:rPr>
        <w:br w:type="page"/>
      </w:r>
      <w:r>
        <w:rPr>
          <w:rFonts w:hint="eastAsia" w:hAnsi="宋体" w:cs="宋体"/>
          <w:b/>
          <w:bCs/>
          <w:color w:val="000000"/>
          <w:sz w:val="24"/>
          <w:szCs w:val="24"/>
        </w:rPr>
        <w:t>SRM非生产供应商注册操作手册</w:t>
      </w:r>
    </w:p>
    <w:p w14:paraId="68765BB9">
      <w:pPr>
        <w:pStyle w:val="2"/>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2"/>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68C26661">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4BC81C19">
      <w:pPr>
        <w:pStyle w:val="2"/>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3EF56BD2">
      <w:pPr>
        <w:pStyle w:val="2"/>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2"/>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62C7BFB2">
      <w:pPr>
        <w:pStyle w:val="2"/>
        <w:rPr>
          <w:rFonts w:hAnsi="宋体"/>
          <w:b/>
          <w:color w:val="000000"/>
          <w:sz w:val="24"/>
          <w:szCs w:val="24"/>
        </w:rPr>
      </w:pPr>
    </w:p>
    <w:p w14:paraId="39CB5A8E">
      <w:pPr>
        <w:pStyle w:val="12"/>
      </w:pPr>
    </w:p>
    <w:p w14:paraId="2BBCDDE9">
      <w:pPr>
        <w:pStyle w:val="76"/>
        <w:rPr>
          <w:rFonts w:hAnsi="宋体"/>
          <w:b/>
          <w:bCs/>
          <w:sz w:val="24"/>
          <w:szCs w:val="24"/>
        </w:rPr>
      </w:pPr>
    </w:p>
    <w:p w14:paraId="293A4F96">
      <w:pPr>
        <w:pStyle w:val="76"/>
        <w:rPr>
          <w:rFonts w:hAnsi="宋体" w:cs="宋体"/>
          <w:b/>
          <w:bCs/>
          <w:sz w:val="32"/>
          <w:szCs w:val="32"/>
        </w:rPr>
      </w:pPr>
    </w:p>
    <w:p w14:paraId="1007312A">
      <w:pPr>
        <w:pStyle w:val="76"/>
        <w:rPr>
          <w:rFonts w:hAnsi="宋体"/>
          <w:sz w:val="24"/>
        </w:rPr>
      </w:pPr>
    </w:p>
    <w:p w14:paraId="1DDA1DD3">
      <w:pPr>
        <w:pStyle w:val="2"/>
      </w:pPr>
    </w:p>
    <w:p w14:paraId="26DFB00A">
      <w:pPr>
        <w:pStyle w:val="76"/>
        <w:rPr>
          <w:rFonts w:hint="default" w:hAnsi="宋体"/>
          <w:sz w:val="24"/>
          <w:lang w:val="en-US"/>
        </w:rPr>
      </w:pPr>
    </w:p>
    <w:p w14:paraId="78B55ADC">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3">
    <w:nsid w:val="14BBAC2F"/>
    <w:multiLevelType w:val="singleLevel"/>
    <w:tmpl w:val="14BBAC2F"/>
    <w:lvl w:ilvl="0" w:tentative="0">
      <w:start w:val="2"/>
      <w:numFmt w:val="chineseCounting"/>
      <w:suff w:val="nothing"/>
      <w:lvlText w:val="第%1部分　"/>
      <w:lvlJc w:val="left"/>
      <w:rPr>
        <w:rFonts w:hint="eastAsia"/>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0A4C63"/>
    <w:multiLevelType w:val="singleLevel"/>
    <w:tmpl w:val="7A0A4C63"/>
    <w:lvl w:ilvl="0" w:tentative="0">
      <w:start w:val="1"/>
      <w:numFmt w:val="chineseCounting"/>
      <w:suff w:val="nothing"/>
      <w:lvlText w:val="%1、"/>
      <w:lvlJc w:val="left"/>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7DA9F3D3"/>
    <w:multiLevelType w:val="singleLevel"/>
    <w:tmpl w:val="7DA9F3D3"/>
    <w:lvl w:ilvl="0" w:tentative="0">
      <w:start w:val="1"/>
      <w:numFmt w:val="decimal"/>
      <w:suff w:val="nothing"/>
      <w:lvlText w:val="%1、"/>
      <w:lvlJc w:val="left"/>
    </w:lvl>
  </w:abstractNum>
  <w:num w:numId="1">
    <w:abstractNumId w:val="20"/>
  </w:num>
  <w:num w:numId="2">
    <w:abstractNumId w:val="25"/>
  </w:num>
  <w:num w:numId="3">
    <w:abstractNumId w:val="23"/>
  </w:num>
  <w:num w:numId="4">
    <w:abstractNumId w:val="21"/>
  </w:num>
  <w:num w:numId="5">
    <w:abstractNumId w:val="11"/>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4"/>
  </w:num>
  <w:num w:numId="19">
    <w:abstractNumId w:val="27"/>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0"/>
  </w:num>
  <w:num w:numId="27">
    <w:abstractNumId w:val="19"/>
  </w:num>
  <w:num w:numId="28">
    <w:abstractNumId w:val="17"/>
  </w:num>
  <w:num w:numId="29">
    <w:abstractNumId w:val="13"/>
  </w:num>
  <w:num w:numId="30">
    <w:abstractNumId w:val="26"/>
  </w:num>
  <w:num w:numId="31">
    <w:abstractNumId w:val="28"/>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D7C3830"/>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0E7280"/>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9372</Words>
  <Characters>10038</Characters>
  <Lines>127</Lines>
  <Paragraphs>35</Paragraphs>
  <TotalTime>12</TotalTime>
  <ScaleCrop>false</ScaleCrop>
  <LinksUpToDate>false</LinksUpToDate>
  <CharactersWithSpaces>10773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2025-10-30T01:44:41Z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