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77DA51">
      <w:pPr>
        <w:jc w:val="center"/>
        <w:rPr>
          <w:rFonts w:ascii="宋体" w:hAnsi="Calibri" w:eastAsia="宋体" w:cs="Times New Roman"/>
          <w:color w:val="000000"/>
          <w:sz w:val="30"/>
          <w:szCs w:val="30"/>
          <w:highlight w:val="none"/>
        </w:rPr>
      </w:pPr>
      <w:bookmarkStart w:id="0" w:name="OLE_LINK30"/>
      <w:bookmarkStart w:id="1" w:name="OLE_LINK31"/>
    </w:p>
    <w:p w14:paraId="22B2B76A">
      <w:pPr>
        <w:spacing w:line="276" w:lineRule="auto"/>
        <w:jc w:val="center"/>
        <w:rPr>
          <w:rFonts w:hint="eastAsia" w:ascii="Calibri" w:hAnsi="宋体" w:eastAsia="宋体" w:cs="Times New Roman"/>
          <w:b/>
          <w:bCs/>
          <w:color w:val="000000"/>
          <w:spacing w:val="-8"/>
          <w:sz w:val="48"/>
          <w:szCs w:val="44"/>
          <w:highlight w:val="none"/>
        </w:rPr>
      </w:pPr>
      <w:r>
        <w:rPr>
          <w:rFonts w:hint="eastAsia" w:ascii="Calibri" w:hAnsi="宋体" w:eastAsia="宋体" w:cs="Times New Roman"/>
          <w:b/>
          <w:bCs/>
          <w:color w:val="000000"/>
          <w:spacing w:val="-8"/>
          <w:sz w:val="48"/>
          <w:szCs w:val="44"/>
          <w:highlight w:val="none"/>
        </w:rPr>
        <w:t>中国重汽集团济南动力有限公司</w:t>
      </w:r>
    </w:p>
    <w:p w14:paraId="08AE8924">
      <w:pPr>
        <w:spacing w:line="276" w:lineRule="auto"/>
        <w:jc w:val="center"/>
        <w:rPr>
          <w:rFonts w:hint="default" w:ascii="Calibri" w:hAnsi="宋体" w:eastAsia="宋体" w:cs="Times New Roman"/>
          <w:b/>
          <w:bCs/>
          <w:color w:val="000000"/>
          <w:spacing w:val="-8"/>
          <w:sz w:val="48"/>
          <w:szCs w:val="44"/>
          <w:highlight w:val="none"/>
          <w:lang w:val="en-US" w:eastAsia="zh-CN"/>
        </w:rPr>
      </w:pPr>
      <w:r>
        <w:rPr>
          <w:rFonts w:hint="eastAsia" w:ascii="Calibri" w:hAnsi="宋体" w:eastAsia="宋体" w:cs="Times New Roman"/>
          <w:b/>
          <w:bCs/>
          <w:color w:val="000000"/>
          <w:spacing w:val="-8"/>
          <w:sz w:val="48"/>
          <w:szCs w:val="44"/>
          <w:highlight w:val="none"/>
          <w:lang w:val="en-US" w:eastAsia="zh-CN"/>
        </w:rPr>
        <w:t>济南发动机厂拉鲁定位装置和台中测量装置开发项目</w:t>
      </w:r>
    </w:p>
    <w:p w14:paraId="2FE27B8C">
      <w:pPr>
        <w:jc w:val="right"/>
        <w:rPr>
          <w:rFonts w:hint="eastAsia" w:ascii="Calibri" w:hAnsi="Calibri" w:eastAsia="宋体" w:cs="Times New Roman"/>
          <w:color w:val="000000"/>
          <w:sz w:val="28"/>
          <w:szCs w:val="28"/>
          <w:highlight w:val="none"/>
          <w:lang w:val="en-US" w:eastAsia="zh-CN"/>
        </w:rPr>
      </w:pPr>
      <w:r>
        <w:rPr>
          <w:rFonts w:hint="eastAsia" w:ascii="Calibri" w:hAnsi="Calibri" w:eastAsia="宋体" w:cs="Times New Roman"/>
          <w:color w:val="000000"/>
          <w:sz w:val="28"/>
          <w:szCs w:val="28"/>
          <w:highlight w:val="none"/>
          <w:lang w:val="en-US" w:eastAsia="zh-CN"/>
        </w:rPr>
        <w:t xml:space="preserve">                                     </w:t>
      </w:r>
    </w:p>
    <w:p w14:paraId="25F1B867">
      <w:pPr>
        <w:pStyle w:val="17"/>
        <w:rPr>
          <w:rFonts w:hint="eastAsia"/>
          <w:highlight w:val="none"/>
          <w:lang w:eastAsia="zh-CN"/>
        </w:rPr>
      </w:pPr>
    </w:p>
    <w:p w14:paraId="3FD574FD">
      <w:pPr>
        <w:pStyle w:val="17"/>
        <w:rPr>
          <w:rFonts w:hint="eastAsia"/>
          <w:highlight w:val="none"/>
          <w:lang w:eastAsia="zh-CN"/>
        </w:rPr>
      </w:pPr>
    </w:p>
    <w:p w14:paraId="21DF310A">
      <w:pPr>
        <w:pStyle w:val="17"/>
        <w:rPr>
          <w:rFonts w:hint="eastAsia"/>
          <w:highlight w:val="none"/>
          <w:lang w:eastAsia="zh-CN"/>
        </w:rPr>
      </w:pPr>
    </w:p>
    <w:p w14:paraId="1108E111">
      <w:pPr>
        <w:jc w:val="right"/>
        <w:rPr>
          <w:rFonts w:ascii="Calibri" w:hAnsi="Calibri" w:eastAsia="宋体" w:cs="Times New Roman"/>
          <w:color w:val="000000"/>
          <w:sz w:val="28"/>
          <w:szCs w:val="28"/>
          <w:highlight w:val="none"/>
        </w:rPr>
      </w:pPr>
    </w:p>
    <w:p w14:paraId="0A946FB4">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招</w:t>
      </w:r>
    </w:p>
    <w:p w14:paraId="6AFD908F">
      <w:pPr>
        <w:jc w:val="center"/>
        <w:rPr>
          <w:rFonts w:ascii="黑体" w:hAnsi="宋体" w:eastAsia="黑体" w:cs="Times New Roman"/>
          <w:color w:val="000000"/>
          <w:sz w:val="72"/>
          <w:szCs w:val="72"/>
          <w:highlight w:val="none"/>
        </w:rPr>
      </w:pPr>
    </w:p>
    <w:p w14:paraId="4C76AFF9">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151AD9DF">
      <w:pPr>
        <w:jc w:val="center"/>
        <w:rPr>
          <w:rFonts w:ascii="黑体" w:hAnsi="宋体" w:eastAsia="黑体" w:cs="Times New Roman"/>
          <w:color w:val="000000"/>
          <w:sz w:val="72"/>
          <w:szCs w:val="72"/>
          <w:highlight w:val="none"/>
        </w:rPr>
      </w:pPr>
    </w:p>
    <w:p w14:paraId="00FA3F79">
      <w:pPr>
        <w:jc w:val="center"/>
        <w:rPr>
          <w:rFonts w:ascii="宋体" w:hAnsi="Calibri" w:eastAsia="宋体" w:cs="Times New Roman"/>
          <w:color w:val="000000"/>
          <w:sz w:val="28"/>
          <w:szCs w:val="28"/>
          <w:highlight w:val="none"/>
        </w:rPr>
      </w:pPr>
      <w:r>
        <w:rPr>
          <w:rFonts w:hint="eastAsia" w:ascii="黑体" w:hAnsi="宋体" w:eastAsia="黑体" w:cs="Times New Roman"/>
          <w:color w:val="000000"/>
          <w:sz w:val="72"/>
          <w:szCs w:val="72"/>
          <w:highlight w:val="none"/>
        </w:rPr>
        <w:t>书</w:t>
      </w:r>
    </w:p>
    <w:p w14:paraId="1D7C241C">
      <w:pPr>
        <w:spacing w:line="860" w:lineRule="exact"/>
        <w:rPr>
          <w:rFonts w:ascii="华文仿宋" w:hAnsi="华文仿宋" w:eastAsia="华文仿宋"/>
          <w:b/>
          <w:bCs/>
          <w:sz w:val="32"/>
          <w:szCs w:val="28"/>
          <w:highlight w:val="none"/>
        </w:rPr>
      </w:pPr>
      <w:r>
        <w:rPr>
          <w:rFonts w:hint="eastAsia" w:ascii="华文仿宋" w:hAnsi="华文仿宋" w:eastAsia="华文仿宋"/>
          <w:sz w:val="32"/>
          <w:szCs w:val="28"/>
          <w:highlight w:val="none"/>
        </w:rPr>
        <w:t xml:space="preserve">                </w:t>
      </w:r>
      <w:r>
        <w:rPr>
          <w:rFonts w:hint="eastAsia" w:ascii="华文仿宋" w:hAnsi="华文仿宋" w:eastAsia="华文仿宋"/>
          <w:b/>
          <w:bCs/>
          <w:sz w:val="32"/>
          <w:szCs w:val="28"/>
          <w:highlight w:val="none"/>
        </w:rPr>
        <w:t xml:space="preserve"> 编制：   </w:t>
      </w:r>
      <w:r>
        <w:rPr>
          <w:rFonts w:hint="eastAsia" w:ascii="华文仿宋" w:hAnsi="华文仿宋" w:eastAsia="华文仿宋"/>
          <w:b/>
          <w:bCs/>
          <w:sz w:val="32"/>
          <w:szCs w:val="28"/>
          <w:highlight w:val="none"/>
          <w:lang w:val="en-US" w:eastAsia="zh-CN"/>
        </w:rPr>
        <w:t xml:space="preserve"> </w:t>
      </w:r>
      <w:r>
        <w:rPr>
          <w:rFonts w:hint="eastAsia" w:ascii="华文仿宋" w:hAnsi="华文仿宋" w:eastAsia="华文仿宋"/>
          <w:b/>
          <w:bCs/>
          <w:sz w:val="32"/>
          <w:szCs w:val="28"/>
          <w:highlight w:val="none"/>
        </w:rPr>
        <w:t xml:space="preserve">         </w:t>
      </w:r>
    </w:p>
    <w:p w14:paraId="32FE3A6E">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审核：             </w:t>
      </w:r>
    </w:p>
    <w:p w14:paraId="18B56AD2">
      <w:pPr>
        <w:spacing w:line="860" w:lineRule="exact"/>
        <w:rPr>
          <w:rFonts w:hint="default" w:ascii="华文仿宋" w:hAnsi="华文仿宋" w:eastAsia="华文仿宋"/>
          <w:b/>
          <w:bCs/>
          <w:sz w:val="32"/>
          <w:szCs w:val="28"/>
          <w:highlight w:val="none"/>
          <w:lang w:val="en-US" w:eastAsia="zh-CN"/>
        </w:rPr>
      </w:pPr>
      <w:r>
        <w:rPr>
          <w:rFonts w:hint="eastAsia" w:ascii="华文仿宋" w:hAnsi="华文仿宋" w:eastAsia="华文仿宋"/>
          <w:b/>
          <w:bCs/>
          <w:sz w:val="32"/>
          <w:szCs w:val="28"/>
          <w:highlight w:val="none"/>
        </w:rPr>
        <w:t xml:space="preserve">                 批准：    </w:t>
      </w:r>
      <w:r>
        <w:rPr>
          <w:rFonts w:hint="eastAsia" w:ascii="华文仿宋" w:hAnsi="华文仿宋" w:eastAsia="华文仿宋"/>
          <w:b/>
          <w:bCs/>
          <w:sz w:val="32"/>
          <w:szCs w:val="28"/>
          <w:highlight w:val="none"/>
          <w:lang w:val="en-US" w:eastAsia="zh-CN"/>
        </w:rPr>
        <w:t xml:space="preserve">         </w:t>
      </w:r>
    </w:p>
    <w:p w14:paraId="15CCA45B">
      <w:pPr>
        <w:pStyle w:val="17"/>
        <w:rPr>
          <w:b/>
          <w:bCs/>
          <w:highlight w:val="none"/>
        </w:rPr>
      </w:pPr>
    </w:p>
    <w:p w14:paraId="34C78694">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人：中国重汽集团济南动力有限公司</w:t>
      </w:r>
      <w:bookmarkStart w:id="182" w:name="_GoBack"/>
      <w:bookmarkEnd w:id="182"/>
      <w:r>
        <w:rPr>
          <w:rFonts w:hint="eastAsia" w:ascii="宋体" w:hAnsi="宋体" w:eastAsia="宋体" w:cs="Times New Roman"/>
          <w:color w:val="000000"/>
          <w:sz w:val="28"/>
          <w:szCs w:val="28"/>
          <w:highlight w:val="none"/>
        </w:rPr>
        <w:t>济南发动机厂</w:t>
      </w:r>
    </w:p>
    <w:p w14:paraId="38528EA6">
      <w:pPr>
        <w:jc w:val="center"/>
        <w:rPr>
          <w:rFonts w:ascii="宋体" w:hAnsi="Calibri" w:eastAsia="宋体" w:cs="Times New Roman"/>
          <w:color w:val="000000"/>
          <w:sz w:val="28"/>
          <w:szCs w:val="28"/>
          <w:highlight w:val="none"/>
        </w:rPr>
      </w:pPr>
      <w:r>
        <w:rPr>
          <w:rFonts w:hint="eastAsia" w:ascii="Calibri" w:hAnsi="Calibri" w:eastAsia="宋体" w:cs="Times New Roman"/>
          <w:color w:val="000000"/>
          <w:sz w:val="28"/>
          <w:szCs w:val="28"/>
          <w:highlight w:val="none"/>
          <w:lang w:eastAsia="zh-CN"/>
        </w:rPr>
        <w:t>2025年</w:t>
      </w:r>
      <w:r>
        <w:rPr>
          <w:rFonts w:hint="eastAsia" w:ascii="Calibri" w:hAnsi="Calibri" w:eastAsia="宋体" w:cs="Times New Roman"/>
          <w:color w:val="000000"/>
          <w:sz w:val="28"/>
          <w:szCs w:val="28"/>
          <w:highlight w:val="none"/>
          <w:lang w:val="en-US" w:eastAsia="zh-CN"/>
        </w:rPr>
        <w:t>10</w:t>
      </w:r>
      <w:r>
        <w:rPr>
          <w:rFonts w:hint="eastAsia" w:ascii="Calibri" w:hAnsi="Calibri" w:eastAsia="宋体" w:cs="Times New Roman"/>
          <w:color w:val="000000"/>
          <w:sz w:val="28"/>
          <w:szCs w:val="28"/>
          <w:highlight w:val="none"/>
          <w:lang w:eastAsia="zh-CN"/>
        </w:rPr>
        <w:t>月</w:t>
      </w:r>
    </w:p>
    <w:p w14:paraId="4112030C">
      <w:pPr>
        <w:keepNext/>
        <w:keepLines/>
        <w:jc w:val="center"/>
        <w:rPr>
          <w:rFonts w:ascii="Calibri" w:hAnsi="Calibri" w:eastAsia="宋体" w:cs="Times New Roman"/>
          <w:b/>
          <w:bCs/>
          <w:kern w:val="44"/>
          <w:sz w:val="36"/>
          <w:szCs w:val="44"/>
          <w:highlight w:val="none"/>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highlight w:val="none"/>
        </w:rPr>
        <w:id w:val="147459055"/>
        <w15:color w:val="DBDBDB"/>
        <w:docPartObj>
          <w:docPartGallery w:val="Table of Contents"/>
          <w:docPartUnique/>
        </w:docPartObj>
      </w:sdtPr>
      <w:sdtEndPr>
        <w:rPr>
          <w:rFonts w:hint="eastAsia" w:ascii="Calibri" w:hAnsi="Calibri" w:eastAsia="宋体" w:cs="Times New Roman"/>
          <w:b/>
          <w:bCs/>
          <w:kern w:val="44"/>
          <w:sz w:val="21"/>
          <w:szCs w:val="44"/>
          <w:highlight w:val="none"/>
        </w:rPr>
      </w:sdtEndPr>
      <w:sdtContent>
        <w:p w14:paraId="5A02AFAF">
          <w:pPr>
            <w:spacing w:line="480" w:lineRule="auto"/>
            <w:jc w:val="center"/>
            <w:rPr>
              <w:rFonts w:cs="宋体"/>
              <w:b/>
              <w:bCs/>
              <w:sz w:val="48"/>
              <w:szCs w:val="48"/>
              <w:highlight w:val="none"/>
            </w:rPr>
          </w:pPr>
          <w:r>
            <w:rPr>
              <w:rFonts w:ascii="宋体" w:hAnsi="宋体" w:eastAsia="宋体" w:cs="宋体"/>
              <w:b/>
              <w:bCs/>
              <w:sz w:val="48"/>
              <w:szCs w:val="48"/>
              <w:highlight w:val="none"/>
            </w:rPr>
            <w:t>目录</w:t>
          </w:r>
        </w:p>
        <w:p w14:paraId="63014878">
          <w:pPr>
            <w:pStyle w:val="24"/>
            <w:tabs>
              <w:tab w:val="right" w:leader="dot" w:pos="9071"/>
            </w:tabs>
            <w:spacing w:line="480" w:lineRule="auto"/>
            <w:rPr>
              <w:rFonts w:hint="eastAsia" w:eastAsia="宋体"/>
              <w:color w:val="auto"/>
              <w:sz w:val="32"/>
              <w:szCs w:val="32"/>
              <w:highlight w:val="none"/>
              <w:lang w:eastAsia="zh-CN"/>
            </w:rPr>
          </w:pPr>
          <w:r>
            <w:rPr>
              <w:rFonts w:hint="eastAsia" w:ascii="Calibri" w:hAnsi="Calibri"/>
              <w:bCs/>
              <w:kern w:val="44"/>
              <w:sz w:val="36"/>
              <w:szCs w:val="44"/>
              <w:highlight w:val="none"/>
            </w:rPr>
            <w:fldChar w:fldCharType="begin"/>
          </w:r>
          <w:r>
            <w:rPr>
              <w:rFonts w:hint="eastAsia" w:ascii="Calibri" w:hAnsi="Calibri"/>
              <w:bCs/>
              <w:kern w:val="44"/>
              <w:sz w:val="36"/>
              <w:szCs w:val="44"/>
              <w:highlight w:val="none"/>
            </w:rPr>
            <w:instrText xml:space="preserve">TOC \o "1-1" \h \u </w:instrText>
          </w:r>
          <w:r>
            <w:rPr>
              <w:rFonts w:hint="eastAsia" w:ascii="Calibri" w:hAnsi="Calibri"/>
              <w:bCs/>
              <w:kern w:val="44"/>
              <w:sz w:val="36"/>
              <w:szCs w:val="44"/>
              <w:highlight w:val="none"/>
            </w:rPr>
            <w:fldChar w:fldCharType="separate"/>
          </w:r>
          <w:r>
            <w:rPr>
              <w:highlight w:val="none"/>
            </w:rPr>
            <w:fldChar w:fldCharType="begin"/>
          </w:r>
          <w:r>
            <w:rPr>
              <w:highlight w:val="none"/>
            </w:rPr>
            <w:instrText xml:space="preserve"> HYPERLINK \l "_Toc25915" </w:instrText>
          </w:r>
          <w:r>
            <w:rPr>
              <w:highlight w:val="none"/>
            </w:rPr>
            <w:fldChar w:fldCharType="separate"/>
          </w:r>
          <w:r>
            <w:rPr>
              <w:rFonts w:hint="eastAsia" w:ascii="Calibri" w:hAnsi="Calibri"/>
              <w:bCs/>
              <w:color w:val="auto"/>
              <w:kern w:val="44"/>
              <w:sz w:val="32"/>
              <w:szCs w:val="32"/>
              <w:highlight w:val="none"/>
            </w:rPr>
            <w:t>第</w:t>
          </w:r>
          <w:r>
            <w:rPr>
              <w:rFonts w:hint="eastAsia" w:ascii="Calibri" w:hAnsi="Calibri"/>
              <w:bCs/>
              <w:color w:val="auto"/>
              <w:kern w:val="44"/>
              <w:sz w:val="32"/>
              <w:szCs w:val="32"/>
              <w:highlight w:val="none"/>
              <w:lang w:val="en-US" w:eastAsia="zh-CN"/>
            </w:rPr>
            <w:t>一</w:t>
          </w:r>
          <w:r>
            <w:rPr>
              <w:rFonts w:hint="eastAsia" w:ascii="Calibri" w:hAnsi="Calibri"/>
              <w:bCs/>
              <w:color w:val="auto"/>
              <w:kern w:val="44"/>
              <w:sz w:val="32"/>
              <w:szCs w:val="32"/>
              <w:highlight w:val="none"/>
            </w:rPr>
            <w:t>部分 投标人须知前附表</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3</w:t>
          </w:r>
        </w:p>
        <w:p w14:paraId="07DB3BC1">
          <w:pPr>
            <w:pStyle w:val="24"/>
            <w:tabs>
              <w:tab w:val="right" w:leader="dot" w:pos="9071"/>
            </w:tabs>
            <w:spacing w:line="480" w:lineRule="auto"/>
            <w:rPr>
              <w:rFonts w:hint="eastAsia" w:eastAsia="宋体"/>
              <w:color w:val="auto"/>
              <w:sz w:val="32"/>
              <w:szCs w:val="32"/>
              <w:highlight w:val="none"/>
              <w:lang w:eastAsia="zh-CN"/>
            </w:rPr>
          </w:pPr>
          <w:r>
            <w:rPr>
              <w:highlight w:val="none"/>
            </w:rPr>
            <w:fldChar w:fldCharType="begin"/>
          </w:r>
          <w:r>
            <w:rPr>
              <w:highlight w:val="none"/>
            </w:rPr>
            <w:instrText xml:space="preserve"> HYPERLINK \l "_Toc15609" </w:instrText>
          </w:r>
          <w:r>
            <w:rPr>
              <w:highlight w:val="none"/>
            </w:rPr>
            <w:fldChar w:fldCharType="separate"/>
          </w:r>
          <w:r>
            <w:rPr>
              <w:rFonts w:hint="eastAsia" w:ascii="Calibri" w:hAnsi="Calibri"/>
              <w:bCs/>
              <w:color w:val="auto"/>
              <w:kern w:val="44"/>
              <w:sz w:val="32"/>
              <w:szCs w:val="32"/>
              <w:highlight w:val="none"/>
            </w:rPr>
            <w:t>第</w:t>
          </w:r>
          <w:r>
            <w:rPr>
              <w:rFonts w:hint="eastAsia" w:ascii="Calibri" w:hAnsi="Calibri"/>
              <w:bCs/>
              <w:color w:val="auto"/>
              <w:kern w:val="44"/>
              <w:sz w:val="32"/>
              <w:szCs w:val="32"/>
              <w:highlight w:val="none"/>
              <w:lang w:val="en-US" w:eastAsia="zh-CN"/>
            </w:rPr>
            <w:t>二</w:t>
          </w:r>
          <w:r>
            <w:rPr>
              <w:rFonts w:hint="eastAsia" w:ascii="Calibri" w:hAnsi="Calibri"/>
              <w:bCs/>
              <w:color w:val="auto"/>
              <w:kern w:val="44"/>
              <w:sz w:val="32"/>
              <w:szCs w:val="32"/>
              <w:highlight w:val="none"/>
            </w:rPr>
            <w:t>部分 投标人须知</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7</w:t>
          </w:r>
        </w:p>
        <w:p w14:paraId="27532451">
          <w:pPr>
            <w:pStyle w:val="24"/>
            <w:tabs>
              <w:tab w:val="right" w:leader="dot" w:pos="9071"/>
            </w:tabs>
            <w:spacing w:line="480" w:lineRule="auto"/>
            <w:rPr>
              <w:rFonts w:hint="default" w:eastAsia="宋体"/>
              <w:color w:val="auto"/>
              <w:sz w:val="32"/>
              <w:szCs w:val="32"/>
              <w:highlight w:val="none"/>
              <w:lang w:val="en-US" w:eastAsia="zh-CN"/>
            </w:rPr>
          </w:pPr>
          <w:r>
            <w:rPr>
              <w:highlight w:val="none"/>
            </w:rPr>
            <w:fldChar w:fldCharType="begin"/>
          </w:r>
          <w:r>
            <w:rPr>
              <w:highlight w:val="none"/>
            </w:rPr>
            <w:instrText xml:space="preserve"> HYPERLINK \l "_Toc22879" </w:instrText>
          </w:r>
          <w:r>
            <w:rPr>
              <w:highlight w:val="none"/>
            </w:rPr>
            <w:fldChar w:fldCharType="separate"/>
          </w:r>
          <w:r>
            <w:rPr>
              <w:rFonts w:hint="eastAsia" w:ascii="Calibri" w:hAnsi="Calibri"/>
              <w:bCs/>
              <w:color w:val="auto"/>
              <w:kern w:val="44"/>
              <w:sz w:val="32"/>
              <w:szCs w:val="32"/>
              <w:highlight w:val="none"/>
            </w:rPr>
            <w:t>第</w:t>
          </w:r>
          <w:r>
            <w:rPr>
              <w:rFonts w:hint="eastAsia" w:ascii="Calibri" w:hAnsi="Calibri"/>
              <w:bCs/>
              <w:color w:val="auto"/>
              <w:kern w:val="44"/>
              <w:sz w:val="32"/>
              <w:szCs w:val="32"/>
              <w:highlight w:val="none"/>
              <w:lang w:val="en-US" w:eastAsia="zh-CN"/>
            </w:rPr>
            <w:t>三</w:t>
          </w:r>
          <w:r>
            <w:rPr>
              <w:rFonts w:hint="eastAsia" w:ascii="Calibri" w:hAnsi="Calibri"/>
              <w:bCs/>
              <w:color w:val="auto"/>
              <w:kern w:val="44"/>
              <w:sz w:val="32"/>
              <w:szCs w:val="32"/>
              <w:highlight w:val="none"/>
            </w:rPr>
            <w:t>部分 投标文件编制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13</w:t>
          </w:r>
        </w:p>
        <w:p w14:paraId="2863E934">
          <w:pPr>
            <w:pStyle w:val="24"/>
            <w:tabs>
              <w:tab w:val="right" w:leader="dot" w:pos="9071"/>
            </w:tabs>
            <w:spacing w:line="480" w:lineRule="auto"/>
            <w:rPr>
              <w:rFonts w:hint="default" w:eastAsia="宋体"/>
              <w:color w:val="auto"/>
              <w:sz w:val="32"/>
              <w:szCs w:val="32"/>
              <w:highlight w:val="none"/>
              <w:lang w:val="en-US" w:eastAsia="zh-CN"/>
            </w:rPr>
          </w:pPr>
          <w:r>
            <w:rPr>
              <w:highlight w:val="none"/>
            </w:rPr>
            <w:fldChar w:fldCharType="begin"/>
          </w:r>
          <w:r>
            <w:rPr>
              <w:highlight w:val="none"/>
            </w:rPr>
            <w:instrText xml:space="preserve"> HYPERLINK \l "_Toc9849" </w:instrText>
          </w:r>
          <w:r>
            <w:rPr>
              <w:highlight w:val="none"/>
            </w:rPr>
            <w:fldChar w:fldCharType="separate"/>
          </w:r>
          <w:r>
            <w:rPr>
              <w:rFonts w:hint="eastAsia" w:ascii="Calibri" w:hAnsi="Calibri"/>
              <w:bCs/>
              <w:color w:val="auto"/>
              <w:kern w:val="44"/>
              <w:sz w:val="32"/>
              <w:szCs w:val="32"/>
              <w:highlight w:val="none"/>
            </w:rPr>
            <w:t>第</w:t>
          </w:r>
          <w:r>
            <w:rPr>
              <w:rFonts w:hint="eastAsia" w:ascii="Calibri" w:hAnsi="Calibri"/>
              <w:bCs/>
              <w:color w:val="auto"/>
              <w:kern w:val="44"/>
              <w:sz w:val="32"/>
              <w:szCs w:val="32"/>
              <w:highlight w:val="none"/>
              <w:lang w:val="en-US" w:eastAsia="zh-CN"/>
            </w:rPr>
            <w:t>四</w:t>
          </w:r>
          <w:r>
            <w:rPr>
              <w:rFonts w:hint="eastAsia" w:ascii="Calibri" w:hAnsi="Calibri"/>
              <w:bCs/>
              <w:color w:val="auto"/>
              <w:kern w:val="44"/>
              <w:sz w:val="32"/>
              <w:szCs w:val="32"/>
              <w:highlight w:val="none"/>
            </w:rPr>
            <w:t>部分 技术标书</w:t>
          </w:r>
          <w:r>
            <w:rPr>
              <w:rFonts w:hint="eastAsia" w:ascii="Calibri"/>
              <w:bCs/>
              <w:color w:val="auto"/>
              <w:spacing w:val="-8"/>
              <w:sz w:val="32"/>
              <w:szCs w:val="32"/>
              <w:highlight w:val="none"/>
            </w:rPr>
            <w:t xml:space="preserve"> </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16</w:t>
          </w:r>
        </w:p>
        <w:p w14:paraId="642146FE">
          <w:pPr>
            <w:pStyle w:val="24"/>
            <w:tabs>
              <w:tab w:val="right" w:leader="dot" w:pos="9071"/>
            </w:tabs>
            <w:spacing w:line="480" w:lineRule="auto"/>
            <w:rPr>
              <w:rFonts w:hint="default" w:eastAsia="宋体"/>
              <w:color w:val="auto"/>
              <w:sz w:val="32"/>
              <w:szCs w:val="32"/>
              <w:highlight w:val="none"/>
              <w:lang w:val="en-US" w:eastAsia="zh-CN"/>
            </w:rPr>
          </w:pPr>
          <w:r>
            <w:rPr>
              <w:highlight w:val="none"/>
            </w:rPr>
            <w:fldChar w:fldCharType="begin"/>
          </w:r>
          <w:r>
            <w:rPr>
              <w:highlight w:val="none"/>
            </w:rPr>
            <w:instrText xml:space="preserve"> HYPERLINK \l "_Toc28859" </w:instrText>
          </w:r>
          <w:r>
            <w:rPr>
              <w:highlight w:val="none"/>
            </w:rPr>
            <w:fldChar w:fldCharType="separate"/>
          </w:r>
          <w:r>
            <w:rPr>
              <w:rFonts w:hint="eastAsia"/>
              <w:color w:val="auto"/>
              <w:sz w:val="32"/>
              <w:szCs w:val="32"/>
              <w:highlight w:val="none"/>
            </w:rPr>
            <w:t>第</w:t>
          </w:r>
          <w:r>
            <w:rPr>
              <w:rFonts w:hint="eastAsia"/>
              <w:color w:val="auto"/>
              <w:sz w:val="32"/>
              <w:szCs w:val="32"/>
              <w:highlight w:val="none"/>
              <w:lang w:val="en-US" w:eastAsia="zh-CN"/>
            </w:rPr>
            <w:t>五</w:t>
          </w:r>
          <w:r>
            <w:rPr>
              <w:rFonts w:hint="eastAsia"/>
              <w:color w:val="auto"/>
              <w:sz w:val="32"/>
              <w:szCs w:val="32"/>
              <w:highlight w:val="none"/>
            </w:rPr>
            <w:t>部分</w:t>
          </w:r>
          <w:r>
            <w:rPr>
              <w:color w:val="auto"/>
              <w:sz w:val="32"/>
              <w:szCs w:val="32"/>
              <w:highlight w:val="none"/>
            </w:rPr>
            <w:t xml:space="preserve"> </w:t>
          </w:r>
          <w:r>
            <w:rPr>
              <w:rFonts w:hint="eastAsia"/>
              <w:color w:val="auto"/>
              <w:sz w:val="32"/>
              <w:szCs w:val="32"/>
              <w:highlight w:val="none"/>
            </w:rPr>
            <w:t>设备采购合同</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37</w:t>
          </w:r>
        </w:p>
        <w:p w14:paraId="1E42ED71">
          <w:pPr>
            <w:pStyle w:val="24"/>
            <w:tabs>
              <w:tab w:val="right" w:leader="dot" w:pos="9071"/>
            </w:tabs>
            <w:spacing w:line="480" w:lineRule="auto"/>
            <w:rPr>
              <w:rFonts w:hint="default" w:eastAsia="宋体"/>
              <w:highlight w:val="none"/>
              <w:lang w:val="en-US" w:eastAsia="zh-CN"/>
            </w:rPr>
          </w:pPr>
          <w:r>
            <w:rPr>
              <w:highlight w:val="none"/>
            </w:rPr>
            <w:fldChar w:fldCharType="begin"/>
          </w:r>
          <w:r>
            <w:rPr>
              <w:highlight w:val="none"/>
            </w:rPr>
            <w:instrText xml:space="preserve"> HYPERLINK \l "_Toc29691" </w:instrText>
          </w:r>
          <w:r>
            <w:rPr>
              <w:highlight w:val="none"/>
            </w:rPr>
            <w:fldChar w:fldCharType="separate"/>
          </w:r>
          <w:r>
            <w:rPr>
              <w:rFonts w:hint="eastAsia" w:ascii="Calibri" w:hAnsi="Calibri"/>
              <w:bCs/>
              <w:color w:val="auto"/>
              <w:kern w:val="44"/>
              <w:sz w:val="32"/>
              <w:szCs w:val="32"/>
              <w:highlight w:val="none"/>
            </w:rPr>
            <w:t>第</w:t>
          </w:r>
          <w:r>
            <w:rPr>
              <w:rFonts w:hint="eastAsia" w:ascii="Calibri" w:hAnsi="Calibri"/>
              <w:bCs/>
              <w:color w:val="auto"/>
              <w:kern w:val="44"/>
              <w:sz w:val="32"/>
              <w:szCs w:val="32"/>
              <w:highlight w:val="none"/>
              <w:lang w:val="en-US" w:eastAsia="zh-CN"/>
            </w:rPr>
            <w:t>六</w:t>
          </w:r>
          <w:r>
            <w:rPr>
              <w:rFonts w:hint="eastAsia" w:ascii="Calibri" w:hAnsi="Calibri"/>
              <w:bCs/>
              <w:color w:val="auto"/>
              <w:kern w:val="44"/>
              <w:sz w:val="32"/>
              <w:szCs w:val="32"/>
              <w:highlight w:val="none"/>
            </w:rPr>
            <w:t>部分</w:t>
          </w:r>
          <w:r>
            <w:rPr>
              <w:rFonts w:ascii="Calibri" w:hAnsi="Calibri"/>
              <w:bCs/>
              <w:color w:val="auto"/>
              <w:kern w:val="44"/>
              <w:sz w:val="32"/>
              <w:szCs w:val="32"/>
              <w:highlight w:val="none"/>
            </w:rPr>
            <w:t xml:space="preserve"> </w:t>
          </w:r>
          <w:r>
            <w:rPr>
              <w:rFonts w:hint="eastAsia" w:ascii="Calibri" w:hAnsi="Calibri"/>
              <w:bCs/>
              <w:color w:val="auto"/>
              <w:kern w:val="44"/>
              <w:sz w:val="32"/>
              <w:szCs w:val="32"/>
              <w:highlight w:val="none"/>
            </w:rPr>
            <w:t>投标文件附件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55</w:t>
          </w:r>
        </w:p>
        <w:p w14:paraId="034469A4">
          <w:pPr>
            <w:pStyle w:val="17"/>
            <w:spacing w:line="480" w:lineRule="auto"/>
            <w:jc w:val="center"/>
            <w:rPr>
              <w:rFonts w:ascii="Calibri" w:hAnsi="Calibri" w:eastAsia="宋体" w:cs="Times New Roman"/>
              <w:b/>
              <w:bCs/>
              <w:kern w:val="44"/>
              <w:sz w:val="36"/>
              <w:szCs w:val="44"/>
              <w:highlight w:val="none"/>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highlight w:val="none"/>
            </w:rPr>
            <w:fldChar w:fldCharType="end"/>
          </w:r>
        </w:p>
      </w:sdtContent>
    </w:sdt>
    <w:p w14:paraId="3319BE1C">
      <w:pPr>
        <w:pStyle w:val="17"/>
        <w:numPr>
          <w:ilvl w:val="0"/>
          <w:numId w:val="1"/>
        </w:numPr>
        <w:jc w:val="center"/>
        <w:outlineLvl w:val="0"/>
        <w:rPr>
          <w:rFonts w:ascii="Calibri" w:hAnsi="Calibri" w:eastAsia="宋体" w:cs="Times New Roman"/>
          <w:b/>
          <w:bCs/>
          <w:kern w:val="44"/>
          <w:sz w:val="36"/>
          <w:szCs w:val="44"/>
          <w:highlight w:val="none"/>
        </w:rPr>
      </w:pPr>
      <w:bookmarkStart w:id="2" w:name="_Toc25915"/>
      <w:r>
        <w:rPr>
          <w:rFonts w:hint="eastAsia" w:ascii="Calibri" w:hAnsi="Calibri" w:eastAsia="宋体" w:cs="Times New Roman"/>
          <w:b/>
          <w:bCs/>
          <w:kern w:val="44"/>
          <w:sz w:val="36"/>
          <w:szCs w:val="44"/>
          <w:highlight w:val="none"/>
        </w:rPr>
        <w:t xml:space="preserve"> 投标须知前附表</w:t>
      </w:r>
      <w:bookmarkEnd w:id="2"/>
    </w:p>
    <w:p w14:paraId="59438C87">
      <w:pPr>
        <w:pStyle w:val="17"/>
        <w:jc w:val="center"/>
        <w:rPr>
          <w:rFonts w:ascii="Calibri" w:hAnsi="Calibri" w:eastAsia="宋体" w:cs="Times New Roman"/>
          <w:b/>
          <w:bCs/>
          <w:kern w:val="44"/>
          <w:sz w:val="36"/>
          <w:szCs w:val="44"/>
          <w:highlight w:val="none"/>
        </w:rPr>
      </w:pPr>
    </w:p>
    <w:p w14:paraId="08B88D8F">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本</w:t>
      </w:r>
      <w:r>
        <w:rPr>
          <w:rFonts w:hint="eastAsia" w:ascii="宋体" w:hAnsi="宋体" w:eastAsia="宋体" w:cs="宋体"/>
          <w:b/>
          <w:bCs/>
          <w:sz w:val="24"/>
          <w:szCs w:val="24"/>
          <w:highlight w:val="none"/>
          <w:lang w:val="en-US" w:eastAsia="zh-CN"/>
        </w:rPr>
        <w:t>部分</w:t>
      </w:r>
      <w:r>
        <w:rPr>
          <w:rFonts w:hint="eastAsia" w:ascii="宋体" w:hAnsi="宋体" w:eastAsia="宋体" w:cs="宋体"/>
          <w:b/>
          <w:bCs/>
          <w:sz w:val="24"/>
          <w:szCs w:val="24"/>
          <w:highlight w:val="none"/>
        </w:rPr>
        <w:t>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3BF959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7D80F3C3">
            <w:pPr>
              <w:jc w:val="center"/>
              <w:rPr>
                <w:rStyle w:val="129"/>
                <w:rFonts w:ascii="宋体" w:hAnsi="宋体" w:eastAsia="宋体" w:cs="宋体"/>
                <w:b/>
                <w:sz w:val="28"/>
                <w:szCs w:val="28"/>
                <w:highlight w:val="none"/>
              </w:rPr>
            </w:pPr>
            <w:bookmarkStart w:id="3" w:name="_Toc346372875"/>
            <w:r>
              <w:rPr>
                <w:rStyle w:val="129"/>
                <w:rFonts w:hint="eastAsia" w:ascii="宋体" w:hAnsi="宋体" w:eastAsia="宋体" w:cs="宋体"/>
                <w:b/>
                <w:sz w:val="28"/>
                <w:szCs w:val="28"/>
                <w:highlight w:val="none"/>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46DBF726">
            <w:pPr>
              <w:ind w:firstLine="562" w:firstLineChars="200"/>
              <w:jc w:val="center"/>
              <w:rPr>
                <w:rFonts w:ascii="宋体" w:hAnsi="宋体" w:eastAsia="宋体" w:cs="宋体"/>
                <w:b/>
                <w:bCs/>
                <w:sz w:val="28"/>
                <w:szCs w:val="28"/>
                <w:highlight w:val="none"/>
              </w:rPr>
            </w:pPr>
            <w:r>
              <w:rPr>
                <w:rStyle w:val="129"/>
                <w:rFonts w:hint="eastAsia" w:ascii="宋体" w:hAnsi="宋体" w:eastAsia="宋体" w:cs="宋体"/>
                <w:b/>
                <w:sz w:val="28"/>
                <w:szCs w:val="28"/>
                <w:highlight w:val="none"/>
              </w:rPr>
              <w:t>编  列  内  容</w:t>
            </w:r>
          </w:p>
        </w:tc>
      </w:tr>
      <w:tr w14:paraId="0C0F9F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E6F3FA6">
            <w:pPr>
              <w:spacing w:line="240" w:lineRule="auto"/>
              <w:ind w:left="0"/>
              <w:jc w:val="center"/>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1.项目说明</w:t>
            </w:r>
          </w:p>
        </w:tc>
      </w:tr>
      <w:tr w14:paraId="216598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014CE5C">
            <w:pPr>
              <w:jc w:val="center"/>
              <w:rPr>
                <w:rFonts w:ascii="宋体" w:hAnsi="宋体" w:eastAsia="宋体" w:cs="宋体"/>
                <w:sz w:val="24"/>
                <w:szCs w:val="24"/>
                <w:highlight w:val="none"/>
              </w:rPr>
            </w:pPr>
            <w:r>
              <w:rPr>
                <w:rFonts w:hint="eastAsia" w:ascii="宋体" w:hAnsi="宋体" w:eastAsia="宋体" w:cs="宋体"/>
                <w:sz w:val="24"/>
                <w:szCs w:val="24"/>
                <w:highlight w:val="none"/>
              </w:rPr>
              <w:t>1.1</w:t>
            </w:r>
          </w:p>
        </w:tc>
        <w:tc>
          <w:tcPr>
            <w:tcW w:w="8363" w:type="dxa"/>
            <w:tcBorders>
              <w:top w:val="single" w:color="auto" w:sz="2" w:space="0"/>
              <w:left w:val="single" w:color="auto" w:sz="2" w:space="0"/>
              <w:bottom w:val="single" w:color="auto" w:sz="2" w:space="0"/>
              <w:right w:val="single" w:color="auto" w:sz="2" w:space="0"/>
            </w:tcBorders>
            <w:vAlign w:val="center"/>
          </w:tcPr>
          <w:p w14:paraId="48C28930">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p>
        </w:tc>
      </w:tr>
      <w:tr w14:paraId="3B012E7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BDD130C">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7529C0BE">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采购形式</w:t>
            </w:r>
            <w:r>
              <w:rPr>
                <w:rFonts w:hint="eastAsia" w:ascii="宋体" w:hAnsi="宋体" w:eastAsia="宋体" w:cs="宋体"/>
                <w:b/>
                <w:bCs/>
                <w:sz w:val="24"/>
                <w:szCs w:val="24"/>
                <w:highlight w:val="none"/>
              </w:rPr>
              <w:t>编号：</w:t>
            </w:r>
            <w:r>
              <w:rPr>
                <w:rFonts w:hint="eastAsia" w:ascii="宋体" w:hAnsi="宋体" w:eastAsia="宋体" w:cs="宋体"/>
                <w:sz w:val="24"/>
                <w:szCs w:val="24"/>
                <w:highlight w:val="none"/>
                <w:u w:val="single"/>
                <w:lang w:val="en-US" w:eastAsia="zh-CN"/>
              </w:rPr>
              <w:t>FSCZB2025100095</w:t>
            </w:r>
          </w:p>
        </w:tc>
      </w:tr>
      <w:tr w14:paraId="19D0545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43317683">
            <w:pPr>
              <w:jc w:val="center"/>
              <w:rPr>
                <w:rFonts w:ascii="宋体" w:hAnsi="宋体" w:eastAsia="宋体" w:cs="宋体"/>
                <w:sz w:val="24"/>
                <w:szCs w:val="24"/>
                <w:highlight w:val="none"/>
              </w:rPr>
            </w:pPr>
            <w:r>
              <w:rPr>
                <w:rFonts w:hint="eastAsia" w:ascii="宋体" w:hAnsi="宋体" w:eastAsia="宋体" w:cs="宋体"/>
                <w:sz w:val="24"/>
                <w:szCs w:val="24"/>
                <w:highlight w:val="none"/>
              </w:rPr>
              <w:t>1.2</w:t>
            </w:r>
          </w:p>
        </w:tc>
        <w:tc>
          <w:tcPr>
            <w:tcW w:w="8363" w:type="dxa"/>
            <w:tcBorders>
              <w:top w:val="single" w:color="auto" w:sz="2" w:space="0"/>
              <w:left w:val="single" w:color="auto" w:sz="2" w:space="0"/>
              <w:bottom w:val="single" w:color="auto" w:sz="2" w:space="0"/>
              <w:right w:val="single" w:color="auto" w:sz="2" w:space="0"/>
            </w:tcBorders>
            <w:vAlign w:val="center"/>
          </w:tcPr>
          <w:p w14:paraId="469D817C">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拉鲁定位装置和台中测量装置开发项目</w:t>
            </w:r>
          </w:p>
        </w:tc>
      </w:tr>
      <w:tr w14:paraId="0D5A59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B49A05B">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5B1E8E39">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11EBFC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3FD8AE6F">
            <w:pPr>
              <w:jc w:val="center"/>
              <w:rPr>
                <w:rFonts w:ascii="宋体" w:hAnsi="宋体" w:eastAsia="宋体" w:cs="宋体"/>
                <w:sz w:val="24"/>
                <w:szCs w:val="24"/>
                <w:highlight w:val="none"/>
              </w:rPr>
            </w:pPr>
            <w:r>
              <w:rPr>
                <w:rFonts w:hint="eastAsia" w:ascii="宋体" w:hAnsi="宋体" w:eastAsia="宋体" w:cs="宋体"/>
                <w:sz w:val="24"/>
                <w:szCs w:val="24"/>
                <w:highlight w:val="none"/>
              </w:rPr>
              <w:t>1.3</w:t>
            </w:r>
          </w:p>
        </w:tc>
        <w:tc>
          <w:tcPr>
            <w:tcW w:w="8363" w:type="dxa"/>
            <w:tcBorders>
              <w:top w:val="single" w:color="auto" w:sz="2" w:space="0"/>
              <w:left w:val="single" w:color="auto" w:sz="2" w:space="0"/>
              <w:bottom w:val="single" w:color="auto" w:sz="2" w:space="0"/>
              <w:right w:val="single" w:color="auto" w:sz="2" w:space="0"/>
            </w:tcBorders>
            <w:vAlign w:val="center"/>
          </w:tcPr>
          <w:p w14:paraId="61B83A71">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lang w:eastAsia="zh-CN"/>
              </w:rPr>
              <w:t>中国重汽集团济南动力有限公司济南发动机厂</w:t>
            </w:r>
            <w:r>
              <w:rPr>
                <w:rFonts w:hint="eastAsia" w:ascii="宋体" w:hAnsi="宋体" w:eastAsia="宋体" w:cs="宋体"/>
                <w:bCs/>
                <w:snapToGrid w:val="0"/>
                <w:kern w:val="0"/>
                <w:sz w:val="24"/>
                <w:szCs w:val="24"/>
                <w:highlight w:val="none"/>
              </w:rPr>
              <w:t xml:space="preserve"> </w:t>
            </w:r>
          </w:p>
          <w:p w14:paraId="7BB3DF56">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 xml:space="preserve">济南市章丘区世纪大道7777号 </w:t>
            </w:r>
          </w:p>
          <w:p w14:paraId="7C04D3CE">
            <w:pPr>
              <w:widowControl w:val="0"/>
              <w:spacing w:before="0" w:after="0"/>
              <w:ind w:firstLine="482"/>
              <w:rPr>
                <w:rFonts w:hint="eastAsia" w:ascii="宋体" w:hAnsi="宋体" w:eastAsia="宋体" w:cs="宋体"/>
                <w:b/>
                <w:kern w:val="0"/>
                <w:sz w:val="24"/>
                <w:szCs w:val="24"/>
                <w:highlight w:val="none"/>
              </w:rPr>
            </w:pPr>
            <w:r>
              <w:rPr>
                <w:rFonts w:hint="eastAsia" w:ascii="宋体" w:hAnsi="宋体" w:eastAsia="宋体" w:cs="宋体"/>
                <w:b/>
                <w:kern w:val="0"/>
                <w:sz w:val="24"/>
                <w:szCs w:val="24"/>
                <w:highlight w:val="none"/>
              </w:rPr>
              <w:t>商务联系人：苏启蒙</w:t>
            </w:r>
          </w:p>
          <w:p w14:paraId="22522841">
            <w:pPr>
              <w:widowControl w:val="0"/>
              <w:spacing w:before="0" w:after="0"/>
              <w:ind w:firstLine="482"/>
              <w:rPr>
                <w:rFonts w:hint="eastAsia" w:ascii="宋体" w:hAnsi="宋体" w:eastAsia="宋体" w:cs="宋体"/>
                <w:b/>
                <w:kern w:val="0"/>
                <w:sz w:val="24"/>
                <w:szCs w:val="24"/>
                <w:highlight w:val="none"/>
              </w:rPr>
            </w:pPr>
            <w:r>
              <w:rPr>
                <w:rFonts w:hint="eastAsia" w:ascii="宋体" w:hAnsi="宋体" w:eastAsia="宋体" w:cs="宋体"/>
                <w:b/>
                <w:kern w:val="0"/>
                <w:sz w:val="24"/>
                <w:szCs w:val="24"/>
                <w:highlight w:val="none"/>
              </w:rPr>
              <w:t>电话：17553108182</w:t>
            </w:r>
          </w:p>
          <w:p w14:paraId="5926E574">
            <w:pPr>
              <w:widowControl w:val="0"/>
              <w:spacing w:before="0" w:after="0"/>
              <w:ind w:firstLine="482"/>
              <w:rPr>
                <w:rFonts w:hint="eastAsia" w:ascii="宋体" w:hAnsi="宋体" w:eastAsia="宋体" w:cs="宋体"/>
                <w:b/>
                <w:kern w:val="0"/>
                <w:sz w:val="24"/>
                <w:szCs w:val="24"/>
                <w:highlight w:val="none"/>
              </w:rPr>
            </w:pPr>
            <w:r>
              <w:rPr>
                <w:rFonts w:hint="eastAsia" w:ascii="宋体" w:hAnsi="宋体" w:eastAsia="宋体" w:cs="宋体"/>
                <w:b/>
                <w:kern w:val="0"/>
                <w:sz w:val="24"/>
                <w:szCs w:val="24"/>
                <w:highlight w:val="none"/>
              </w:rPr>
              <w:t>邮箱：</w:t>
            </w:r>
            <w:r>
              <w:rPr>
                <w:rFonts w:hint="eastAsia" w:ascii="宋体" w:hAnsi="宋体" w:eastAsia="宋体" w:cs="宋体"/>
                <w:b/>
                <w:kern w:val="0"/>
                <w:sz w:val="24"/>
                <w:szCs w:val="24"/>
                <w:highlight w:val="none"/>
              </w:rPr>
              <w:fldChar w:fldCharType="begin"/>
            </w:r>
            <w:r>
              <w:rPr>
                <w:rFonts w:hint="eastAsia" w:ascii="宋体" w:hAnsi="宋体" w:eastAsia="宋体" w:cs="宋体"/>
                <w:b/>
                <w:kern w:val="0"/>
                <w:sz w:val="24"/>
                <w:szCs w:val="24"/>
                <w:highlight w:val="none"/>
              </w:rPr>
              <w:instrText xml:space="preserve"> HYPERLINK "mailto:suqimeng@sinotruk.com" </w:instrText>
            </w:r>
            <w:r>
              <w:rPr>
                <w:rFonts w:hint="eastAsia" w:ascii="宋体" w:hAnsi="宋体" w:eastAsia="宋体" w:cs="宋体"/>
                <w:b/>
                <w:kern w:val="0"/>
                <w:sz w:val="24"/>
                <w:szCs w:val="24"/>
                <w:highlight w:val="none"/>
              </w:rPr>
              <w:fldChar w:fldCharType="separate"/>
            </w:r>
            <w:r>
              <w:rPr>
                <w:rStyle w:val="44"/>
                <w:rFonts w:hint="eastAsia" w:ascii="宋体" w:hAnsi="宋体" w:eastAsia="宋体" w:cs="宋体"/>
                <w:b/>
                <w:kern w:val="0"/>
                <w:sz w:val="24"/>
                <w:szCs w:val="24"/>
                <w:highlight w:val="none"/>
              </w:rPr>
              <w:t>suqimeng@sinotruk.com</w:t>
            </w:r>
            <w:r>
              <w:rPr>
                <w:rFonts w:hint="eastAsia" w:ascii="宋体" w:hAnsi="宋体" w:eastAsia="宋体" w:cs="宋体"/>
                <w:b/>
                <w:kern w:val="0"/>
                <w:sz w:val="24"/>
                <w:szCs w:val="24"/>
                <w:highlight w:val="none"/>
              </w:rPr>
              <w:fldChar w:fldCharType="end"/>
            </w:r>
          </w:p>
          <w:p w14:paraId="4369EFC1">
            <w:pPr>
              <w:widowControl w:val="0"/>
              <w:spacing w:before="0" w:after="0"/>
              <w:ind w:firstLine="482"/>
              <w:rPr>
                <w:rFonts w:hint="default" w:ascii="宋体" w:hAnsi="宋体" w:eastAsia="宋体" w:cs="宋体"/>
                <w:bCs/>
                <w:kern w:val="0"/>
                <w:sz w:val="24"/>
                <w:szCs w:val="24"/>
                <w:highlight w:val="none"/>
                <w:lang w:val="en-US"/>
              </w:rPr>
            </w:pPr>
            <w:r>
              <w:rPr>
                <w:rFonts w:ascii="宋体" w:hAnsi="宋体" w:eastAsia="宋体" w:cs="宋体"/>
                <w:b/>
                <w:kern w:val="0"/>
                <w:sz w:val="24"/>
                <w:szCs w:val="24"/>
                <w:highlight w:val="none"/>
              </w:rPr>
              <w:t>技术联系人：</w:t>
            </w:r>
            <w:r>
              <w:rPr>
                <w:rFonts w:hint="eastAsia" w:ascii="宋体" w:hAnsi="宋体" w:eastAsia="宋体" w:cs="宋体"/>
                <w:b w:val="0"/>
                <w:bCs w:val="0"/>
                <w:sz w:val="24"/>
                <w:szCs w:val="24"/>
                <w:highlight w:val="none"/>
                <w:lang w:val="en-US" w:eastAsia="zh-CN"/>
              </w:rPr>
              <w:t>彭亮</w:t>
            </w:r>
          </w:p>
          <w:p w14:paraId="110AA24E">
            <w:pPr>
              <w:pStyle w:val="17"/>
              <w:widowControl w:val="0"/>
              <w:spacing w:before="0" w:after="0"/>
              <w:ind w:firstLine="482"/>
              <w:rPr>
                <w:rFonts w:hint="default" w:eastAsia="宋体"/>
                <w:highlight w:val="none"/>
                <w:lang w:val="en-US" w:eastAsia="zh-CN"/>
              </w:rPr>
            </w:pPr>
            <w:r>
              <w:rPr>
                <w:rFonts w:eastAsia="宋体" w:cs="宋体"/>
                <w:b/>
                <w:kern w:val="0"/>
                <w:sz w:val="24"/>
                <w:szCs w:val="24"/>
                <w:highlight w:val="none"/>
              </w:rPr>
              <w:t>电话：</w:t>
            </w:r>
            <w:r>
              <w:rPr>
                <w:rFonts w:hint="eastAsia" w:eastAsia="宋体" w:cs="宋体"/>
                <w:bCs/>
                <w:kern w:val="0"/>
                <w:sz w:val="24"/>
                <w:szCs w:val="24"/>
                <w:highlight w:val="none"/>
                <w:lang w:val="en-US" w:eastAsia="zh-CN"/>
              </w:rPr>
              <w:t>18615275614</w:t>
            </w:r>
          </w:p>
          <w:p w14:paraId="27A60C3F">
            <w:pPr>
              <w:ind w:firstLine="482" w:firstLineChars="200"/>
              <w:rPr>
                <w:rFonts w:hint="eastAsia" w:ascii="宋体" w:hAnsi="宋体" w:eastAsia="宋体" w:cs="宋体"/>
                <w:bCs/>
                <w:snapToGrid w:val="0"/>
                <w:kern w:val="0"/>
                <w:sz w:val="24"/>
                <w:szCs w:val="24"/>
                <w:highlight w:val="none"/>
                <w:lang w:val="en-US" w:eastAsia="zh-CN"/>
              </w:rPr>
            </w:pPr>
            <w:r>
              <w:rPr>
                <w:rFonts w:ascii="宋体" w:hAnsi="宋体" w:eastAsia="宋体" w:cs="宋体"/>
                <w:b/>
                <w:kern w:val="0"/>
                <w:sz w:val="24"/>
                <w:szCs w:val="24"/>
                <w:highlight w:val="none"/>
              </w:rPr>
              <w:t>邮箱：</w:t>
            </w:r>
            <w:r>
              <w:rPr>
                <w:highlight w:val="none"/>
              </w:rPr>
              <w:fldChar w:fldCharType="begin"/>
            </w:r>
            <w:r>
              <w:rPr>
                <w:highlight w:val="none"/>
              </w:rPr>
              <w:instrText xml:space="preserve"> HYPERLINK "mailto:liujian1@sinotruk.com" \h </w:instrText>
            </w:r>
            <w:r>
              <w:rPr>
                <w:highlight w:val="none"/>
              </w:rPr>
              <w:fldChar w:fldCharType="separate"/>
            </w:r>
            <w:r>
              <w:rPr>
                <w:rFonts w:hint="eastAsia" w:ascii="宋体" w:hAnsi="宋体" w:eastAsia="宋体" w:cs="宋体"/>
                <w:bCs/>
                <w:kern w:val="0"/>
                <w:sz w:val="24"/>
                <w:szCs w:val="24"/>
                <w:highlight w:val="none"/>
                <w:lang w:val="en-US" w:eastAsia="zh-CN" w:bidi="ar-SA"/>
              </w:rPr>
              <w:t>pengliang@sinotruk.com</w:t>
            </w:r>
            <w:r>
              <w:rPr>
                <w:rFonts w:ascii="宋体" w:hAnsi="宋体" w:eastAsia="宋体" w:cs="宋体"/>
                <w:bCs/>
                <w:kern w:val="0"/>
                <w:sz w:val="24"/>
                <w:szCs w:val="24"/>
                <w:highlight w:val="none"/>
                <w:lang w:val="en-US" w:eastAsia="zh-CN" w:bidi="ar-SA"/>
              </w:rPr>
              <w:fldChar w:fldCharType="end"/>
            </w:r>
          </w:p>
        </w:tc>
      </w:tr>
      <w:tr w14:paraId="2E80F3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0D83A99">
            <w:pPr>
              <w:jc w:val="center"/>
              <w:rPr>
                <w:rFonts w:ascii="宋体" w:hAnsi="宋体" w:eastAsia="宋体" w:cs="宋体"/>
                <w:sz w:val="24"/>
                <w:szCs w:val="24"/>
                <w:highlight w:val="none"/>
              </w:rPr>
            </w:pPr>
            <w:r>
              <w:rPr>
                <w:rFonts w:hint="eastAsia" w:ascii="宋体" w:hAnsi="宋体" w:eastAsia="宋体" w:cs="宋体"/>
                <w:sz w:val="24"/>
                <w:szCs w:val="24"/>
                <w:highlight w:val="none"/>
              </w:rPr>
              <w:t>1.4</w:t>
            </w:r>
          </w:p>
        </w:tc>
        <w:tc>
          <w:tcPr>
            <w:tcW w:w="8363" w:type="dxa"/>
            <w:tcBorders>
              <w:top w:val="single" w:color="auto" w:sz="2" w:space="0"/>
              <w:left w:val="single" w:color="auto" w:sz="2" w:space="0"/>
              <w:bottom w:val="single" w:color="auto" w:sz="2" w:space="0"/>
              <w:right w:val="single" w:color="auto" w:sz="2" w:space="0"/>
            </w:tcBorders>
            <w:vAlign w:val="center"/>
          </w:tcPr>
          <w:p w14:paraId="5EA3A892">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资金来源：</w:t>
            </w:r>
            <w:r>
              <w:rPr>
                <w:rFonts w:hint="eastAsia" w:ascii="宋体" w:hAnsi="宋体" w:eastAsia="宋体" w:cs="宋体"/>
                <w:kern w:val="0"/>
                <w:sz w:val="24"/>
                <w:szCs w:val="24"/>
                <w:highlight w:val="none"/>
              </w:rPr>
              <w:t>企业自筹，已落实</w:t>
            </w:r>
            <w:r>
              <w:rPr>
                <w:rFonts w:hint="eastAsia" w:ascii="宋体" w:hAnsi="宋体" w:eastAsia="宋体" w:cs="宋体"/>
                <w:kern w:val="0"/>
                <w:sz w:val="24"/>
                <w:szCs w:val="24"/>
                <w:highlight w:val="none"/>
                <w:lang w:eastAsia="zh-CN"/>
              </w:rPr>
              <w:t>。</w:t>
            </w:r>
          </w:p>
        </w:tc>
      </w:tr>
      <w:tr w14:paraId="2FEC8D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703E1B7C">
            <w:pPr>
              <w:jc w:val="center"/>
              <w:rPr>
                <w:rFonts w:ascii="宋体" w:hAnsi="宋体" w:eastAsia="宋体" w:cs="宋体"/>
                <w:sz w:val="24"/>
                <w:szCs w:val="24"/>
                <w:highlight w:val="none"/>
              </w:rPr>
            </w:pPr>
            <w:r>
              <w:rPr>
                <w:rFonts w:hint="eastAsia" w:ascii="宋体" w:hAnsi="宋体" w:eastAsia="宋体" w:cs="宋体"/>
                <w:sz w:val="24"/>
                <w:szCs w:val="24"/>
                <w:highlight w:val="none"/>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B792D36">
            <w:pPr>
              <w:ind w:firstLine="482" w:firstLineChars="200"/>
              <w:rPr>
                <w:rFonts w:ascii="宋体" w:hAnsi="宋体" w:eastAsia="宋体" w:cs="Times New Roman"/>
                <w:color w:val="000000"/>
                <w:sz w:val="24"/>
                <w:szCs w:val="24"/>
                <w:highlight w:val="none"/>
              </w:rPr>
            </w:pPr>
            <w:r>
              <w:rPr>
                <w:rFonts w:hint="eastAsia" w:ascii="宋体" w:hAnsi="宋体" w:eastAsia="宋体" w:cs="宋体"/>
                <w:b/>
                <w:bCs/>
                <w:sz w:val="24"/>
                <w:szCs w:val="24"/>
                <w:highlight w:val="none"/>
              </w:rPr>
              <w:t>报价：</w:t>
            </w:r>
            <w:r>
              <w:rPr>
                <w:rFonts w:hint="eastAsia" w:ascii="宋体" w:hAnsi="宋体" w:eastAsia="宋体" w:cs="宋体"/>
                <w:sz w:val="24"/>
                <w:szCs w:val="24"/>
                <w:highlight w:val="none"/>
              </w:rPr>
              <w:t>如需要</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由</w:t>
            </w:r>
            <w:r>
              <w:rPr>
                <w:rFonts w:hint="eastAsia" w:ascii="宋体" w:hAnsi="宋体" w:eastAsia="宋体" w:cs="Times New Roman"/>
                <w:color w:val="000000"/>
                <w:sz w:val="24"/>
                <w:szCs w:val="24"/>
                <w:highlight w:val="none"/>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highlight w:val="none"/>
                <w:lang w:eastAsia="zh-CN"/>
              </w:rPr>
              <w:t>、配合办理政府验收手续（不限质监验收、消防验收、环评及职业卫生评价、安全评价等）</w:t>
            </w:r>
            <w:r>
              <w:rPr>
                <w:rFonts w:hint="eastAsia" w:ascii="宋体" w:hAnsi="宋体" w:eastAsia="宋体" w:cs="Times New Roman"/>
                <w:color w:val="000000"/>
                <w:sz w:val="24"/>
                <w:szCs w:val="24"/>
                <w:highlight w:val="none"/>
              </w:rPr>
              <w:t>及可预见的风险以及其它不可预见等全部费用。</w:t>
            </w:r>
          </w:p>
          <w:p w14:paraId="0C8370E7">
            <w:pPr>
              <w:ind w:firstLine="482" w:firstLineChars="200"/>
              <w:rPr>
                <w:rFonts w:hint="eastAsia"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报价货币：</w:t>
            </w:r>
            <w:r>
              <w:rPr>
                <w:rFonts w:hint="eastAsia" w:ascii="宋体" w:hAnsi="宋体" w:eastAsia="宋体" w:cs="Times New Roman"/>
                <w:color w:val="000000"/>
                <w:sz w:val="24"/>
                <w:szCs w:val="24"/>
                <w:highlight w:val="none"/>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highlight w:val="none"/>
              </w:rPr>
              <w:t>）。</w:t>
            </w:r>
          </w:p>
          <w:p w14:paraId="144B869D">
            <w:pPr>
              <w:pStyle w:val="17"/>
              <w:ind w:firstLine="482" w:firstLineChars="200"/>
              <w:rPr>
                <w:rFonts w:hint="eastAsia" w:eastAsia="宋体"/>
                <w:highlight w:val="none"/>
                <w:lang w:val="en-US" w:eastAsia="zh-CN"/>
              </w:rPr>
            </w:pPr>
            <w:r>
              <w:rPr>
                <w:rFonts w:hint="eastAsia" w:hAnsi="宋体" w:eastAsia="宋体" w:cs="Times New Roman"/>
                <w:b/>
                <w:bCs/>
                <w:color w:val="000000"/>
                <w:sz w:val="24"/>
                <w:szCs w:val="24"/>
                <w:highlight w:val="none"/>
                <w:lang w:val="en-US" w:eastAsia="zh-CN"/>
              </w:rPr>
              <w:t>投标限价</w:t>
            </w:r>
            <w:r>
              <w:rPr>
                <w:rFonts w:hint="eastAsia" w:hAnsi="宋体" w:eastAsia="宋体" w:cs="Times New Roman"/>
                <w:color w:val="000000"/>
                <w:sz w:val="24"/>
                <w:szCs w:val="24"/>
                <w:highlight w:val="none"/>
                <w:lang w:val="en-US" w:eastAsia="zh-CN"/>
              </w:rPr>
              <w:t>：人民币</w:t>
            </w:r>
            <w:r>
              <w:rPr>
                <w:rFonts w:hint="eastAsia" w:hAnsi="宋体" w:eastAsia="宋体" w:cs="Times New Roman"/>
                <w:b/>
                <w:bCs/>
                <w:color w:val="000000"/>
                <w:sz w:val="24"/>
                <w:szCs w:val="24"/>
                <w:highlight w:val="none"/>
                <w:lang w:val="en-US" w:eastAsia="zh-CN"/>
              </w:rPr>
              <w:t>25.99</w:t>
            </w:r>
            <w:r>
              <w:rPr>
                <w:rFonts w:hint="eastAsia" w:hAnsi="宋体" w:eastAsia="宋体" w:cs="Times New Roman"/>
                <w:color w:val="000000"/>
                <w:sz w:val="24"/>
                <w:szCs w:val="24"/>
                <w:highlight w:val="none"/>
                <w:lang w:val="en-US" w:eastAsia="zh-CN"/>
              </w:rPr>
              <w:t>万元（含税，税率13%），超过投标限价无法投标。</w:t>
            </w:r>
          </w:p>
        </w:tc>
      </w:tr>
      <w:tr w14:paraId="56FF185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1E41F94B">
            <w:pPr>
              <w:jc w:val="center"/>
              <w:rPr>
                <w:rFonts w:ascii="宋体" w:hAnsi="宋体" w:eastAsia="宋体" w:cs="宋体"/>
                <w:sz w:val="24"/>
                <w:szCs w:val="24"/>
                <w:highlight w:val="none"/>
              </w:rPr>
            </w:pPr>
            <w:r>
              <w:rPr>
                <w:rFonts w:hint="eastAsia" w:ascii="宋体" w:hAnsi="宋体" w:eastAsia="宋体" w:cs="宋体"/>
                <w:sz w:val="24"/>
                <w:szCs w:val="24"/>
                <w:highlight w:val="none"/>
              </w:rPr>
              <w:t>1.6</w:t>
            </w:r>
          </w:p>
        </w:tc>
        <w:tc>
          <w:tcPr>
            <w:tcW w:w="8363" w:type="dxa"/>
            <w:tcBorders>
              <w:top w:val="single" w:color="auto" w:sz="2" w:space="0"/>
              <w:left w:val="single" w:color="auto" w:sz="2" w:space="0"/>
              <w:bottom w:val="single" w:color="auto" w:sz="2" w:space="0"/>
              <w:right w:val="single" w:color="auto" w:sz="2" w:space="0"/>
            </w:tcBorders>
            <w:vAlign w:val="center"/>
          </w:tcPr>
          <w:p w14:paraId="5180F53F">
            <w:pPr>
              <w:pStyle w:val="17"/>
              <w:ind w:firstLine="482" w:firstLineChars="200"/>
              <w:rPr>
                <w:rFonts w:hAnsi="宋体" w:eastAsia="宋体" w:cs="宋体"/>
                <w:b/>
                <w:bCs/>
                <w:color w:val="FF0000"/>
                <w:sz w:val="24"/>
                <w:szCs w:val="24"/>
                <w:highlight w:val="none"/>
              </w:rPr>
            </w:pPr>
            <w:r>
              <w:rPr>
                <w:rFonts w:hint="eastAsia" w:hAnsi="宋体" w:eastAsia="宋体" w:cs="宋体"/>
                <w:b/>
                <w:bCs/>
                <w:color w:val="000000"/>
                <w:sz w:val="24"/>
                <w:szCs w:val="24"/>
                <w:highlight w:val="none"/>
              </w:rPr>
              <w:t>投标人条件：</w:t>
            </w:r>
          </w:p>
          <w:p w14:paraId="0D51048B">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1.拟标投人必须是在中华人民共和国境内注册的独立法人机构，具有独立承担民事责任能力；注册资金不少于</w:t>
            </w:r>
            <w:r>
              <w:rPr>
                <w:rFonts w:hint="eastAsia" w:hAnsi="宋体" w:eastAsia="宋体" w:cs="宋体"/>
                <w:color w:val="000000"/>
                <w:sz w:val="24"/>
                <w:szCs w:val="24"/>
                <w:highlight w:val="none"/>
                <w:lang w:val="en-US" w:eastAsia="zh-CN"/>
              </w:rPr>
              <w:t>10</w:t>
            </w:r>
            <w:r>
              <w:rPr>
                <w:rFonts w:hint="eastAsia" w:ascii="宋体" w:hAnsi="宋体" w:eastAsia="宋体" w:cs="宋体"/>
                <w:color w:val="000000"/>
                <w:sz w:val="24"/>
                <w:szCs w:val="24"/>
                <w:highlight w:val="none"/>
              </w:rPr>
              <w:t>0万人民币（或等值其他货币）；公司成立三年以上（以营业执照成立日期到开标当日满三年为准），且经营范围满足招标人需求；并在人员、设备、资金等方面具有承担本项目的能力；</w:t>
            </w:r>
          </w:p>
          <w:p w14:paraId="6A270A21">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2.拟投标人应提供营业执照副本原件和扫描件（需盖章）；</w:t>
            </w:r>
          </w:p>
          <w:p w14:paraId="18D97B3D">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3.拟投标人应提供法定代表人资格证明</w:t>
            </w:r>
            <w:r>
              <w:rPr>
                <w:rFonts w:hint="eastAsia" w:hAnsi="宋体" w:eastAsia="宋体" w:cs="宋体"/>
                <w:color w:val="000000"/>
                <w:sz w:val="24"/>
                <w:szCs w:val="24"/>
                <w:highlight w:val="none"/>
                <w:lang w:val="en-US" w:eastAsia="zh-CN"/>
              </w:rPr>
              <w:t>文件</w:t>
            </w:r>
            <w:r>
              <w:rPr>
                <w:rFonts w:hint="eastAsia" w:ascii="宋体" w:hAnsi="宋体" w:eastAsia="宋体" w:cs="宋体"/>
                <w:color w:val="000000"/>
                <w:sz w:val="24"/>
                <w:szCs w:val="24"/>
                <w:highlight w:val="none"/>
              </w:rPr>
              <w:t>；</w:t>
            </w:r>
          </w:p>
          <w:p w14:paraId="59F771BC">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4.拟投标人在国家市场监督管理总局的《国家企业信用信息公示系统》中查询不存在不良记录；</w:t>
            </w:r>
          </w:p>
          <w:p w14:paraId="0949A9A6">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5.拟投标人不存在严重违规或被列入招标人“黑名单”的声明；</w:t>
            </w:r>
          </w:p>
          <w:p w14:paraId="3EEFC39B">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w:t>
            </w:r>
            <w:r>
              <w:rPr>
                <w:rFonts w:hint="eastAsia" w:hAnsi="宋体" w:eastAsia="宋体" w:cs="宋体"/>
                <w:color w:val="000000"/>
                <w:sz w:val="24"/>
                <w:szCs w:val="24"/>
                <w:highlight w:val="none"/>
                <w:lang w:val="en-US" w:eastAsia="zh-CN"/>
              </w:rPr>
              <w:t>近三年</w:t>
            </w:r>
            <w:r>
              <w:rPr>
                <w:rFonts w:hint="eastAsia" w:ascii="宋体" w:hAnsi="宋体" w:eastAsia="宋体" w:cs="宋体"/>
                <w:color w:val="000000"/>
                <w:sz w:val="24"/>
                <w:szCs w:val="24"/>
                <w:highlight w:val="none"/>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且未显示异常；</w:t>
            </w:r>
          </w:p>
          <w:p w14:paraId="6327F2FD">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7.拟投标人</w:t>
            </w:r>
            <w:r>
              <w:rPr>
                <w:rFonts w:hint="eastAsia" w:hAnsi="宋体" w:eastAsia="宋体" w:cs="宋体"/>
                <w:color w:val="000000"/>
                <w:sz w:val="24"/>
                <w:szCs w:val="24"/>
                <w:highlight w:val="none"/>
                <w:lang w:val="en-US" w:eastAsia="zh-CN"/>
              </w:rPr>
              <w:t>近三年</w:t>
            </w:r>
            <w:r>
              <w:rPr>
                <w:rFonts w:hint="eastAsia" w:ascii="宋体" w:hAnsi="宋体" w:eastAsia="宋体" w:cs="宋体"/>
                <w:color w:val="000000"/>
                <w:sz w:val="24"/>
                <w:szCs w:val="24"/>
                <w:highlight w:val="none"/>
              </w:rPr>
              <w:t>有与本次招标内容相同或类似项目业绩</w:t>
            </w:r>
            <w:r>
              <w:rPr>
                <w:rFonts w:hint="eastAsia" w:hAnsi="宋体" w:eastAsia="宋体" w:cs="宋体"/>
                <w:color w:val="000000"/>
                <w:sz w:val="24"/>
                <w:szCs w:val="24"/>
                <w:highlight w:val="none"/>
                <w:lang w:val="en-US" w:eastAsia="zh-CN"/>
              </w:rPr>
              <w:t>不少于三个（需出示合同）</w:t>
            </w:r>
            <w:r>
              <w:rPr>
                <w:rFonts w:hint="eastAsia" w:ascii="宋体" w:hAnsi="宋体" w:eastAsia="宋体" w:cs="宋体"/>
                <w:color w:val="000000"/>
                <w:sz w:val="24"/>
                <w:szCs w:val="24"/>
                <w:highlight w:val="none"/>
              </w:rPr>
              <w:t>，近三年内无因服务不当而造成重大事故；</w:t>
            </w:r>
          </w:p>
          <w:p w14:paraId="10489A56">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8.拟投标人近三年内在经营活动中无与本项目有关的违法及重大违规情况；</w:t>
            </w:r>
          </w:p>
          <w:p w14:paraId="46799527">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9.拟投标人须认可招标人的工作指令，包括节、假日能正常开展工作的要求；</w:t>
            </w:r>
          </w:p>
          <w:p w14:paraId="1372358C">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10.拟投标人最近半年纳税正常；</w:t>
            </w:r>
          </w:p>
          <w:p w14:paraId="2F72B867">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11.拟投标人信用证明材料（征信报告）未显示异常；</w:t>
            </w:r>
          </w:p>
          <w:p w14:paraId="76FE37C0">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12.拟投标人的直接或间接股东、法定代表人、董事、监事、高管非重汽员工及其亲属；</w:t>
            </w:r>
          </w:p>
          <w:p w14:paraId="6AD85A88">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13.</w:t>
            </w:r>
            <w:r>
              <w:rPr>
                <w:rFonts w:hint="eastAsia" w:hAnsi="宋体" w:eastAsia="宋体" w:cs="宋体"/>
                <w:color w:val="000000"/>
                <w:sz w:val="24"/>
                <w:szCs w:val="24"/>
                <w:highlight w:val="none"/>
                <w:lang w:val="en-US" w:eastAsia="zh-CN"/>
              </w:rPr>
              <w:t>本项目不接受</w:t>
            </w:r>
            <w:r>
              <w:rPr>
                <w:rFonts w:hint="eastAsia" w:ascii="宋体" w:hAnsi="宋体" w:eastAsia="宋体" w:cs="宋体"/>
                <w:color w:val="000000"/>
                <w:sz w:val="24"/>
                <w:szCs w:val="24"/>
                <w:highlight w:val="none"/>
              </w:rPr>
              <w:t>代理商投标；</w:t>
            </w:r>
          </w:p>
          <w:p w14:paraId="238454FE">
            <w:pPr>
              <w:pStyle w:val="17"/>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14.本项目不接受联合体投标，拟投标人必须是最终投标单位和签订合同单位，不得以任何理由将已中标项目以任何形式分包或转包给其他单位；</w:t>
            </w:r>
          </w:p>
          <w:p w14:paraId="7D3672D5">
            <w:pPr>
              <w:pStyle w:val="17"/>
              <w:ind w:firstLine="480" w:firstLineChars="200"/>
              <w:rPr>
                <w:rFonts w:hint="eastAsia" w:hAnsi="宋体" w:eastAsia="宋体" w:cs="宋体"/>
                <w:color w:val="000000"/>
                <w:sz w:val="24"/>
                <w:szCs w:val="24"/>
                <w:highlight w:val="none"/>
              </w:rPr>
            </w:pPr>
            <w:r>
              <w:rPr>
                <w:rFonts w:hint="eastAsia" w:ascii="宋体" w:hAnsi="宋体" w:eastAsia="宋体" w:cs="宋体"/>
                <w:color w:val="000000"/>
                <w:sz w:val="24"/>
                <w:szCs w:val="24"/>
                <w:highlight w:val="none"/>
              </w:rPr>
              <w:t>15.与招标人存在利害关系可能影响招标公正性的法人、其他组织或者个人，不得参加投标。</w:t>
            </w:r>
          </w:p>
        </w:tc>
      </w:tr>
      <w:tr w14:paraId="6624F1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3648087">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2.招标文件的答疑、澄清、修改</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应标</w:t>
            </w:r>
            <w:r>
              <w:rPr>
                <w:rFonts w:hint="eastAsia" w:ascii="宋体" w:hAnsi="宋体" w:eastAsia="宋体" w:cs="宋体"/>
                <w:b/>
                <w:bCs/>
                <w:sz w:val="24"/>
                <w:szCs w:val="24"/>
                <w:highlight w:val="none"/>
              </w:rPr>
              <w:t>及投标报名</w:t>
            </w:r>
          </w:p>
        </w:tc>
      </w:tr>
      <w:tr w14:paraId="50D6B0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3BB1642C">
            <w:pPr>
              <w:jc w:val="center"/>
              <w:rPr>
                <w:rFonts w:ascii="宋体" w:hAnsi="宋体" w:eastAsia="宋体" w:cs="宋体"/>
                <w:sz w:val="24"/>
                <w:szCs w:val="24"/>
                <w:highlight w:val="none"/>
              </w:rPr>
            </w:pPr>
            <w:r>
              <w:rPr>
                <w:rFonts w:hint="eastAsia" w:ascii="宋体" w:hAnsi="宋体" w:eastAsia="宋体" w:cs="宋体"/>
                <w:sz w:val="24"/>
                <w:szCs w:val="24"/>
                <w:highlight w:val="none"/>
              </w:rPr>
              <w:t>2.1</w:t>
            </w:r>
          </w:p>
        </w:tc>
        <w:tc>
          <w:tcPr>
            <w:tcW w:w="8363" w:type="dxa"/>
            <w:tcBorders>
              <w:top w:val="single" w:color="auto" w:sz="2" w:space="0"/>
              <w:left w:val="single" w:color="auto" w:sz="2" w:space="0"/>
              <w:bottom w:val="single" w:color="auto" w:sz="2" w:space="0"/>
              <w:right w:val="single" w:color="auto" w:sz="2" w:space="0"/>
            </w:tcBorders>
            <w:vAlign w:val="center"/>
          </w:tcPr>
          <w:p w14:paraId="66E8938F">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none"/>
                <w:lang w:eastAsia="zh-CN"/>
              </w:rPr>
              <w:t>2025年</w:t>
            </w:r>
            <w:r>
              <w:rPr>
                <w:rFonts w:hint="eastAsia" w:ascii="宋体" w:hAnsi="宋体" w:eastAsia="宋体" w:cs="宋体"/>
                <w:bCs/>
                <w:sz w:val="24"/>
                <w:szCs w:val="24"/>
                <w:highlight w:val="none"/>
                <w:lang w:val="en-US" w:eastAsia="zh-CN"/>
              </w:rPr>
              <w:t>10</w:t>
            </w:r>
            <w:r>
              <w:rPr>
                <w:rFonts w:hint="eastAsia" w:ascii="宋体" w:hAnsi="宋体" w:eastAsia="宋体" w:cs="宋体"/>
                <w:bCs/>
                <w:sz w:val="24"/>
                <w:szCs w:val="24"/>
                <w:highlight w:val="none"/>
                <w:lang w:eastAsia="zh-CN"/>
              </w:rPr>
              <w:t>月</w:t>
            </w:r>
            <w:r>
              <w:rPr>
                <w:rFonts w:hint="eastAsia" w:ascii="宋体" w:hAnsi="宋体" w:eastAsia="宋体" w:cs="宋体"/>
                <w:bCs/>
                <w:sz w:val="24"/>
                <w:szCs w:val="24"/>
                <w:highlight w:val="none"/>
                <w:lang w:val="en-US" w:eastAsia="zh-CN"/>
              </w:rPr>
              <w:t>24</w:t>
            </w:r>
            <w:r>
              <w:rPr>
                <w:rFonts w:hint="eastAsia" w:ascii="宋体" w:hAnsi="宋体" w:eastAsia="宋体" w:cs="宋体"/>
                <w:bCs/>
                <w:sz w:val="24"/>
                <w:szCs w:val="24"/>
                <w:highlight w:val="none"/>
              </w:rPr>
              <w:t>日;</w:t>
            </w:r>
          </w:p>
        </w:tc>
      </w:tr>
      <w:tr w14:paraId="653C5D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075168D0">
            <w:pPr>
              <w:snapToGrid w:val="0"/>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31B959C4">
            <w:pPr>
              <w:spacing w:line="240" w:lineRule="auto"/>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highlight w:val="none"/>
              </w:rPr>
              <w:t>。</w:t>
            </w:r>
          </w:p>
        </w:tc>
      </w:tr>
      <w:tr w14:paraId="6503AD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14FAD73D">
            <w:pPr>
              <w:snapToGrid w:val="0"/>
              <w:ind w:firstLine="480" w:firstLineChars="200"/>
              <w:rPr>
                <w:rFonts w:ascii="宋体" w:hAnsi="宋体" w:eastAsia="宋体" w:cs="宋体"/>
                <w:sz w:val="24"/>
                <w:szCs w:val="24"/>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695046B6">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07F8464F">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none"/>
                <w:lang w:eastAsia="zh-CN"/>
              </w:rPr>
              <w:t>2025年</w:t>
            </w:r>
            <w:r>
              <w:rPr>
                <w:rFonts w:hint="eastAsia" w:ascii="宋体" w:hAnsi="宋体" w:eastAsia="宋体" w:cs="宋体"/>
                <w:bCs/>
                <w:sz w:val="24"/>
                <w:szCs w:val="24"/>
                <w:highlight w:val="none"/>
                <w:lang w:val="en-US" w:eastAsia="zh-CN"/>
              </w:rPr>
              <w:t>10</w:t>
            </w:r>
            <w:r>
              <w:rPr>
                <w:rFonts w:hint="eastAsia" w:ascii="宋体" w:hAnsi="宋体" w:eastAsia="宋体" w:cs="宋体"/>
                <w:bCs/>
                <w:sz w:val="24"/>
                <w:szCs w:val="24"/>
                <w:highlight w:val="none"/>
                <w:lang w:eastAsia="zh-CN"/>
              </w:rPr>
              <w:t>月</w:t>
            </w:r>
            <w:r>
              <w:rPr>
                <w:rFonts w:hint="eastAsia" w:ascii="宋体" w:hAnsi="宋体" w:eastAsia="宋体" w:cs="宋体"/>
                <w:bCs/>
                <w:sz w:val="24"/>
                <w:szCs w:val="24"/>
                <w:highlight w:val="none"/>
                <w:lang w:val="en-US" w:eastAsia="zh-CN"/>
              </w:rPr>
              <w:t>2</w:t>
            </w:r>
            <w:r>
              <w:rPr>
                <w:rFonts w:hint="eastAsia" w:ascii="宋体" w:hAnsi="宋体" w:eastAsia="宋体" w:cs="宋体"/>
                <w:bCs/>
                <w:sz w:val="24"/>
                <w:szCs w:val="24"/>
                <w:highlight w:val="none"/>
                <w:u w:val="single"/>
                <w:lang w:val="en-US" w:eastAsia="zh-CN"/>
              </w:rPr>
              <w:t>9</w:t>
            </w:r>
            <w:r>
              <w:rPr>
                <w:rFonts w:hint="eastAsia" w:ascii="宋体" w:hAnsi="宋体" w:eastAsia="宋体" w:cs="宋体"/>
                <w:bCs/>
                <w:sz w:val="24"/>
                <w:szCs w:val="24"/>
                <w:highlight w:val="none"/>
              </w:rPr>
              <w:t>日1</w:t>
            </w:r>
            <w:r>
              <w:rPr>
                <w:rFonts w:hint="eastAsia" w:ascii="宋体" w:hAnsi="宋体" w:eastAsia="宋体" w:cs="宋体"/>
                <w:bCs/>
                <w:sz w:val="24"/>
                <w:szCs w:val="24"/>
                <w:highlight w:val="none"/>
                <w:lang w:val="en-US" w:eastAsia="zh-CN"/>
              </w:rPr>
              <w:t>2</w:t>
            </w:r>
            <w:r>
              <w:rPr>
                <w:rFonts w:hint="eastAsia" w:ascii="宋体" w:hAnsi="宋体" w:eastAsia="宋体" w:cs="宋体"/>
                <w:bCs/>
                <w:sz w:val="24"/>
                <w:szCs w:val="24"/>
                <w:highlight w:val="none"/>
              </w:rPr>
              <w:t>:00前；</w:t>
            </w:r>
          </w:p>
          <w:p w14:paraId="3FF4562D">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15FD51C6">
            <w:pPr>
              <w:snapToGrid/>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highlight w:val="none"/>
              </w:rPr>
              <w:t>法定代表人授权委托书</w:t>
            </w:r>
            <w:r>
              <w:rPr>
                <w:rFonts w:hint="eastAsia" w:ascii="宋体" w:hAnsi="宋体" w:eastAsia="宋体" w:cs="宋体"/>
                <w:b/>
                <w:bCs/>
                <w:sz w:val="24"/>
                <w:szCs w:val="24"/>
                <w:highlight w:val="none"/>
              </w:rPr>
              <w:t>。</w:t>
            </w:r>
          </w:p>
        </w:tc>
      </w:tr>
      <w:tr w14:paraId="46176D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20B44F3">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6970965">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none"/>
                <w:lang w:eastAsia="zh-CN"/>
              </w:rPr>
              <w:t>2025年</w:t>
            </w:r>
            <w:r>
              <w:rPr>
                <w:rFonts w:hint="eastAsia" w:ascii="宋体" w:hAnsi="宋体" w:eastAsia="宋体" w:cs="宋体"/>
                <w:sz w:val="24"/>
                <w:szCs w:val="24"/>
                <w:highlight w:val="none"/>
                <w:lang w:val="en-US" w:eastAsia="zh-CN"/>
              </w:rPr>
              <w:t>11</w:t>
            </w:r>
            <w:r>
              <w:rPr>
                <w:rFonts w:hint="eastAsia" w:ascii="宋体" w:hAnsi="宋体" w:eastAsia="宋体" w:cs="宋体"/>
                <w:sz w:val="24"/>
                <w:szCs w:val="24"/>
                <w:highlight w:val="none"/>
                <w:lang w:eastAsia="zh-CN"/>
              </w:rPr>
              <w:t>月</w:t>
            </w:r>
            <w:r>
              <w:rPr>
                <w:rFonts w:hint="eastAsia" w:ascii="宋体" w:hAnsi="宋体" w:eastAsia="宋体" w:cs="宋体"/>
                <w:sz w:val="24"/>
                <w:szCs w:val="24"/>
                <w:highlight w:val="none"/>
                <w:u w:val="single"/>
                <w:lang w:val="en-US" w:eastAsia="zh-CN"/>
              </w:rPr>
              <w:t>9</w:t>
            </w:r>
            <w:r>
              <w:rPr>
                <w:rFonts w:hint="eastAsia" w:ascii="宋体" w:hAnsi="宋体" w:eastAsia="宋体" w:cs="宋体"/>
                <w:sz w:val="24"/>
                <w:szCs w:val="24"/>
                <w:highlight w:val="none"/>
              </w:rPr>
              <w:t>日17:00前；</w:t>
            </w:r>
          </w:p>
          <w:p w14:paraId="783C74E4">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379D4D0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123E1BA3">
            <w:pPr>
              <w:jc w:val="center"/>
              <w:rPr>
                <w:rFonts w:ascii="宋体" w:hAnsi="宋体" w:eastAsia="宋体" w:cs="宋体"/>
                <w:b/>
                <w:bCs/>
                <w:sz w:val="24"/>
                <w:szCs w:val="24"/>
                <w:highlight w:val="none"/>
              </w:rPr>
            </w:pPr>
            <w:r>
              <w:rPr>
                <w:rFonts w:hint="eastAsia" w:ascii="宋体" w:hAnsi="宋体" w:eastAsia="宋体" w:cs="宋体"/>
                <w:sz w:val="24"/>
                <w:szCs w:val="24"/>
                <w:highlight w:val="none"/>
              </w:rPr>
              <w:t>2.3</w:t>
            </w:r>
          </w:p>
        </w:tc>
        <w:tc>
          <w:tcPr>
            <w:tcW w:w="8363" w:type="dxa"/>
            <w:tcBorders>
              <w:top w:val="single" w:color="auto" w:sz="2" w:space="0"/>
              <w:left w:val="single" w:color="auto" w:sz="2" w:space="0"/>
              <w:bottom w:val="single" w:color="auto" w:sz="2" w:space="0"/>
              <w:right w:val="single" w:color="auto" w:sz="2" w:space="0"/>
            </w:tcBorders>
            <w:vAlign w:val="center"/>
          </w:tcPr>
          <w:p w14:paraId="4031A93E">
            <w:pPr>
              <w:pStyle w:val="112"/>
              <w:spacing w:line="240" w:lineRule="auto"/>
              <w:ind w:firstLine="482"/>
              <w:rPr>
                <w:rFonts w:eastAsia="宋体" w:cs="宋体"/>
                <w:b/>
                <w:bCs/>
                <w:highlight w:val="none"/>
              </w:rPr>
            </w:pPr>
            <w:r>
              <w:rPr>
                <w:rFonts w:hint="eastAsia" w:eastAsia="宋体" w:cs="宋体"/>
                <w:b/>
                <w:bCs/>
                <w:highlight w:val="none"/>
              </w:rPr>
              <w:t>报名方式：</w:t>
            </w:r>
            <w:r>
              <w:rPr>
                <w:rFonts w:hint="eastAsia" w:eastAsia="宋体" w:cs="宋体"/>
                <w:highlight w:val="none"/>
              </w:rPr>
              <w:t>拟投标人根据招标人在中国重汽官网</w:t>
            </w:r>
            <w:r>
              <w:rPr>
                <w:rFonts w:hint="eastAsia" w:eastAsia="宋体" w:cs="宋体"/>
                <w:highlight w:val="none"/>
                <w:lang w:val="en-US" w:eastAsia="zh-CN"/>
              </w:rPr>
              <w:t>等公开媒体</w:t>
            </w:r>
            <w:r>
              <w:rPr>
                <w:rFonts w:hint="eastAsia" w:eastAsia="宋体" w:cs="宋体"/>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eastAsia="宋体" w:cs="宋体"/>
                <w:highlight w:val="none"/>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公示期间请尽快报名</w:t>
            </w:r>
            <w:r>
              <w:rPr>
                <w:rFonts w:hint="eastAsia" w:eastAsia="宋体" w:cs="宋体"/>
                <w:highlight w:val="none"/>
              </w:rPr>
              <w:t>。</w:t>
            </w:r>
          </w:p>
        </w:tc>
      </w:tr>
      <w:tr w14:paraId="05F6C3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634A3BEB">
            <w:pPr>
              <w:jc w:val="left"/>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1E59185B">
            <w:pPr>
              <w:pStyle w:val="112"/>
              <w:spacing w:line="240" w:lineRule="auto"/>
              <w:ind w:firstLine="482"/>
              <w:rPr>
                <w:rFonts w:hint="default" w:eastAsia="宋体" w:cs="宋体"/>
                <w:highlight w:val="none"/>
                <w:lang w:val="en-US" w:eastAsia="zh-CN"/>
              </w:rPr>
            </w:pPr>
            <w:r>
              <w:rPr>
                <w:rFonts w:hint="eastAsia" w:eastAsia="宋体" w:cs="宋体"/>
                <w:b/>
                <w:bCs/>
                <w:highlight w:val="none"/>
                <w:lang w:val="en-US" w:eastAsia="zh-CN"/>
              </w:rPr>
              <w:t>应标</w:t>
            </w:r>
            <w:r>
              <w:rPr>
                <w:rFonts w:hint="eastAsia" w:eastAsia="宋体" w:cs="宋体"/>
                <w:b/>
                <w:bCs/>
                <w:highlight w:val="none"/>
              </w:rPr>
              <w:t>截止时间：</w:t>
            </w:r>
            <w:r>
              <w:rPr>
                <w:rFonts w:hint="eastAsia" w:eastAsia="宋体" w:cs="宋体"/>
                <w:highlight w:val="yellow"/>
                <w:lang w:eastAsia="zh-CN"/>
              </w:rPr>
              <w:t>2025年</w:t>
            </w:r>
            <w:r>
              <w:rPr>
                <w:rFonts w:hint="eastAsia" w:eastAsia="宋体" w:cs="宋体"/>
                <w:highlight w:val="yellow"/>
                <w:lang w:val="en-US" w:eastAsia="zh-CN"/>
              </w:rPr>
              <w:t>11</w:t>
            </w:r>
            <w:r>
              <w:rPr>
                <w:rFonts w:hint="eastAsia" w:eastAsia="宋体" w:cs="宋体"/>
                <w:highlight w:val="yellow"/>
                <w:lang w:eastAsia="zh-CN"/>
              </w:rPr>
              <w:t>月</w:t>
            </w:r>
            <w:r>
              <w:rPr>
                <w:rFonts w:hint="eastAsia" w:eastAsia="宋体" w:cs="宋体"/>
                <w:highlight w:val="yellow"/>
                <w:lang w:val="en-US" w:eastAsia="zh-CN"/>
              </w:rPr>
              <w:t>10</w:t>
            </w:r>
            <w:r>
              <w:rPr>
                <w:rFonts w:hint="eastAsia" w:eastAsia="宋体" w:cs="宋体"/>
                <w:highlight w:val="yellow"/>
              </w:rPr>
              <w:t>日</w:t>
            </w:r>
            <w:r>
              <w:rPr>
                <w:rFonts w:hint="eastAsia" w:eastAsia="宋体" w:cs="宋体"/>
                <w:highlight w:val="yellow"/>
                <w:lang w:val="en-US" w:eastAsia="zh-CN"/>
              </w:rPr>
              <w:t>229时00分00秒</w:t>
            </w:r>
          </w:p>
          <w:p w14:paraId="4559408C">
            <w:pPr>
              <w:pStyle w:val="112"/>
              <w:spacing w:line="240" w:lineRule="auto"/>
              <w:ind w:firstLine="482"/>
              <w:rPr>
                <w:rFonts w:hint="default" w:eastAsia="宋体" w:cs="宋体"/>
                <w:highlight w:val="none"/>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5E2D50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9C323A1">
            <w:pPr>
              <w:jc w:val="center"/>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3.投标文件的组成</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编制</w:t>
            </w:r>
            <w:r>
              <w:rPr>
                <w:rFonts w:hint="eastAsia" w:ascii="宋体" w:hAnsi="宋体" w:eastAsia="宋体" w:cs="宋体"/>
                <w:b/>
                <w:bCs/>
                <w:sz w:val="24"/>
                <w:szCs w:val="24"/>
                <w:highlight w:val="none"/>
                <w:lang w:val="en-US" w:eastAsia="zh-CN"/>
              </w:rPr>
              <w:t>及投递</w:t>
            </w:r>
          </w:p>
        </w:tc>
      </w:tr>
      <w:tr w14:paraId="3AF17A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466F2F54">
            <w:pPr>
              <w:jc w:val="center"/>
              <w:rPr>
                <w:rFonts w:ascii="宋体" w:hAnsi="宋体" w:eastAsia="宋体" w:cs="宋体"/>
                <w:sz w:val="24"/>
                <w:szCs w:val="24"/>
                <w:highlight w:val="none"/>
              </w:rPr>
            </w:pPr>
            <w:r>
              <w:rPr>
                <w:rFonts w:hint="eastAsia" w:ascii="宋体" w:hAnsi="宋体" w:eastAsia="宋体" w:cs="宋体"/>
                <w:sz w:val="24"/>
                <w:szCs w:val="24"/>
                <w:highlight w:val="none"/>
              </w:rPr>
              <w:t>3.1</w:t>
            </w:r>
          </w:p>
        </w:tc>
        <w:tc>
          <w:tcPr>
            <w:tcW w:w="8363" w:type="dxa"/>
            <w:tcBorders>
              <w:top w:val="single" w:color="auto" w:sz="2" w:space="0"/>
              <w:left w:val="single" w:color="auto" w:sz="2" w:space="0"/>
              <w:bottom w:val="single" w:color="auto" w:sz="2" w:space="0"/>
              <w:right w:val="single" w:color="auto" w:sz="2" w:space="0"/>
            </w:tcBorders>
            <w:vAlign w:val="center"/>
          </w:tcPr>
          <w:p w14:paraId="1D1E7F9B">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投标文件（电子版为纸质盖章版的扫描件），均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3444EFCA">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33977ECB">
            <w:pPr>
              <w:ind w:firstLine="480" w:firstLineChars="200"/>
              <w:rPr>
                <w:rFonts w:ascii="宋体" w:hAnsi="宋体" w:eastAsia="宋体" w:cs="宋体"/>
                <w:sz w:val="24"/>
                <w:szCs w:val="24"/>
                <w:highlight w:val="none"/>
              </w:rPr>
            </w:pPr>
            <w:r>
              <w:rPr>
                <w:rFonts w:hint="eastAsia" w:ascii="宋体" w:hAnsi="宋体" w:eastAsia="宋体" w:cs="宋体"/>
                <w:bCs/>
                <w:color w:val="000000"/>
                <w:sz w:val="24"/>
                <w:szCs w:val="24"/>
                <w:highlight w:val="none"/>
              </w:rPr>
              <w:t>注意不按此要求</w:t>
            </w:r>
            <w:r>
              <w:rPr>
                <w:rFonts w:hint="eastAsia" w:ascii="宋体" w:hAnsi="宋体" w:eastAsia="宋体" w:cs="宋体"/>
                <w:bCs/>
                <w:color w:val="000000"/>
                <w:sz w:val="24"/>
                <w:szCs w:val="24"/>
                <w:highlight w:val="none"/>
                <w:lang w:val="en-US" w:eastAsia="zh-CN"/>
              </w:rPr>
              <w:t>提供投标文件</w:t>
            </w:r>
            <w:r>
              <w:rPr>
                <w:rFonts w:hint="eastAsia" w:ascii="宋体" w:hAnsi="宋体" w:eastAsia="宋体" w:cs="宋体"/>
                <w:bCs/>
                <w:color w:val="000000"/>
                <w:sz w:val="24"/>
                <w:szCs w:val="24"/>
                <w:highlight w:val="none"/>
              </w:rPr>
              <w:t>的，投标文件做无效标处理。</w:t>
            </w:r>
          </w:p>
        </w:tc>
      </w:tr>
      <w:tr w14:paraId="62B9714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5E6BE54C">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26302CFF">
            <w:pPr>
              <w:ind w:firstLine="482" w:firstLineChars="200"/>
              <w:rPr>
                <w:rFonts w:hint="eastAsia" w:eastAsia="宋体" w:cs="宋体"/>
                <w:b w:val="0"/>
                <w:bCs/>
                <w:color w:val="auto"/>
                <w:sz w:val="24"/>
                <w:szCs w:val="24"/>
                <w:highlight w:val="none"/>
                <w:lang w:val="en-US" w:eastAsia="zh-CN"/>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highlight w:val="none"/>
              </w:rPr>
              <w:t>若逾期未</w:t>
            </w:r>
            <w:r>
              <w:rPr>
                <w:rFonts w:hint="eastAsia" w:ascii="宋体" w:hAnsi="宋体" w:eastAsia="宋体" w:cs="宋体"/>
                <w:sz w:val="24"/>
                <w:szCs w:val="24"/>
                <w:highlight w:val="none"/>
                <w:lang w:val="en-US" w:eastAsia="zh-CN"/>
              </w:rPr>
              <w:t>在中国</w:t>
            </w:r>
            <w:r>
              <w:rPr>
                <w:rFonts w:ascii="宋体" w:hAnsi="宋体" w:eastAsia="宋体" w:cs="宋体"/>
                <w:sz w:val="24"/>
                <w:szCs w:val="24"/>
                <w:highlight w:val="none"/>
              </w:rPr>
              <w:t>重汽e采通</w:t>
            </w:r>
            <w:r>
              <w:rPr>
                <w:rFonts w:hint="eastAsia" w:ascii="宋体" w:hAnsi="宋体" w:eastAsia="宋体" w:cs="宋体"/>
                <w:sz w:val="24"/>
                <w:szCs w:val="24"/>
                <w:highlight w:val="none"/>
                <w:lang w:val="en-US" w:eastAsia="zh-CN"/>
              </w:rPr>
              <w:t>平台</w:t>
            </w:r>
            <w:r>
              <w:rPr>
                <w:rFonts w:ascii="宋体" w:hAnsi="宋体" w:eastAsia="宋体" w:cs="宋体"/>
                <w:sz w:val="24"/>
                <w:szCs w:val="24"/>
                <w:highlight w:val="none"/>
              </w:rPr>
              <w:t>上传</w:t>
            </w:r>
            <w:r>
              <w:rPr>
                <w:rFonts w:hint="eastAsia" w:ascii="宋体" w:hAnsi="宋体" w:eastAsia="宋体" w:cs="宋体"/>
                <w:sz w:val="24"/>
                <w:szCs w:val="24"/>
                <w:highlight w:val="none"/>
                <w:lang w:val="en-US" w:eastAsia="zh-CN"/>
              </w:rPr>
              <w:t>电子</w:t>
            </w:r>
            <w:r>
              <w:rPr>
                <w:rFonts w:ascii="宋体" w:hAnsi="宋体" w:eastAsia="宋体" w:cs="宋体"/>
                <w:sz w:val="24"/>
                <w:szCs w:val="24"/>
                <w:highlight w:val="none"/>
              </w:rPr>
              <w:t>标书，即便递交了纸版投标文件，一律视为无效投标</w:t>
            </w:r>
            <w:r>
              <w:rPr>
                <w:rFonts w:hint="eastAsia" w:eastAsia="宋体" w:cs="宋体"/>
                <w:b/>
                <w:bCs w:val="0"/>
                <w:color w:val="auto"/>
                <w:sz w:val="24"/>
                <w:szCs w:val="24"/>
                <w:highlight w:val="none"/>
                <w:lang w:val="en-US" w:eastAsia="zh-CN"/>
              </w:rPr>
              <w:t>。</w:t>
            </w:r>
          </w:p>
          <w:p w14:paraId="49B00131">
            <w:pPr>
              <w:ind w:firstLine="42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b w:val="0"/>
                <w:bCs/>
                <w:highlight w:val="none"/>
                <w:lang w:val="en-US" w:eastAsia="zh-CN"/>
              </w:rPr>
              <w:t xml:space="preserve"> </w:t>
            </w:r>
            <w:r>
              <w:rPr>
                <w:rFonts w:hint="eastAsia" w:eastAsia="宋体" w:cs="宋体" w:asciiTheme="minorHAnsi" w:hAnsiTheme="minorHAnsi"/>
                <w:b w:val="0"/>
                <w:bCs/>
                <w:color w:val="auto"/>
                <w:kern w:val="2"/>
                <w:sz w:val="24"/>
                <w:szCs w:val="24"/>
                <w:highlight w:val="none"/>
                <w:lang w:val="en-US" w:eastAsia="zh-CN" w:bidi="ar-SA"/>
              </w:rPr>
              <w:t>纸质</w:t>
            </w:r>
            <w:r>
              <w:rPr>
                <w:rFonts w:hint="eastAsia" w:eastAsia="宋体" w:cs="宋体"/>
                <w:b w:val="0"/>
                <w:bCs/>
                <w:color w:val="auto"/>
                <w:kern w:val="2"/>
                <w:sz w:val="24"/>
                <w:szCs w:val="24"/>
                <w:highlight w:val="none"/>
                <w:lang w:val="en-US" w:eastAsia="zh-CN" w:bidi="ar-SA"/>
              </w:rPr>
              <w:t>版投标文件</w:t>
            </w:r>
            <w:r>
              <w:rPr>
                <w:rFonts w:hint="eastAsia" w:eastAsia="宋体" w:cs="宋体" w:asciiTheme="minorHAnsi" w:hAnsiTheme="minorHAnsi"/>
                <w:b w:val="0"/>
                <w:bCs/>
                <w:color w:val="auto"/>
                <w:kern w:val="2"/>
                <w:sz w:val="24"/>
                <w:szCs w:val="24"/>
                <w:highlight w:val="none"/>
                <w:lang w:val="en-US" w:eastAsia="zh-CN" w:bidi="ar-SA"/>
              </w:rPr>
              <w:t>的份数要求为</w:t>
            </w:r>
            <w:r>
              <w:rPr>
                <w:rFonts w:hint="eastAsia" w:ascii="宋体" w:hAnsi="宋体" w:eastAsia="宋体" w:cs="宋体"/>
                <w:b/>
                <w:bCs w:val="0"/>
                <w:color w:val="auto"/>
                <w:kern w:val="2"/>
                <w:sz w:val="24"/>
                <w:szCs w:val="24"/>
                <w:highlight w:val="none"/>
                <w:lang w:val="en-US" w:eastAsia="zh-CN" w:bidi="ar-SA"/>
              </w:rPr>
              <w:t>正本一份，</w:t>
            </w:r>
            <w:r>
              <w:rPr>
                <w:rFonts w:hint="eastAsia" w:ascii="宋体" w:hAnsi="宋体" w:eastAsia="宋体" w:cs="宋体"/>
                <w:bCs/>
                <w:sz w:val="24"/>
                <w:szCs w:val="24"/>
                <w:highlight w:val="none"/>
              </w:rPr>
              <w:t>资质投标书</w:t>
            </w:r>
            <w:r>
              <w:rPr>
                <w:rFonts w:hint="eastAsia" w:ascii="宋体" w:hAnsi="宋体" w:eastAsia="宋体" w:cs="宋体"/>
                <w:bCs/>
                <w:sz w:val="24"/>
                <w:szCs w:val="24"/>
                <w:highlight w:val="none"/>
                <w:lang w:eastAsia="zh-CN"/>
              </w:rPr>
              <w:t>、</w:t>
            </w:r>
            <w:r>
              <w:rPr>
                <w:rFonts w:hint="eastAsia" w:ascii="宋体" w:hAnsi="宋体" w:eastAsia="宋体" w:cs="宋体"/>
                <w:bCs/>
                <w:sz w:val="24"/>
                <w:szCs w:val="24"/>
                <w:highlight w:val="none"/>
              </w:rPr>
              <w:t>技术投标书</w:t>
            </w:r>
            <w:r>
              <w:rPr>
                <w:rFonts w:hint="eastAsia" w:ascii="宋体" w:hAnsi="宋体" w:eastAsia="宋体" w:cs="宋体"/>
                <w:bCs/>
                <w:sz w:val="24"/>
                <w:szCs w:val="24"/>
                <w:highlight w:val="none"/>
                <w:lang w:val="en-US" w:eastAsia="zh-CN"/>
              </w:rPr>
              <w:t>及</w:t>
            </w:r>
            <w:r>
              <w:rPr>
                <w:rFonts w:hint="eastAsia" w:ascii="宋体" w:hAnsi="宋体" w:eastAsia="宋体" w:cs="宋体"/>
                <w:bCs/>
                <w:sz w:val="24"/>
                <w:szCs w:val="24"/>
                <w:highlight w:val="none"/>
              </w:rPr>
              <w:t>商务投标书</w:t>
            </w:r>
            <w:r>
              <w:rPr>
                <w:rFonts w:hint="eastAsia" w:ascii="宋体" w:hAnsi="宋体" w:eastAsia="宋体" w:cs="宋体"/>
                <w:bCs/>
                <w:sz w:val="24"/>
                <w:szCs w:val="24"/>
                <w:highlight w:val="none"/>
                <w:lang w:val="en-US" w:eastAsia="zh-CN"/>
              </w:rPr>
              <w:t>的</w:t>
            </w:r>
            <w:r>
              <w:rPr>
                <w:rFonts w:hint="eastAsia" w:eastAsia="宋体" w:cs="宋体" w:asciiTheme="minorHAnsi" w:hAnsiTheme="minorHAnsi"/>
                <w:b/>
                <w:bCs w:val="0"/>
                <w:color w:val="auto"/>
                <w:kern w:val="2"/>
                <w:sz w:val="24"/>
                <w:szCs w:val="24"/>
                <w:highlight w:val="none"/>
                <w:lang w:val="en-US" w:eastAsia="zh-CN" w:bidi="ar-SA"/>
              </w:rPr>
              <w:t>同类文件封装在一个包封里，包封表面按照附件13标注文件信息；共计三个包封</w:t>
            </w:r>
            <w:r>
              <w:rPr>
                <w:rFonts w:hint="eastAsia" w:eastAsia="宋体" w:cs="宋体" w:asciiTheme="minorHAnsi" w:hAnsiTheme="minorHAnsi"/>
                <w:b w:val="0"/>
                <w:bCs/>
                <w:color w:val="auto"/>
                <w:kern w:val="2"/>
                <w:sz w:val="24"/>
                <w:szCs w:val="24"/>
                <w:highlight w:val="none"/>
                <w:lang w:val="en-US" w:eastAsia="zh-CN" w:bidi="ar-SA"/>
              </w:rPr>
              <w:t>。</w:t>
            </w:r>
          </w:p>
          <w:p w14:paraId="183DCB62">
            <w:pPr>
              <w:pStyle w:val="17"/>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如选择到场参与开标，自行携带纸质投标文件于开标前至开标地点即可。</w:t>
            </w:r>
          </w:p>
          <w:p w14:paraId="18D6D439">
            <w:pPr>
              <w:pStyle w:val="17"/>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如选择线上参与开标，纸质投标文件需在开标日前两天，邮寄到指定地址。</w:t>
            </w:r>
          </w:p>
          <w:p w14:paraId="5951435D">
            <w:pPr>
              <w:pStyle w:val="17"/>
              <w:rPr>
                <w:rFonts w:hint="eastAsia" w:ascii="宋体" w:hAnsi="宋体" w:eastAsia="宋体" w:cs="Times New Roman"/>
                <w:color w:val="000000"/>
                <w:sz w:val="24"/>
                <w:szCs w:val="24"/>
                <w:highlight w:val="none"/>
              </w:rPr>
            </w:pPr>
            <w:r>
              <w:rPr>
                <w:rFonts w:hint="eastAsia" w:eastAsia="宋体" w:cs="宋体" w:asciiTheme="minorHAnsi" w:hAnsiTheme="minorHAnsi"/>
                <w:b/>
                <w:bCs w:val="0"/>
                <w:color w:val="auto"/>
                <w:kern w:val="2"/>
                <w:sz w:val="24"/>
                <w:szCs w:val="24"/>
                <w:highlight w:val="none"/>
                <w:lang w:val="en-US" w:eastAsia="zh-CN" w:bidi="ar-SA"/>
              </w:rPr>
              <w:t>邮寄地址：</w:t>
            </w:r>
            <w:r>
              <w:rPr>
                <w:rFonts w:hint="eastAsia" w:ascii="宋体" w:hAnsi="宋体" w:eastAsia="宋体" w:cs="Times New Roman"/>
                <w:color w:val="000000"/>
                <w:sz w:val="24"/>
                <w:szCs w:val="24"/>
                <w:highlight w:val="none"/>
              </w:rPr>
              <w:t>济南市章丘区世纪大道7777号</w:t>
            </w:r>
          </w:p>
          <w:p w14:paraId="1B083431">
            <w:pPr>
              <w:pStyle w:val="17"/>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b/>
                <w:bCs/>
                <w:color w:val="000000"/>
                <w:sz w:val="24"/>
                <w:szCs w:val="24"/>
                <w:highlight w:val="none"/>
                <w:lang w:val="en-US" w:eastAsia="zh-CN"/>
              </w:rPr>
              <w:t>联系人及联系方式：</w:t>
            </w:r>
            <w:r>
              <w:rPr>
                <w:rFonts w:hint="eastAsia" w:ascii="Times New Roman" w:hAnsi="Times New Roman" w:eastAsia="宋体" w:cs="Times New Roman"/>
                <w:color w:val="000000"/>
                <w:sz w:val="24"/>
                <w:szCs w:val="24"/>
                <w:highlight w:val="none"/>
                <w:lang w:val="en-US" w:eastAsia="zh-CN"/>
              </w:rPr>
              <w:t>宋静文/19861891908</w:t>
            </w:r>
          </w:p>
        </w:tc>
      </w:tr>
      <w:tr w14:paraId="67E279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6614B7EE">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6EDC942D">
            <w:pPr>
              <w:pStyle w:val="17"/>
              <w:ind w:firstLine="482" w:firstLineChars="200"/>
              <w:rPr>
                <w:rFonts w:hint="eastAsia" w:ascii="宋体" w:hAnsi="宋体" w:eastAsia="宋体" w:cs="宋体"/>
                <w:b/>
                <w:bCs/>
                <w:kern w:val="2"/>
                <w:sz w:val="24"/>
                <w:szCs w:val="24"/>
                <w:highlight w:val="none"/>
              </w:rPr>
            </w:pPr>
            <w:r>
              <w:rPr>
                <w:rFonts w:hint="eastAsia" w:ascii="宋体" w:hAnsi="宋体" w:eastAsia="宋体" w:cs="宋体"/>
                <w:b/>
                <w:bCs/>
                <w:sz w:val="24"/>
                <w:highlight w:val="none"/>
                <w:lang w:val="en-US" w:eastAsia="zh-CN"/>
              </w:rPr>
              <w:t>纸质版投标文件和电子版投标文件必须保证内容一致；如确实存在不一致的，以电子标书为准，同时要求投标</w:t>
            </w:r>
            <w:r>
              <w:rPr>
                <w:rFonts w:hint="eastAsia" w:hAnsi="宋体" w:eastAsia="宋体" w:cs="宋体"/>
                <w:b/>
                <w:bCs/>
                <w:sz w:val="24"/>
                <w:highlight w:val="none"/>
                <w:lang w:val="en-US" w:eastAsia="zh-CN"/>
              </w:rPr>
              <w:t>人</w:t>
            </w:r>
            <w:r>
              <w:rPr>
                <w:rFonts w:hint="eastAsia" w:ascii="宋体" w:hAnsi="宋体" w:eastAsia="宋体" w:cs="宋体"/>
                <w:b/>
                <w:bCs/>
                <w:sz w:val="24"/>
                <w:highlight w:val="none"/>
                <w:lang w:val="en-US" w:eastAsia="zh-CN"/>
              </w:rPr>
              <w:t>对纸版标书做出修正。</w:t>
            </w:r>
          </w:p>
        </w:tc>
      </w:tr>
      <w:tr w14:paraId="6861D5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1F1FC7C9">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4CDF44B5">
            <w:pPr>
              <w:pStyle w:val="13"/>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投标文件的装订：</w:t>
            </w:r>
            <w:r>
              <w:rPr>
                <w:rFonts w:hint="eastAsia" w:ascii="宋体" w:hAnsi="宋体" w:eastAsia="宋体" w:cs="宋体"/>
                <w:sz w:val="24"/>
                <w:szCs w:val="24"/>
                <w:highlight w:val="none"/>
              </w:rPr>
              <w:t>投标人必须将投标文件按照</w:t>
            </w:r>
            <w:r>
              <w:rPr>
                <w:rFonts w:hint="eastAsia" w:ascii="宋体" w:hAnsi="宋体" w:eastAsia="宋体" w:cs="宋体"/>
                <w:sz w:val="24"/>
                <w:szCs w:val="24"/>
                <w:highlight w:val="none"/>
                <w:lang w:val="en-US" w:eastAsia="zh-CN"/>
              </w:rPr>
              <w:t>资质标文件1册、</w:t>
            </w:r>
            <w:r>
              <w:rPr>
                <w:rFonts w:hint="eastAsia" w:ascii="宋体" w:hAnsi="宋体" w:eastAsia="宋体" w:cs="宋体"/>
                <w:sz w:val="24"/>
                <w:szCs w:val="24"/>
                <w:highlight w:val="none"/>
              </w:rPr>
              <w:t>技术标</w:t>
            </w:r>
            <w:r>
              <w:rPr>
                <w:rFonts w:hint="eastAsia" w:ascii="宋体" w:hAnsi="宋体" w:eastAsia="宋体" w:cs="宋体"/>
                <w:sz w:val="24"/>
                <w:szCs w:val="24"/>
                <w:highlight w:val="none"/>
                <w:lang w:val="en-US" w:eastAsia="zh-CN"/>
              </w:rPr>
              <w:t>文件</w:t>
            </w:r>
            <w:r>
              <w:rPr>
                <w:rFonts w:hint="eastAsia" w:ascii="宋体" w:hAnsi="宋体" w:eastAsia="宋体" w:cs="宋体"/>
                <w:sz w:val="24"/>
                <w:szCs w:val="24"/>
                <w:highlight w:val="none"/>
              </w:rPr>
              <w:t>1册、商务标</w:t>
            </w:r>
            <w:r>
              <w:rPr>
                <w:rFonts w:hint="eastAsia" w:ascii="宋体" w:hAnsi="宋体" w:eastAsia="宋体" w:cs="宋体"/>
                <w:sz w:val="24"/>
                <w:szCs w:val="24"/>
                <w:highlight w:val="none"/>
                <w:lang w:val="en-US" w:eastAsia="zh-CN"/>
              </w:rPr>
              <w:t>文件</w:t>
            </w:r>
            <w:r>
              <w:rPr>
                <w:rFonts w:hint="eastAsia" w:ascii="宋体" w:hAnsi="宋体" w:eastAsia="宋体" w:cs="宋体"/>
                <w:sz w:val="24"/>
                <w:szCs w:val="24"/>
                <w:highlight w:val="none"/>
              </w:rPr>
              <w:t>1册</w:t>
            </w:r>
            <w:r>
              <w:rPr>
                <w:rFonts w:hint="eastAsia" w:ascii="宋体" w:hAnsi="宋体" w:eastAsia="宋体" w:cs="宋体"/>
                <w:b/>
                <w:bCs/>
                <w:sz w:val="24"/>
                <w:szCs w:val="24"/>
                <w:highlight w:val="none"/>
              </w:rPr>
              <w:t>分别进行</w:t>
            </w:r>
            <w:r>
              <w:rPr>
                <w:rFonts w:hint="eastAsia" w:ascii="宋体" w:hAnsi="宋体" w:eastAsia="宋体" w:cs="宋体"/>
                <w:bCs/>
                <w:sz w:val="24"/>
                <w:szCs w:val="24"/>
                <w:highlight w:val="none"/>
              </w:rPr>
              <w:t>胶装</w:t>
            </w:r>
            <w:r>
              <w:rPr>
                <w:rFonts w:hint="eastAsia" w:ascii="宋体" w:hAnsi="宋体" w:eastAsia="宋体" w:cs="宋体"/>
                <w:sz w:val="24"/>
                <w:szCs w:val="24"/>
                <w:highlight w:val="none"/>
              </w:rPr>
              <w:t>，各自不允许超过两册。</w:t>
            </w:r>
          </w:p>
          <w:p w14:paraId="649B2DF5">
            <w:pPr>
              <w:pStyle w:val="17"/>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highlight w:val="none"/>
              </w:rPr>
              <w:t>技术标书和商务标书不单独装订的，投标文件做无效标处理</w:t>
            </w:r>
            <w:r>
              <w:rPr>
                <w:rFonts w:hint="eastAsia" w:hAnsi="宋体" w:eastAsia="宋体" w:cs="宋体"/>
                <w:b/>
                <w:bCs/>
                <w:kern w:val="2"/>
                <w:sz w:val="24"/>
                <w:szCs w:val="24"/>
                <w:highlight w:val="none"/>
                <w:lang w:eastAsia="zh-CN"/>
              </w:rPr>
              <w:t>。</w:t>
            </w:r>
          </w:p>
        </w:tc>
      </w:tr>
      <w:tr w14:paraId="18F5D7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405466E7">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14:paraId="23C9DC1F">
            <w:pPr>
              <w:pStyle w:val="17"/>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投标文件递交截止时间：</w:t>
            </w:r>
            <w:r>
              <w:rPr>
                <w:rFonts w:hint="eastAsia" w:hAnsi="宋体" w:eastAsia="宋体" w:cs="宋体"/>
                <w:sz w:val="24"/>
                <w:szCs w:val="24"/>
                <w:highlight w:val="none"/>
                <w:u w:val="single"/>
                <w:lang w:eastAsia="zh-CN"/>
              </w:rPr>
              <w:t>2025年</w:t>
            </w:r>
            <w:r>
              <w:rPr>
                <w:rFonts w:hint="eastAsia" w:hAnsi="宋体" w:eastAsia="宋体" w:cs="宋体"/>
                <w:sz w:val="24"/>
                <w:szCs w:val="24"/>
                <w:highlight w:val="none"/>
                <w:u w:val="single"/>
                <w:lang w:val="en-US" w:eastAsia="zh-CN"/>
              </w:rPr>
              <w:t>11</w:t>
            </w:r>
            <w:r>
              <w:rPr>
                <w:rFonts w:hint="eastAsia" w:hAnsi="宋体" w:eastAsia="宋体" w:cs="宋体"/>
                <w:sz w:val="24"/>
                <w:szCs w:val="24"/>
                <w:highlight w:val="none"/>
                <w:u w:val="single"/>
                <w:lang w:eastAsia="zh-CN"/>
              </w:rPr>
              <w:t>月</w:t>
            </w:r>
            <w:r>
              <w:rPr>
                <w:rFonts w:hint="eastAsia" w:hAnsi="宋体" w:eastAsia="宋体" w:cs="宋体"/>
                <w:sz w:val="24"/>
                <w:szCs w:val="24"/>
                <w:highlight w:val="none"/>
                <w:u w:val="single"/>
                <w:lang w:val="en-US" w:eastAsia="zh-CN"/>
              </w:rPr>
              <w:t>10</w:t>
            </w:r>
            <w:r>
              <w:rPr>
                <w:rFonts w:hint="eastAsia" w:ascii="宋体" w:hAnsi="宋体" w:eastAsia="宋体" w:cs="宋体"/>
                <w:sz w:val="24"/>
                <w:szCs w:val="24"/>
                <w:highlight w:val="none"/>
              </w:rPr>
              <w:t>日</w:t>
            </w:r>
            <w:r>
              <w:rPr>
                <w:rFonts w:hint="eastAsia" w:hAnsi="宋体" w:eastAsia="宋体" w:cs="宋体"/>
                <w:kern w:val="0"/>
                <w:sz w:val="24"/>
                <w:szCs w:val="24"/>
                <w:highlight w:val="none"/>
                <w:lang w:val="en-US" w:eastAsia="zh-CN"/>
              </w:rPr>
              <w:t>上</w:t>
            </w:r>
            <w:r>
              <w:rPr>
                <w:rFonts w:hint="eastAsia" w:ascii="宋体" w:hAnsi="宋体" w:eastAsia="宋体" w:cs="宋体"/>
                <w:kern w:val="0"/>
                <w:sz w:val="24"/>
                <w:szCs w:val="24"/>
                <w:highlight w:val="none"/>
              </w:rPr>
              <w:t>午</w:t>
            </w:r>
            <w:r>
              <w:rPr>
                <w:rFonts w:hint="eastAsia" w:hAnsi="宋体" w:eastAsia="宋体" w:cs="宋体"/>
                <w:kern w:val="0"/>
                <w:sz w:val="24"/>
                <w:szCs w:val="24"/>
                <w:highlight w:val="none"/>
                <w:lang w:val="en-US" w:eastAsia="zh-CN"/>
              </w:rPr>
              <w:t>9</w:t>
            </w:r>
            <w:r>
              <w:rPr>
                <w:rFonts w:hint="eastAsia" w:ascii="宋体" w:hAnsi="宋体" w:eastAsia="宋体" w:cs="宋体"/>
                <w:sz w:val="24"/>
                <w:szCs w:val="24"/>
                <w:highlight w:val="none"/>
              </w:rPr>
              <w:t>:</w:t>
            </w:r>
            <w:r>
              <w:rPr>
                <w:rFonts w:hint="eastAsia" w:hAnsi="宋体" w:eastAsia="宋体" w:cs="宋体"/>
                <w:sz w:val="24"/>
                <w:szCs w:val="24"/>
                <w:highlight w:val="none"/>
                <w:lang w:val="en-US" w:eastAsia="zh-CN"/>
              </w:rPr>
              <w:t>0</w:t>
            </w:r>
            <w:r>
              <w:rPr>
                <w:rFonts w:hint="eastAsia" w:ascii="宋体" w:hAnsi="宋体" w:eastAsia="宋体" w:cs="宋体"/>
                <w:sz w:val="24"/>
                <w:szCs w:val="24"/>
                <w:highlight w:val="none"/>
                <w:lang w:val="en-US" w:eastAsia="zh-CN"/>
              </w:rPr>
              <w:t>0</w:t>
            </w:r>
            <w:r>
              <w:rPr>
                <w:rFonts w:hint="eastAsia" w:hAnsi="宋体" w:eastAsia="宋体" w:cs="宋体"/>
                <w:sz w:val="24"/>
                <w:szCs w:val="24"/>
                <w:highlight w:val="none"/>
                <w:lang w:val="en-US" w:eastAsia="zh-CN"/>
              </w:rPr>
              <w:t>:00</w:t>
            </w:r>
            <w:r>
              <w:rPr>
                <w:rFonts w:hint="eastAsia" w:ascii="宋体" w:hAnsi="宋体" w:eastAsia="宋体" w:cs="宋体"/>
                <w:sz w:val="24"/>
                <w:szCs w:val="24"/>
                <w:highlight w:val="none"/>
              </w:rPr>
              <w:t>（北京时间）</w:t>
            </w:r>
          </w:p>
          <w:p w14:paraId="2DA58773">
            <w:pPr>
              <w:pStyle w:val="17"/>
              <w:ind w:firstLine="482" w:firstLineChars="200"/>
              <w:rPr>
                <w:rFonts w:hint="eastAsia" w:ascii="宋体" w:hAnsi="宋体" w:eastAsia="宋体" w:cs="宋体"/>
                <w:sz w:val="24"/>
                <w:szCs w:val="24"/>
                <w:highlight w:val="none"/>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highlight w:val="none"/>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65091B3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2B69747C">
            <w:pPr>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14:paraId="24C8620B">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投标文件有效期：</w:t>
            </w:r>
            <w:r>
              <w:rPr>
                <w:rFonts w:hint="eastAsia" w:ascii="宋体" w:hAnsi="宋体" w:eastAsia="宋体" w:cs="宋体"/>
                <w:sz w:val="24"/>
                <w:szCs w:val="24"/>
                <w:highlight w:val="none"/>
              </w:rPr>
              <w:t>自开标之日起90</w:t>
            </w:r>
            <w:r>
              <w:rPr>
                <w:rFonts w:hint="eastAsia" w:ascii="宋体" w:hAnsi="宋体" w:eastAsia="宋体" w:cs="宋体"/>
                <w:sz w:val="24"/>
                <w:szCs w:val="24"/>
                <w:highlight w:val="none"/>
                <w:lang w:val="en-US" w:eastAsia="zh-CN"/>
              </w:rPr>
              <w:t>个</w:t>
            </w:r>
            <w:r>
              <w:rPr>
                <w:rFonts w:hint="eastAsia" w:ascii="宋体" w:hAnsi="宋体" w:eastAsia="宋体" w:cs="宋体"/>
                <w:sz w:val="24"/>
                <w:szCs w:val="24"/>
                <w:highlight w:val="none"/>
              </w:rPr>
              <w:t>日历</w:t>
            </w:r>
            <w:r>
              <w:rPr>
                <w:rFonts w:hint="eastAsia" w:ascii="宋体" w:hAnsi="宋体" w:eastAsia="宋体" w:cs="宋体"/>
                <w:sz w:val="24"/>
                <w:szCs w:val="24"/>
                <w:highlight w:val="none"/>
                <w:lang w:val="en-US" w:eastAsia="zh-CN"/>
              </w:rPr>
              <w:t>日。</w:t>
            </w:r>
          </w:p>
        </w:tc>
      </w:tr>
      <w:tr w14:paraId="65775A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C5CC464">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4.投标保证金及投标有效期</w:t>
            </w:r>
          </w:p>
        </w:tc>
      </w:tr>
      <w:tr w14:paraId="448903E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16B64694">
            <w:pPr>
              <w:jc w:val="center"/>
              <w:rPr>
                <w:rFonts w:ascii="宋体" w:hAnsi="宋体" w:eastAsia="宋体" w:cs="宋体"/>
                <w:sz w:val="24"/>
                <w:szCs w:val="24"/>
                <w:highlight w:val="none"/>
              </w:rPr>
            </w:pPr>
            <w:r>
              <w:rPr>
                <w:rFonts w:hint="eastAsia" w:ascii="宋体" w:hAnsi="宋体" w:eastAsia="宋体" w:cs="宋体"/>
                <w:sz w:val="24"/>
                <w:szCs w:val="24"/>
                <w:highlight w:val="none"/>
              </w:rPr>
              <w:t>4.1</w:t>
            </w:r>
          </w:p>
        </w:tc>
        <w:tc>
          <w:tcPr>
            <w:tcW w:w="8363" w:type="dxa"/>
            <w:tcBorders>
              <w:top w:val="single" w:color="auto" w:sz="2" w:space="0"/>
              <w:left w:val="single" w:color="auto" w:sz="2" w:space="0"/>
              <w:bottom w:val="single" w:color="auto" w:sz="2" w:space="0"/>
              <w:right w:val="single" w:color="auto" w:sz="2" w:space="0"/>
            </w:tcBorders>
            <w:vAlign w:val="center"/>
          </w:tcPr>
          <w:p w14:paraId="29E76ADD">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rPr>
              <w:t>电汇或网银</w:t>
            </w:r>
          </w:p>
        </w:tc>
      </w:tr>
      <w:tr w14:paraId="1C7C03A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59" w:hRule="atLeast"/>
        </w:trPr>
        <w:tc>
          <w:tcPr>
            <w:tcW w:w="595" w:type="dxa"/>
            <w:tcBorders>
              <w:top w:val="single" w:color="auto" w:sz="2" w:space="0"/>
              <w:left w:val="single" w:color="auto" w:sz="2" w:space="0"/>
              <w:bottom w:val="single" w:color="auto" w:sz="2" w:space="0"/>
              <w:right w:val="single" w:color="auto" w:sz="2" w:space="0"/>
            </w:tcBorders>
            <w:vAlign w:val="center"/>
          </w:tcPr>
          <w:p w14:paraId="782D95C4">
            <w:pPr>
              <w:jc w:val="center"/>
              <w:rPr>
                <w:rFonts w:ascii="宋体" w:hAnsi="宋体" w:eastAsia="宋体" w:cs="宋体"/>
                <w:sz w:val="24"/>
                <w:szCs w:val="24"/>
                <w:highlight w:val="none"/>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4787121E">
            <w:pPr>
              <w:widowControl w:val="0"/>
              <w:tabs>
                <w:tab w:val="left" w:pos="932"/>
              </w:tabs>
              <w:spacing w:before="0" w:after="0"/>
              <w:ind w:firstLine="482"/>
              <w:rPr>
                <w:rFonts w:ascii="宋体" w:hAnsi="宋体" w:eastAsia="宋体" w:cs="宋体"/>
                <w:b/>
                <w:bCs/>
                <w:sz w:val="24"/>
                <w:szCs w:val="24"/>
                <w:highlight w:val="none"/>
              </w:rPr>
            </w:pPr>
            <w:r>
              <w:rPr>
                <w:rFonts w:ascii="宋体" w:hAnsi="宋体" w:eastAsia="宋体" w:cs="宋体"/>
                <w:b/>
                <w:bCs/>
                <w:sz w:val="24"/>
                <w:szCs w:val="24"/>
                <w:highlight w:val="none"/>
              </w:rPr>
              <w:t>投标保证金的金额：人民币</w:t>
            </w:r>
            <w:r>
              <w:rPr>
                <w:rFonts w:hint="eastAsia" w:ascii="宋体" w:hAnsi="宋体" w:eastAsia="宋体" w:cs="宋体"/>
                <w:b/>
                <w:bCs/>
                <w:sz w:val="24"/>
                <w:szCs w:val="24"/>
                <w:highlight w:val="none"/>
                <w:lang w:val="en-US" w:eastAsia="zh-CN"/>
              </w:rPr>
              <w:t>5</w:t>
            </w:r>
            <w:r>
              <w:rPr>
                <w:rFonts w:ascii="宋体" w:hAnsi="宋体" w:eastAsia="宋体" w:cs="宋体"/>
                <w:b/>
                <w:bCs/>
                <w:sz w:val="24"/>
                <w:szCs w:val="24"/>
                <w:highlight w:val="none"/>
                <w:lang w:val="en-US" w:eastAsia="zh-CN"/>
              </w:rPr>
              <w:t>000</w:t>
            </w:r>
            <w:r>
              <w:rPr>
                <w:rFonts w:ascii="宋体" w:hAnsi="宋体" w:eastAsia="宋体" w:cs="宋体"/>
                <w:b/>
                <w:bCs/>
                <w:sz w:val="24"/>
                <w:szCs w:val="24"/>
                <w:highlight w:val="none"/>
              </w:rPr>
              <w:t>.00元</w:t>
            </w:r>
          </w:p>
          <w:p w14:paraId="59EE76FF">
            <w:pPr>
              <w:widowControl w:val="0"/>
              <w:tabs>
                <w:tab w:val="left" w:pos="932"/>
              </w:tabs>
              <w:spacing w:before="0" w:after="0"/>
              <w:ind w:firstLine="482"/>
              <w:rPr>
                <w:rFonts w:hint="eastAsia" w:ascii="宋体" w:hAnsi="宋体" w:eastAsia="宋体" w:cs="宋体"/>
                <w:b/>
                <w:bCs/>
                <w:sz w:val="24"/>
                <w:szCs w:val="24"/>
                <w:highlight w:val="none"/>
              </w:rPr>
            </w:pPr>
            <w:r>
              <w:rPr>
                <w:rFonts w:ascii="宋体" w:hAnsi="宋体" w:eastAsia="宋体" w:cs="宋体"/>
                <w:b/>
                <w:bCs/>
                <w:sz w:val="24"/>
                <w:szCs w:val="24"/>
                <w:highlight w:val="none"/>
              </w:rPr>
              <w:t>开户银行：</w:t>
            </w:r>
            <w:r>
              <w:rPr>
                <w:rFonts w:hint="eastAsia" w:ascii="宋体" w:hAnsi="宋体" w:eastAsia="宋体" w:cs="宋体"/>
                <w:b/>
                <w:bCs/>
                <w:sz w:val="24"/>
                <w:szCs w:val="24"/>
                <w:highlight w:val="none"/>
              </w:rPr>
              <w:t>中国银行章丘支行</w:t>
            </w:r>
          </w:p>
          <w:p w14:paraId="16416D8D">
            <w:pPr>
              <w:widowControl w:val="0"/>
              <w:tabs>
                <w:tab w:val="left" w:pos="932"/>
              </w:tabs>
              <w:spacing w:before="0" w:after="0"/>
              <w:ind w:firstLine="482"/>
              <w:rPr>
                <w:rFonts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户名</w:t>
            </w:r>
            <w:r>
              <w:rPr>
                <w:rFonts w:ascii="宋体" w:hAnsi="宋体" w:eastAsia="宋体" w:cs="宋体"/>
                <w:b/>
                <w:bCs/>
                <w:sz w:val="24"/>
                <w:szCs w:val="24"/>
                <w:highlight w:val="none"/>
              </w:rPr>
              <w:t>：</w:t>
            </w:r>
            <w:r>
              <w:rPr>
                <w:rFonts w:hint="eastAsia" w:ascii="宋体" w:hAnsi="宋体" w:eastAsia="宋体" w:cs="宋体"/>
                <w:b/>
                <w:bCs/>
                <w:sz w:val="24"/>
                <w:szCs w:val="24"/>
                <w:highlight w:val="none"/>
              </w:rPr>
              <w:t>中国重汽集团济南动力有限公司发动机厂</w:t>
            </w:r>
          </w:p>
          <w:p w14:paraId="0FA42540">
            <w:pPr>
              <w:widowControl w:val="0"/>
              <w:tabs>
                <w:tab w:val="left" w:pos="932"/>
              </w:tabs>
              <w:spacing w:before="0" w:after="0"/>
              <w:ind w:firstLine="482"/>
              <w:rPr>
                <w:rFonts w:ascii="宋体" w:hAnsi="宋体" w:eastAsia="宋体" w:cs="宋体"/>
                <w:b/>
                <w:bCs/>
                <w:sz w:val="24"/>
                <w:szCs w:val="24"/>
                <w:highlight w:val="none"/>
              </w:rPr>
            </w:pPr>
            <w:r>
              <w:rPr>
                <w:rFonts w:ascii="宋体" w:hAnsi="宋体" w:eastAsia="宋体" w:cs="宋体"/>
                <w:b/>
                <w:bCs/>
                <w:sz w:val="24"/>
                <w:szCs w:val="24"/>
                <w:highlight w:val="none"/>
              </w:rPr>
              <w:t>账号：</w:t>
            </w:r>
            <w:r>
              <w:rPr>
                <w:rFonts w:hint="eastAsia" w:ascii="宋体" w:hAnsi="宋体" w:eastAsia="宋体" w:cs="宋体"/>
                <w:b/>
                <w:bCs/>
                <w:sz w:val="24"/>
                <w:szCs w:val="24"/>
                <w:highlight w:val="none"/>
              </w:rPr>
              <w:t>2234 0557 4478</w:t>
            </w:r>
          </w:p>
          <w:p w14:paraId="4D4DC8C1">
            <w:pPr>
              <w:widowControl w:val="0"/>
              <w:spacing w:before="0" w:after="0"/>
              <w:rPr>
                <w:rFonts w:ascii="宋体" w:hAnsi="宋体" w:eastAsia="宋体" w:cs="宋体"/>
                <w:sz w:val="24"/>
                <w:szCs w:val="24"/>
                <w:highlight w:val="none"/>
              </w:rPr>
            </w:pPr>
            <w:r>
              <w:rPr>
                <w:rFonts w:ascii="宋体" w:hAnsi="宋体" w:eastAsia="宋体" w:cs="宋体"/>
                <w:sz w:val="24"/>
                <w:szCs w:val="24"/>
                <w:highlight w:val="none"/>
              </w:rPr>
              <w:t>投标保证金应从投标人的基本账户转出至上述账户并到账，否则视为无效投标。</w:t>
            </w:r>
          </w:p>
          <w:p w14:paraId="0A4F508E">
            <w:pPr>
              <w:ind w:firstLine="480" w:firstLineChars="200"/>
              <w:rPr>
                <w:rFonts w:hint="eastAsia" w:ascii="宋体" w:hAnsi="宋体" w:eastAsia="宋体" w:cs="宋体"/>
                <w:sz w:val="24"/>
                <w:szCs w:val="24"/>
                <w:highlight w:val="none"/>
                <w:lang w:eastAsia="zh-CN"/>
              </w:rPr>
            </w:pPr>
            <w:r>
              <w:rPr>
                <w:rFonts w:eastAsia="宋体" w:cs="Times New Roman"/>
                <w:sz w:val="24"/>
                <w:szCs w:val="28"/>
                <w:highlight w:val="none"/>
              </w:rPr>
              <w:t>转账附言：公司名称+项目名称+投标保证金。</w:t>
            </w:r>
          </w:p>
        </w:tc>
      </w:tr>
      <w:tr w14:paraId="1D4F82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69FAFE2A">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34CB1D5E">
            <w:pPr>
              <w:pStyle w:val="35"/>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none"/>
                <w:lang w:eastAsia="zh-CN"/>
              </w:rPr>
              <w:t>2025年</w:t>
            </w:r>
            <w:r>
              <w:rPr>
                <w:rFonts w:hint="eastAsia" w:ascii="宋体" w:hAnsi="宋体" w:cs="宋体"/>
                <w:sz w:val="24"/>
                <w:szCs w:val="24"/>
                <w:highlight w:val="none"/>
                <w:lang w:val="en-US" w:eastAsia="zh-CN"/>
              </w:rPr>
              <w:t>11</w:t>
            </w:r>
            <w:r>
              <w:rPr>
                <w:rFonts w:hint="eastAsia" w:ascii="宋体" w:hAnsi="宋体" w:cs="宋体"/>
                <w:sz w:val="24"/>
                <w:szCs w:val="24"/>
                <w:highlight w:val="none"/>
                <w:lang w:eastAsia="zh-CN"/>
              </w:rPr>
              <w:t>月</w:t>
            </w:r>
            <w:r>
              <w:rPr>
                <w:rFonts w:hint="eastAsia" w:ascii="宋体" w:hAnsi="宋体" w:cs="宋体"/>
                <w:sz w:val="24"/>
                <w:szCs w:val="24"/>
                <w:highlight w:val="none"/>
                <w:lang w:val="en-US" w:eastAsia="zh-CN"/>
              </w:rPr>
              <w:t>10</w:t>
            </w:r>
            <w:r>
              <w:rPr>
                <w:rFonts w:hint="eastAsia" w:ascii="宋体" w:hAnsi="宋体" w:cs="宋体"/>
                <w:sz w:val="24"/>
                <w:szCs w:val="24"/>
                <w:highlight w:val="none"/>
              </w:rPr>
              <w:t>日1</w:t>
            </w:r>
            <w:r>
              <w:rPr>
                <w:rFonts w:ascii="宋体" w:hAnsi="宋体" w:cs="宋体"/>
                <w:sz w:val="24"/>
                <w:szCs w:val="24"/>
                <w:highlight w:val="none"/>
              </w:rPr>
              <w:t>7</w:t>
            </w:r>
            <w:r>
              <w:rPr>
                <w:rFonts w:hint="eastAsia" w:ascii="宋体" w:hAnsi="宋体" w:cs="宋体"/>
                <w:sz w:val="24"/>
                <w:szCs w:val="24"/>
                <w:highlight w:val="none"/>
              </w:rPr>
              <w:t>：</w:t>
            </w:r>
            <w:r>
              <w:rPr>
                <w:rFonts w:ascii="宋体" w:hAnsi="宋体" w:cs="宋体"/>
                <w:sz w:val="24"/>
                <w:szCs w:val="24"/>
                <w:highlight w:val="none"/>
              </w:rPr>
              <w:t>0</w:t>
            </w:r>
            <w:r>
              <w:rPr>
                <w:rFonts w:hint="eastAsia" w:ascii="宋体" w:hAnsi="宋体" w:cs="宋体"/>
                <w:sz w:val="24"/>
                <w:szCs w:val="24"/>
                <w:highlight w:val="none"/>
              </w:rPr>
              <w:t>0前</w:t>
            </w: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同应标截止时间</w:t>
            </w:r>
            <w:r>
              <w:rPr>
                <w:rFonts w:hint="eastAsia" w:ascii="宋体" w:hAnsi="宋体" w:cs="宋体"/>
                <w:sz w:val="24"/>
                <w:szCs w:val="24"/>
                <w:highlight w:val="none"/>
                <w:lang w:eastAsia="zh-CN"/>
              </w:rPr>
              <w:t>）</w:t>
            </w:r>
          </w:p>
          <w:p w14:paraId="7FB6CE8C">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11E1B4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73F28411">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450FD317">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160135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F862B68">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5.开评标</w:t>
            </w:r>
          </w:p>
        </w:tc>
      </w:tr>
      <w:tr w14:paraId="76BE35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DCE5FBF">
            <w:pPr>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5.</w:t>
            </w:r>
            <w:r>
              <w:rPr>
                <w:rFonts w:hint="eastAsia" w:ascii="宋体" w:hAnsi="宋体" w:eastAsia="宋体" w:cs="宋体"/>
                <w:sz w:val="24"/>
                <w:szCs w:val="24"/>
                <w:highlight w:val="none"/>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62CC91DC">
            <w:pPr>
              <w:widowControl w:val="0"/>
              <w:spacing w:before="0" w:after="0"/>
              <w:ind w:firstLine="482"/>
              <w:rPr>
                <w:rFonts w:ascii="宋体" w:hAnsi="宋体" w:eastAsia="宋体" w:cs="宋体"/>
                <w:sz w:val="24"/>
                <w:szCs w:val="24"/>
                <w:highlight w:val="none"/>
              </w:rPr>
            </w:pPr>
            <w:r>
              <w:rPr>
                <w:rFonts w:ascii="宋体" w:hAnsi="宋体" w:eastAsia="宋体" w:cs="宋体"/>
                <w:b/>
                <w:bCs/>
                <w:sz w:val="24"/>
                <w:szCs w:val="24"/>
                <w:highlight w:val="none"/>
              </w:rPr>
              <w:t>开标时间：同投标档递交截止时间</w:t>
            </w:r>
            <w:r>
              <w:rPr>
                <w:rFonts w:ascii="宋体" w:hAnsi="宋体" w:eastAsia="宋体" w:cs="宋体"/>
                <w:kern w:val="0"/>
                <w:sz w:val="24"/>
                <w:szCs w:val="24"/>
                <w:highlight w:val="none"/>
              </w:rPr>
              <w:t>。</w:t>
            </w:r>
          </w:p>
          <w:p w14:paraId="2DBF74E4">
            <w:pPr>
              <w:ind w:firstLine="482" w:firstLineChars="200"/>
              <w:rPr>
                <w:rFonts w:ascii="宋体" w:hAnsi="宋体" w:eastAsia="宋体" w:cs="宋体"/>
                <w:sz w:val="24"/>
                <w:szCs w:val="24"/>
                <w:highlight w:val="none"/>
              </w:rPr>
            </w:pPr>
            <w:r>
              <w:rPr>
                <w:rFonts w:ascii="宋体" w:hAnsi="宋体" w:eastAsia="宋体" w:cs="宋体"/>
                <w:b/>
                <w:bCs/>
                <w:sz w:val="24"/>
                <w:szCs w:val="24"/>
                <w:highlight w:val="none"/>
              </w:rPr>
              <w:t>开标地点：</w:t>
            </w:r>
            <w:r>
              <w:rPr>
                <w:rFonts w:hint="eastAsia" w:ascii="宋体" w:hAnsi="宋体" w:eastAsia="宋体" w:cs="宋体"/>
                <w:b/>
                <w:bCs/>
                <w:sz w:val="24"/>
                <w:szCs w:val="24"/>
                <w:highlight w:val="none"/>
              </w:rPr>
              <w:t>线上（若有变动另行通知）。</w:t>
            </w:r>
          </w:p>
        </w:tc>
      </w:tr>
      <w:tr w14:paraId="768010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42BE34C">
            <w:pPr>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5.</w:t>
            </w:r>
            <w:r>
              <w:rPr>
                <w:rFonts w:hint="eastAsia" w:ascii="宋体" w:hAnsi="宋体" w:eastAsia="宋体" w:cs="宋体"/>
                <w:sz w:val="24"/>
                <w:szCs w:val="24"/>
                <w:highlight w:val="none"/>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1EC37284">
            <w:pPr>
              <w:pStyle w:val="12"/>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评标方法：</w:t>
            </w:r>
            <w:r>
              <w:rPr>
                <w:rFonts w:hint="eastAsia" w:ascii="宋体" w:hAnsi="宋体" w:eastAsia="宋体" w:cs="宋体"/>
                <w:b/>
                <w:bCs/>
                <w:sz w:val="24"/>
                <w:szCs w:val="24"/>
                <w:highlight w:val="none"/>
                <w:lang w:val="en-US" w:eastAsia="zh-CN"/>
              </w:rPr>
              <w:t>资质标审核→唱标→技术标评审→商务标评审。</w:t>
            </w:r>
            <w:r>
              <w:rPr>
                <w:rFonts w:ascii="宋体" w:hAnsi="宋体" w:eastAsia="宋体" w:cs="宋体"/>
                <w:sz w:val="24"/>
                <w:szCs w:val="24"/>
                <w:highlight w:val="none"/>
              </w:rPr>
              <w:t>具体详见“第二部分投标须知第六条：评标原则”。</w:t>
            </w:r>
          </w:p>
        </w:tc>
      </w:tr>
      <w:tr w14:paraId="4F7242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D095DD">
            <w:pPr>
              <w:jc w:val="center"/>
              <w:rPr>
                <w:rFonts w:ascii="宋体" w:hAnsi="宋体" w:eastAsia="宋体" w:cs="宋体"/>
                <w:sz w:val="24"/>
                <w:szCs w:val="24"/>
                <w:highlight w:val="none"/>
              </w:rPr>
            </w:pPr>
            <w:r>
              <w:rPr>
                <w:rFonts w:hint="eastAsia" w:ascii="宋体" w:hAnsi="宋体" w:eastAsia="宋体" w:cs="宋体"/>
                <w:b/>
                <w:bCs/>
                <w:sz w:val="24"/>
                <w:szCs w:val="24"/>
                <w:highlight w:val="none"/>
              </w:rPr>
              <w:t>6.合同签订</w:t>
            </w:r>
          </w:p>
        </w:tc>
      </w:tr>
      <w:tr w14:paraId="37462C9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76B0908">
            <w:pPr>
              <w:jc w:val="center"/>
              <w:rPr>
                <w:rFonts w:ascii="宋体" w:hAnsi="宋体" w:eastAsia="宋体" w:cs="宋体"/>
                <w:sz w:val="24"/>
                <w:szCs w:val="24"/>
                <w:highlight w:val="none"/>
              </w:rPr>
            </w:pPr>
            <w:r>
              <w:rPr>
                <w:rFonts w:hint="eastAsia" w:ascii="宋体" w:hAnsi="宋体" w:eastAsia="宋体" w:cs="宋体"/>
                <w:sz w:val="24"/>
                <w:szCs w:val="24"/>
                <w:highlight w:val="none"/>
              </w:rPr>
              <w:t>6.1</w:t>
            </w:r>
          </w:p>
        </w:tc>
        <w:tc>
          <w:tcPr>
            <w:tcW w:w="8363" w:type="dxa"/>
            <w:tcBorders>
              <w:top w:val="single" w:color="auto" w:sz="2" w:space="0"/>
              <w:left w:val="single" w:color="auto" w:sz="2" w:space="0"/>
              <w:bottom w:val="single" w:color="auto" w:sz="2" w:space="0"/>
              <w:right w:val="single" w:color="auto" w:sz="2" w:space="0"/>
            </w:tcBorders>
            <w:vAlign w:val="center"/>
          </w:tcPr>
          <w:p w14:paraId="4269B38B">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部分投标须知第七条。</w:t>
            </w:r>
          </w:p>
        </w:tc>
      </w:tr>
      <w:tr w14:paraId="49DDD9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2A20734">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7.交货期及付款方式</w:t>
            </w:r>
          </w:p>
        </w:tc>
      </w:tr>
      <w:tr w14:paraId="4DECFB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7FF5721A">
            <w:pPr>
              <w:jc w:val="center"/>
              <w:rPr>
                <w:rFonts w:ascii="宋体" w:hAnsi="宋体" w:eastAsia="宋体" w:cs="宋体"/>
                <w:sz w:val="24"/>
                <w:szCs w:val="24"/>
                <w:highlight w:val="none"/>
              </w:rPr>
            </w:pPr>
            <w:r>
              <w:rPr>
                <w:rFonts w:hint="eastAsia" w:ascii="宋体" w:hAnsi="宋体" w:eastAsia="宋体" w:cs="宋体"/>
                <w:sz w:val="24"/>
                <w:szCs w:val="24"/>
                <w:highlight w:val="none"/>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F0A27D7">
            <w:pPr>
              <w:pStyle w:val="17"/>
              <w:ind w:firstLine="482" w:firstLineChars="200"/>
              <w:rPr>
                <w:rFonts w:hAnsi="宋体" w:eastAsia="宋体" w:cs="宋体"/>
                <w:b/>
                <w:bCs/>
                <w:color w:val="000000"/>
                <w:sz w:val="24"/>
                <w:szCs w:val="24"/>
                <w:highlight w:val="none"/>
              </w:rPr>
            </w:pPr>
            <w:r>
              <w:rPr>
                <w:rFonts w:hint="eastAsia" w:hAnsi="宋体" w:eastAsia="宋体" w:cs="宋体"/>
                <w:b/>
                <w:bCs/>
                <w:color w:val="000000"/>
                <w:sz w:val="24"/>
                <w:szCs w:val="24"/>
                <w:highlight w:val="none"/>
              </w:rPr>
              <w:t>交货期：</w:t>
            </w:r>
          </w:p>
          <w:p w14:paraId="37D1E33F">
            <w:pPr>
              <w:pStyle w:val="17"/>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1.自接到中标通知起，</w:t>
            </w:r>
            <w:r>
              <w:rPr>
                <w:rFonts w:hint="eastAsia" w:ascii="宋体" w:eastAsia="宋体" w:cs="宋体"/>
                <w:color w:val="000000"/>
                <w:sz w:val="24"/>
                <w:szCs w:val="24"/>
                <w:highlight w:val="none"/>
                <w:u w:val="single"/>
                <w:lang w:val="en-US" w:eastAsia="zh-CN"/>
              </w:rPr>
              <w:t>40</w:t>
            </w:r>
            <w:r>
              <w:rPr>
                <w:rFonts w:hint="eastAsia" w:ascii="宋体" w:hAnsi="宋体" w:eastAsia="宋体" w:cs="宋体"/>
                <w:color w:val="000000"/>
                <w:sz w:val="24"/>
                <w:szCs w:val="24"/>
                <w:highlight w:val="none"/>
                <w:lang w:val="en-US" w:eastAsia="zh-CN"/>
              </w:rPr>
              <w:t>日历日之内交货至供货</w:t>
            </w:r>
            <w:r>
              <w:rPr>
                <w:rFonts w:hint="eastAsia" w:hAnsi="宋体" w:eastAsia="宋体" w:cs="宋体"/>
                <w:color w:val="000000"/>
                <w:sz w:val="24"/>
                <w:szCs w:val="24"/>
                <w:highlight w:val="none"/>
              </w:rPr>
              <w:t>地点。</w:t>
            </w:r>
          </w:p>
          <w:p w14:paraId="7ECC74BC">
            <w:pPr>
              <w:pStyle w:val="17"/>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2.接续</w:t>
            </w:r>
            <w:r>
              <w:rPr>
                <w:rFonts w:hint="eastAsia" w:ascii="宋体" w:eastAsia="宋体" w:cs="宋体"/>
                <w:color w:val="000000"/>
                <w:sz w:val="24"/>
                <w:szCs w:val="24"/>
                <w:highlight w:val="none"/>
                <w:u w:val="single"/>
                <w:lang w:val="en-US" w:eastAsia="zh-CN"/>
              </w:rPr>
              <w:t>15</w:t>
            </w:r>
            <w:r>
              <w:rPr>
                <w:rFonts w:hint="eastAsia" w:hAnsi="宋体" w:eastAsia="宋体" w:cs="宋体"/>
                <w:color w:val="000000"/>
                <w:sz w:val="24"/>
                <w:szCs w:val="24"/>
                <w:highlight w:val="none"/>
              </w:rPr>
              <w:t>个日历日之内安装</w:t>
            </w:r>
            <w:r>
              <w:rPr>
                <w:rFonts w:hint="eastAsia" w:hAnsi="宋体" w:eastAsia="宋体" w:cs="宋体"/>
                <w:color w:val="000000"/>
                <w:sz w:val="24"/>
                <w:szCs w:val="24"/>
                <w:highlight w:val="none"/>
                <w:lang w:val="en-US" w:eastAsia="zh-CN"/>
              </w:rPr>
              <w:t>调试</w:t>
            </w:r>
            <w:r>
              <w:rPr>
                <w:rFonts w:hint="eastAsia" w:hAnsi="宋体" w:eastAsia="宋体" w:cs="宋体"/>
                <w:color w:val="000000"/>
                <w:sz w:val="24"/>
                <w:szCs w:val="24"/>
                <w:highlight w:val="none"/>
              </w:rPr>
              <w:t>完毕。</w:t>
            </w:r>
          </w:p>
          <w:p w14:paraId="06082FFB">
            <w:pPr>
              <w:pStyle w:val="17"/>
              <w:widowControl w:val="0"/>
              <w:spacing w:before="0" w:after="0"/>
              <w:ind w:firstLine="480"/>
              <w:rPr>
                <w:rFonts w:hint="default"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3.</w:t>
            </w:r>
            <w:r>
              <w:rPr>
                <w:rFonts w:eastAsia="宋体" w:cs="宋体"/>
                <w:color w:val="000000"/>
                <w:sz w:val="24"/>
                <w:szCs w:val="24"/>
                <w:highlight w:val="none"/>
              </w:rPr>
              <w:t>接续</w:t>
            </w:r>
            <w:r>
              <w:rPr>
                <w:rFonts w:hint="eastAsia" w:eastAsia="宋体" w:cs="宋体"/>
                <w:color w:val="000000"/>
                <w:sz w:val="24"/>
                <w:szCs w:val="24"/>
                <w:highlight w:val="none"/>
                <w:u w:val="single"/>
                <w:lang w:val="en-US" w:eastAsia="zh-CN"/>
              </w:rPr>
              <w:t xml:space="preserve"> 3</w:t>
            </w:r>
            <w:r>
              <w:rPr>
                <w:rFonts w:eastAsia="宋体" w:cs="宋体"/>
                <w:color w:val="000000"/>
                <w:sz w:val="24"/>
                <w:szCs w:val="24"/>
                <w:highlight w:val="none"/>
                <w:u w:val="single"/>
                <w:lang w:val="en-US" w:eastAsia="zh-CN"/>
              </w:rPr>
              <w:t>0</w:t>
            </w:r>
            <w:r>
              <w:rPr>
                <w:rFonts w:hint="eastAsia" w:eastAsia="宋体" w:cs="宋体"/>
                <w:color w:val="000000"/>
                <w:sz w:val="24"/>
                <w:szCs w:val="24"/>
                <w:highlight w:val="none"/>
                <w:u w:val="single"/>
                <w:lang w:val="en-US" w:eastAsia="zh-CN"/>
              </w:rPr>
              <w:t xml:space="preserve"> </w:t>
            </w:r>
            <w:r>
              <w:rPr>
                <w:rFonts w:eastAsia="宋体" w:cs="宋体"/>
                <w:color w:val="000000"/>
                <w:sz w:val="24"/>
                <w:szCs w:val="24"/>
                <w:highlight w:val="none"/>
              </w:rPr>
              <w:t>个日历日之内完成终验收。</w:t>
            </w:r>
          </w:p>
          <w:p w14:paraId="69678E44">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安装调试工期超过</w:t>
            </w:r>
            <w:r>
              <w:rPr>
                <w:rFonts w:hint="eastAsia" w:ascii="宋体" w:hAnsi="宋体" w:eastAsia="宋体" w:cs="宋体"/>
                <w:color w:val="000000"/>
                <w:sz w:val="24"/>
                <w:szCs w:val="24"/>
                <w:highlight w:val="none"/>
                <w:lang w:val="en-US" w:eastAsia="zh-CN"/>
              </w:rPr>
              <w:t>规定时间</w:t>
            </w:r>
            <w:r>
              <w:rPr>
                <w:rFonts w:hint="eastAsia" w:ascii="宋体" w:hAnsi="宋体" w:eastAsia="宋体" w:cs="宋体"/>
                <w:color w:val="000000"/>
                <w:sz w:val="24"/>
                <w:szCs w:val="24"/>
                <w:highlight w:val="none"/>
              </w:rPr>
              <w:t>的，</w:t>
            </w:r>
            <w:r>
              <w:rPr>
                <w:rFonts w:hint="eastAsia" w:hAnsi="宋体" w:eastAsia="宋体" w:cs="宋体"/>
                <w:color w:val="000000"/>
                <w:sz w:val="24"/>
                <w:szCs w:val="24"/>
                <w:highlight w:val="none"/>
              </w:rPr>
              <w:t>投标人应当随标书提供详细的工期计划。</w:t>
            </w:r>
          </w:p>
        </w:tc>
      </w:tr>
      <w:tr w14:paraId="52E49E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975BFFE">
            <w:pPr>
              <w:jc w:val="center"/>
              <w:rPr>
                <w:rFonts w:ascii="宋体" w:hAnsi="宋体" w:eastAsia="宋体" w:cs="宋体"/>
                <w:sz w:val="24"/>
                <w:szCs w:val="24"/>
                <w:highlight w:val="none"/>
              </w:rPr>
            </w:pPr>
            <w:r>
              <w:rPr>
                <w:rFonts w:hint="eastAsia" w:ascii="宋体" w:hAnsi="宋体" w:eastAsia="宋体" w:cs="宋体"/>
                <w:sz w:val="24"/>
                <w:szCs w:val="24"/>
                <w:highlight w:val="none"/>
              </w:rPr>
              <w:t>7.2</w:t>
            </w:r>
          </w:p>
        </w:tc>
        <w:tc>
          <w:tcPr>
            <w:tcW w:w="8363" w:type="dxa"/>
            <w:tcBorders>
              <w:top w:val="single" w:color="auto" w:sz="2" w:space="0"/>
              <w:left w:val="single" w:color="auto" w:sz="2" w:space="0"/>
              <w:bottom w:val="single" w:color="auto" w:sz="2" w:space="0"/>
              <w:right w:val="single" w:color="auto" w:sz="2" w:space="0"/>
            </w:tcBorders>
            <w:vAlign w:val="center"/>
          </w:tcPr>
          <w:p w14:paraId="3C6E1437">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交货方式：</w:t>
            </w:r>
            <w:r>
              <w:rPr>
                <w:rFonts w:hint="eastAsia" w:hAnsi="宋体" w:eastAsia="宋体" w:cs="宋体"/>
                <w:color w:val="000000"/>
                <w:sz w:val="24"/>
                <w:szCs w:val="24"/>
                <w:highlight w:val="none"/>
              </w:rPr>
              <w:t>交钥匙方式；</w:t>
            </w:r>
          </w:p>
          <w:p w14:paraId="29E912DE">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交货地点：</w:t>
            </w:r>
            <w:r>
              <w:rPr>
                <w:rFonts w:hint="eastAsia" w:ascii="宋体" w:hAnsi="宋体" w:eastAsia="宋体" w:cs="宋体"/>
                <w:color w:val="000000"/>
                <w:sz w:val="24"/>
                <w:szCs w:val="24"/>
                <w:highlight w:val="none"/>
                <w:u w:val="single"/>
              </w:rPr>
              <w:t>济南市章丘区世纪大道</w:t>
            </w:r>
            <w:r>
              <w:rPr>
                <w:rFonts w:hint="eastAsia" w:hAnsi="宋体" w:eastAsia="宋体" w:cs="宋体"/>
                <w:color w:val="000000"/>
                <w:sz w:val="24"/>
                <w:szCs w:val="24"/>
                <w:highlight w:val="none"/>
                <w:u w:val="single"/>
                <w:lang w:val="en-US" w:eastAsia="zh-CN"/>
              </w:rPr>
              <w:t>77</w:t>
            </w:r>
            <w:r>
              <w:rPr>
                <w:rFonts w:hint="eastAsia" w:ascii="宋体" w:hAnsi="宋体" w:eastAsia="宋体" w:cs="宋体"/>
                <w:color w:val="000000"/>
                <w:sz w:val="24"/>
                <w:szCs w:val="24"/>
                <w:highlight w:val="none"/>
                <w:u w:val="single"/>
              </w:rPr>
              <w:t>77号中国重汽集团济南动力有限公司</w:t>
            </w:r>
            <w:r>
              <w:rPr>
                <w:rFonts w:hint="eastAsia" w:hAnsi="宋体" w:eastAsia="宋体" w:cs="宋体"/>
                <w:color w:val="000000"/>
                <w:sz w:val="24"/>
                <w:szCs w:val="24"/>
                <w:highlight w:val="none"/>
                <w:u w:val="single"/>
                <w:lang w:val="en-US" w:eastAsia="zh-CN"/>
              </w:rPr>
              <w:t>济南发动机</w:t>
            </w:r>
            <w:r>
              <w:rPr>
                <w:rFonts w:hint="eastAsia" w:ascii="宋体" w:hAnsi="宋体" w:eastAsia="宋体" w:cs="宋体"/>
                <w:color w:val="000000"/>
                <w:sz w:val="24"/>
                <w:szCs w:val="24"/>
                <w:highlight w:val="none"/>
                <w:u w:val="single"/>
              </w:rPr>
              <w:t>厂</w:t>
            </w:r>
            <w:r>
              <w:rPr>
                <w:rFonts w:hint="eastAsia" w:hAnsi="宋体" w:eastAsia="宋体" w:cs="宋体"/>
                <w:color w:val="000000"/>
                <w:sz w:val="24"/>
                <w:szCs w:val="24"/>
                <w:highlight w:val="none"/>
              </w:rPr>
              <w:t>。</w:t>
            </w:r>
          </w:p>
        </w:tc>
      </w:tr>
      <w:tr w14:paraId="104A67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CB96354">
            <w:pPr>
              <w:jc w:val="center"/>
              <w:rPr>
                <w:rFonts w:ascii="宋体" w:hAnsi="宋体" w:eastAsia="宋体" w:cs="宋体"/>
                <w:sz w:val="24"/>
                <w:szCs w:val="24"/>
                <w:highlight w:val="none"/>
              </w:rPr>
            </w:pPr>
            <w:r>
              <w:rPr>
                <w:rFonts w:hint="eastAsia" w:ascii="宋体" w:hAnsi="宋体" w:eastAsia="宋体" w:cs="宋体"/>
                <w:sz w:val="24"/>
                <w:szCs w:val="24"/>
                <w:highlight w:val="none"/>
              </w:rPr>
              <w:t>7.3</w:t>
            </w:r>
          </w:p>
        </w:tc>
        <w:tc>
          <w:tcPr>
            <w:tcW w:w="8363" w:type="dxa"/>
            <w:tcBorders>
              <w:top w:val="single" w:color="auto" w:sz="2" w:space="0"/>
              <w:left w:val="single" w:color="auto" w:sz="2" w:space="0"/>
              <w:bottom w:val="single" w:color="auto" w:sz="2" w:space="0"/>
              <w:right w:val="single" w:color="auto" w:sz="2" w:space="0"/>
            </w:tcBorders>
            <w:vAlign w:val="center"/>
          </w:tcPr>
          <w:p w14:paraId="1848693D">
            <w:pPr>
              <w:pStyle w:val="12"/>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质保期：自设备验收文件最终签署之日起</w:t>
            </w:r>
            <w:r>
              <w:rPr>
                <w:rFonts w:hint="eastAsia" w:ascii="宋体" w:hAnsi="宋体" w:eastAsia="宋体" w:cs="宋体"/>
                <w:b/>
                <w:sz w:val="24"/>
                <w:szCs w:val="24"/>
                <w:highlight w:val="none"/>
                <w:u w:val="single"/>
                <w:lang w:val="en-US" w:eastAsia="zh-CN"/>
              </w:rPr>
              <w:t>1</w:t>
            </w:r>
            <w:r>
              <w:rPr>
                <w:rFonts w:hint="eastAsia" w:ascii="宋体" w:hAnsi="宋体" w:eastAsia="宋体" w:cs="宋体"/>
                <w:b/>
                <w:sz w:val="24"/>
                <w:szCs w:val="24"/>
                <w:highlight w:val="none"/>
              </w:rPr>
              <w:t>年。</w:t>
            </w:r>
            <w:r>
              <w:rPr>
                <w:rFonts w:hint="eastAsia" w:ascii="宋体" w:hAnsi="宋体" w:eastAsia="宋体" w:cs="宋体"/>
                <w:sz w:val="24"/>
                <w:szCs w:val="24"/>
                <w:highlight w:val="none"/>
              </w:rPr>
              <w:t>（投标人可在满足上述最短质保期基础上竞报）</w:t>
            </w:r>
          </w:p>
        </w:tc>
      </w:tr>
      <w:tr w14:paraId="6EC147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AA10766">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7.4</w:t>
            </w:r>
          </w:p>
        </w:tc>
        <w:tc>
          <w:tcPr>
            <w:tcW w:w="8363" w:type="dxa"/>
            <w:tcBorders>
              <w:top w:val="single" w:color="auto" w:sz="2" w:space="0"/>
              <w:left w:val="single" w:color="auto" w:sz="4" w:space="0"/>
              <w:bottom w:val="single" w:color="auto" w:sz="2" w:space="0"/>
              <w:right w:val="single" w:color="auto" w:sz="2" w:space="0"/>
            </w:tcBorders>
            <w:vAlign w:val="center"/>
          </w:tcPr>
          <w:p w14:paraId="2B4A9CE6">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付款方式：</w:t>
            </w:r>
            <w:r>
              <w:rPr>
                <w:rFonts w:hint="eastAsia" w:hAnsi="宋体" w:eastAsia="宋体" w:cs="宋体"/>
                <w:b/>
                <w:bCs/>
                <w:color w:val="000000"/>
                <w:sz w:val="24"/>
                <w:szCs w:val="24"/>
                <w:highlight w:val="none"/>
                <w:u w:val="single"/>
              </w:rPr>
              <w:t>半年期商业汇票（包括银行承兑汇票和商业承兑汇票）</w:t>
            </w:r>
            <w:r>
              <w:rPr>
                <w:rFonts w:hint="eastAsia" w:hAnsi="宋体" w:eastAsia="宋体" w:cs="宋体"/>
                <w:color w:val="000000"/>
                <w:sz w:val="24"/>
                <w:szCs w:val="24"/>
                <w:highlight w:val="none"/>
              </w:rPr>
              <w:t>：</w:t>
            </w:r>
          </w:p>
          <w:p w14:paraId="68417F1D">
            <w:pPr>
              <w:widowControl w:val="0"/>
              <w:spacing w:before="0" w:after="0"/>
              <w:ind w:firstLine="480"/>
              <w:rPr>
                <w:rFonts w:ascii="宋体" w:hAnsi="宋体" w:eastAsia="宋体" w:cs="宋体"/>
                <w:color w:val="000000"/>
                <w:sz w:val="24"/>
                <w:szCs w:val="24"/>
                <w:highlight w:val="none"/>
              </w:rPr>
            </w:pPr>
            <w:r>
              <w:rPr>
                <w:rFonts w:ascii="宋体" w:hAnsi="宋体" w:eastAsia="宋体" w:cs="宋体"/>
                <w:color w:val="000000"/>
                <w:sz w:val="24"/>
                <w:szCs w:val="24"/>
                <w:highlight w:val="none"/>
              </w:rPr>
              <w:t>设备验收合格后，中标人提交金额为合同价款</w:t>
            </w:r>
            <w:r>
              <w:rPr>
                <w:rFonts w:hint="eastAsia" w:ascii="宋体" w:hAnsi="宋体" w:eastAsia="宋体" w:cs="宋体"/>
                <w:color w:val="000000"/>
                <w:sz w:val="24"/>
                <w:szCs w:val="24"/>
                <w:highlight w:val="none"/>
                <w:lang w:val="en-US" w:eastAsia="zh-CN"/>
              </w:rPr>
              <w:t>9</w:t>
            </w:r>
            <w:r>
              <w:rPr>
                <w:rFonts w:ascii="宋体" w:hAnsi="宋体" w:eastAsia="宋体" w:cs="宋体"/>
                <w:color w:val="000000"/>
                <w:sz w:val="24"/>
                <w:szCs w:val="24"/>
                <w:highlight w:val="none"/>
              </w:rPr>
              <w:t>0%的收据并提供合同价款</w:t>
            </w:r>
            <w:r>
              <w:rPr>
                <w:rFonts w:hint="eastAsia" w:ascii="宋体" w:hAnsi="宋体" w:eastAsia="宋体" w:cs="宋体"/>
                <w:color w:val="000000"/>
                <w:sz w:val="24"/>
                <w:szCs w:val="24"/>
                <w:highlight w:val="none"/>
                <w:lang w:val="en-US" w:eastAsia="zh-CN"/>
              </w:rPr>
              <w:t>10</w:t>
            </w:r>
            <w:r>
              <w:rPr>
                <w:rFonts w:ascii="宋体" w:hAnsi="宋体" w:eastAsia="宋体" w:cs="宋体"/>
                <w:color w:val="000000"/>
                <w:sz w:val="24"/>
                <w:szCs w:val="24"/>
                <w:highlight w:val="none"/>
              </w:rPr>
              <w:t>0%的增值税专用发票（含复印件二份），经招标人依照财务制度审核通过后30日支付；</w:t>
            </w:r>
          </w:p>
          <w:p w14:paraId="1A92DAE7">
            <w:pPr>
              <w:ind w:firstLine="480" w:firstLineChars="200"/>
              <w:rPr>
                <w:rFonts w:ascii="宋体" w:hAnsi="宋体" w:eastAsia="宋体" w:cs="宋体"/>
                <w:sz w:val="24"/>
                <w:szCs w:val="24"/>
                <w:highlight w:val="none"/>
              </w:rPr>
            </w:pPr>
            <w:r>
              <w:rPr>
                <w:rFonts w:ascii="宋体" w:hAnsi="宋体" w:eastAsia="宋体" w:cs="宋体"/>
                <w:color w:val="000000"/>
                <w:sz w:val="24"/>
                <w:szCs w:val="24"/>
                <w:highlight w:val="none"/>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30日支付。如有质量问题，质量保证金予以相应扣除。</w:t>
            </w:r>
          </w:p>
        </w:tc>
      </w:tr>
      <w:tr w14:paraId="66ED622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3F0FCB6F">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7.5</w:t>
            </w:r>
          </w:p>
        </w:tc>
        <w:tc>
          <w:tcPr>
            <w:tcW w:w="8363" w:type="dxa"/>
            <w:tcBorders>
              <w:top w:val="single" w:color="auto" w:sz="2" w:space="0"/>
              <w:left w:val="single" w:color="auto" w:sz="4" w:space="0"/>
              <w:bottom w:val="single" w:color="auto" w:sz="2" w:space="0"/>
              <w:right w:val="single" w:color="auto" w:sz="2" w:space="0"/>
            </w:tcBorders>
            <w:vAlign w:val="center"/>
          </w:tcPr>
          <w:p w14:paraId="45CE2736">
            <w:pPr>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14:paraId="4F8B39B5">
            <w:pPr>
              <w:ind w:firstLine="480" w:firstLineChars="200"/>
              <w:rPr>
                <w:rFonts w:ascii="宋体" w:hAnsi="宋体" w:cs="宋体"/>
                <w:bCs/>
                <w:sz w:val="24"/>
                <w:szCs w:val="24"/>
                <w:highlight w:val="none"/>
              </w:rPr>
            </w:pPr>
            <w:r>
              <w:rPr>
                <w:rFonts w:hint="eastAsia" w:ascii="宋体" w:hAnsi="宋体" w:eastAsia="宋体" w:cs="宋体"/>
                <w:sz w:val="24"/>
                <w:szCs w:val="24"/>
                <w:highlight w:val="none"/>
                <w:lang w:bidi="ar"/>
              </w:rPr>
              <w:t>见最终合同签订信息</w:t>
            </w:r>
          </w:p>
        </w:tc>
      </w:tr>
      <w:tr w14:paraId="19602D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EA4DEA5">
            <w:pPr>
              <w:pStyle w:val="12"/>
              <w:jc w:val="center"/>
              <w:rPr>
                <w:rFonts w:ascii="宋体" w:hAnsi="宋体" w:eastAsia="宋体" w:cs="宋体"/>
                <w:sz w:val="24"/>
                <w:szCs w:val="24"/>
                <w:highlight w:val="none"/>
              </w:rPr>
            </w:pPr>
            <w:r>
              <w:rPr>
                <w:rFonts w:hint="eastAsia" w:ascii="宋体" w:hAnsi="宋体" w:eastAsia="宋体" w:cs="宋体"/>
                <w:b/>
                <w:bCs/>
                <w:sz w:val="24"/>
                <w:szCs w:val="24"/>
                <w:highlight w:val="none"/>
              </w:rPr>
              <w:t>8.其它</w:t>
            </w:r>
          </w:p>
        </w:tc>
      </w:tr>
      <w:tr w14:paraId="1735D9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EFC1110">
            <w:pPr>
              <w:jc w:val="center"/>
              <w:rPr>
                <w:rFonts w:ascii="宋体" w:hAnsi="宋体" w:eastAsia="宋体" w:cs="宋体"/>
                <w:sz w:val="24"/>
                <w:szCs w:val="24"/>
                <w:highlight w:val="none"/>
              </w:rPr>
            </w:pPr>
            <w:r>
              <w:rPr>
                <w:rFonts w:hint="eastAsia" w:ascii="宋体" w:hAnsi="宋体" w:eastAsia="宋体" w:cs="宋体"/>
                <w:sz w:val="24"/>
                <w:szCs w:val="24"/>
                <w:highlight w:val="none"/>
              </w:rPr>
              <w:t>8.1</w:t>
            </w:r>
          </w:p>
        </w:tc>
        <w:tc>
          <w:tcPr>
            <w:tcW w:w="8363" w:type="dxa"/>
            <w:tcBorders>
              <w:top w:val="single" w:color="auto" w:sz="2" w:space="0"/>
              <w:left w:val="single" w:color="auto" w:sz="4" w:space="0"/>
              <w:bottom w:val="single" w:color="auto" w:sz="2" w:space="0"/>
              <w:right w:val="single" w:color="auto" w:sz="2" w:space="0"/>
            </w:tcBorders>
            <w:vAlign w:val="center"/>
          </w:tcPr>
          <w:p w14:paraId="1055FA12">
            <w:pPr>
              <w:pStyle w:val="12"/>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3A6946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86E5AA0">
            <w:pPr>
              <w:jc w:val="center"/>
              <w:rPr>
                <w:rFonts w:ascii="宋体" w:hAnsi="宋体" w:eastAsia="宋体" w:cs="宋体"/>
                <w:sz w:val="24"/>
                <w:szCs w:val="24"/>
                <w:highlight w:val="none"/>
              </w:rPr>
            </w:pPr>
            <w:r>
              <w:rPr>
                <w:rFonts w:hint="eastAsia" w:ascii="宋体" w:hAnsi="宋体" w:eastAsia="宋体" w:cs="宋体"/>
                <w:sz w:val="24"/>
                <w:szCs w:val="24"/>
                <w:highlight w:val="none"/>
              </w:rPr>
              <w:t>8.2</w:t>
            </w:r>
          </w:p>
        </w:tc>
        <w:tc>
          <w:tcPr>
            <w:tcW w:w="8363" w:type="dxa"/>
            <w:tcBorders>
              <w:top w:val="single" w:color="auto" w:sz="2" w:space="0"/>
              <w:left w:val="single" w:color="auto" w:sz="4" w:space="0"/>
              <w:bottom w:val="single" w:color="auto" w:sz="2" w:space="0"/>
              <w:right w:val="single" w:color="auto" w:sz="2" w:space="0"/>
            </w:tcBorders>
            <w:vAlign w:val="center"/>
          </w:tcPr>
          <w:p w14:paraId="3EDF685A">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中标人负责为招标人免费培训操作及维修人员，培训内容包括：基本原理、操作使用、安全操作注意事项以及维修保养等内容，直至达到买方使用需求。</w:t>
            </w:r>
          </w:p>
        </w:tc>
      </w:tr>
      <w:tr w14:paraId="711E321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ACA5BFE">
            <w:pPr>
              <w:jc w:val="center"/>
              <w:rPr>
                <w:rFonts w:ascii="宋体" w:hAnsi="宋体" w:eastAsia="宋体" w:cs="宋体"/>
                <w:sz w:val="24"/>
                <w:szCs w:val="24"/>
                <w:highlight w:val="none"/>
              </w:rPr>
            </w:pPr>
            <w:r>
              <w:rPr>
                <w:rFonts w:hint="eastAsia" w:ascii="宋体" w:hAnsi="宋体" w:eastAsia="宋体" w:cs="宋体"/>
                <w:sz w:val="24"/>
                <w:szCs w:val="24"/>
                <w:highlight w:val="none"/>
              </w:rPr>
              <w:t>8.3</w:t>
            </w:r>
          </w:p>
        </w:tc>
        <w:tc>
          <w:tcPr>
            <w:tcW w:w="8363" w:type="dxa"/>
            <w:tcBorders>
              <w:top w:val="single" w:color="auto" w:sz="2" w:space="0"/>
              <w:left w:val="single" w:color="auto" w:sz="4" w:space="0"/>
              <w:bottom w:val="single" w:color="auto" w:sz="2" w:space="0"/>
              <w:right w:val="single" w:color="auto" w:sz="2" w:space="0"/>
            </w:tcBorders>
            <w:vAlign w:val="center"/>
          </w:tcPr>
          <w:p w14:paraId="6DD150C9">
            <w:pPr>
              <w:pStyle w:val="12"/>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中标方应在合同签订后15日内需根据设计</w:t>
            </w:r>
            <w:r>
              <w:rPr>
                <w:rStyle w:val="42"/>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7FD3E84E">
      <w:pPr>
        <w:pStyle w:val="17"/>
        <w:numPr>
          <w:ilvl w:val="0"/>
          <w:numId w:val="1"/>
        </w:numPr>
        <w:jc w:val="center"/>
        <w:outlineLvl w:val="0"/>
        <w:rPr>
          <w:rFonts w:ascii="Calibri" w:hAnsi="Calibri" w:eastAsia="宋体" w:cs="Times New Roman"/>
          <w:b/>
          <w:bCs/>
          <w:kern w:val="44"/>
          <w:sz w:val="36"/>
          <w:szCs w:val="44"/>
          <w:highlight w:val="none"/>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030D2C08">
      <w:pPr>
        <w:pStyle w:val="17"/>
        <w:jc w:val="center"/>
        <w:outlineLvl w:val="0"/>
        <w:rPr>
          <w:rFonts w:ascii="Calibri" w:hAnsi="Calibri" w:eastAsia="宋体" w:cs="Times New Roman"/>
          <w:b/>
          <w:bCs/>
          <w:kern w:val="44"/>
          <w:sz w:val="36"/>
          <w:szCs w:val="44"/>
          <w:highlight w:val="none"/>
        </w:rPr>
      </w:pPr>
      <w:bookmarkStart w:id="4" w:name="_Toc15609"/>
      <w:r>
        <w:rPr>
          <w:rFonts w:hint="eastAsia" w:ascii="Calibri" w:hAnsi="Calibri" w:eastAsia="宋体" w:cs="Times New Roman"/>
          <w:b/>
          <w:bCs/>
          <w:kern w:val="44"/>
          <w:sz w:val="36"/>
          <w:szCs w:val="44"/>
          <w:highlight w:val="none"/>
        </w:rPr>
        <w:t>第</w:t>
      </w:r>
      <w:r>
        <w:rPr>
          <w:rFonts w:hint="eastAsia" w:ascii="Calibri" w:hAnsi="Calibri" w:eastAsia="宋体" w:cs="Times New Roman"/>
          <w:b/>
          <w:bCs/>
          <w:kern w:val="44"/>
          <w:sz w:val="36"/>
          <w:szCs w:val="44"/>
          <w:highlight w:val="none"/>
          <w:lang w:val="en-US" w:eastAsia="zh-CN"/>
        </w:rPr>
        <w:t>二</w:t>
      </w:r>
      <w:r>
        <w:rPr>
          <w:rFonts w:hint="eastAsia" w:ascii="Calibri" w:hAnsi="Calibri" w:eastAsia="宋体" w:cs="Times New Roman"/>
          <w:b/>
          <w:bCs/>
          <w:kern w:val="44"/>
          <w:sz w:val="36"/>
          <w:szCs w:val="44"/>
          <w:highlight w:val="none"/>
        </w:rPr>
        <w:t>部分 投标须知</w:t>
      </w:r>
      <w:bookmarkEnd w:id="4"/>
    </w:p>
    <w:p w14:paraId="37464150">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一、项目名称</w:t>
      </w:r>
    </w:p>
    <w:p w14:paraId="6D84668F">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highlight w:val="none"/>
        </w:rPr>
        <w:t>项目名称：</w:t>
      </w:r>
      <w:bookmarkStart w:id="5" w:name="OLE_LINK1"/>
      <w:r>
        <w:rPr>
          <w:rFonts w:hint="eastAsia" w:ascii="宋体" w:hAnsi="宋体" w:eastAsia="宋体" w:cs="宋体"/>
          <w:color w:val="000000"/>
          <w:sz w:val="24"/>
          <w:szCs w:val="24"/>
          <w:highlight w:val="none"/>
        </w:rPr>
        <w:t>见《投标须知前附表》。</w:t>
      </w:r>
    </w:p>
    <w:bookmarkEnd w:id="5"/>
    <w:p w14:paraId="7D43DE18">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76A109DA">
      <w:pPr>
        <w:pStyle w:val="17"/>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56448469">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4D5F7421">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23A0B761">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7CDF7B61">
      <w:pPr>
        <w:pStyle w:val="17"/>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2A050636">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四、投标说明</w:t>
      </w:r>
    </w:p>
    <w:p w14:paraId="692F1445">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1.报名方式</w:t>
      </w:r>
    </w:p>
    <w:p w14:paraId="1DCCCFB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投标人根据招标人在中国重汽官网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highlight w:val="none"/>
        </w:rPr>
        <w:t>上发布的招标信息，</w:t>
      </w:r>
      <w:r>
        <w:rPr>
          <w:rFonts w:hint="eastAsia" w:ascii="宋体" w:hAnsi="宋体" w:eastAsia="宋体" w:cs="宋体"/>
          <w:color w:val="000000"/>
          <w:sz w:val="24"/>
          <w:szCs w:val="24"/>
          <w:highlight w:val="none"/>
          <w:lang w:val="en-US" w:eastAsia="zh-CN"/>
        </w:rPr>
        <w:t>在“中国重汽e采通”平台</w:t>
      </w:r>
      <w:r>
        <w:rPr>
          <w:rFonts w:hint="eastAsia" w:ascii="宋体" w:hAnsi="宋体" w:eastAsia="宋体" w:cs="宋体"/>
          <w:color w:val="000000"/>
          <w:sz w:val="24"/>
          <w:szCs w:val="24"/>
          <w:highlight w:val="none"/>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，公示期间请尽快报名。</w:t>
      </w:r>
    </w:p>
    <w:p w14:paraId="32AD887E">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投标保证金缴纳的时候，</w:t>
      </w:r>
      <w:r>
        <w:rPr>
          <w:rFonts w:hint="eastAsia" w:ascii="宋体" w:hAnsi="宋体" w:eastAsia="宋体" w:cs="宋体"/>
          <w:b/>
          <w:bCs/>
          <w:color w:val="000000"/>
          <w:sz w:val="24"/>
          <w:szCs w:val="24"/>
          <w:highlight w:val="none"/>
        </w:rPr>
        <w:t>务必备注所投标的项目名称</w:t>
      </w:r>
      <w:r>
        <w:rPr>
          <w:rFonts w:hint="eastAsia" w:ascii="宋体" w:hAnsi="宋体" w:eastAsia="宋体" w:cs="宋体"/>
          <w:color w:val="000000"/>
          <w:sz w:val="24"/>
          <w:szCs w:val="24"/>
          <w:highlight w:val="none"/>
        </w:rPr>
        <w:t>。</w:t>
      </w:r>
    </w:p>
    <w:p w14:paraId="655B5CCE">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不按要求报名的，或因未提供相关信息导致后期无法退回保证金的，需投标</w:t>
      </w:r>
      <w:r>
        <w:rPr>
          <w:rFonts w:hint="eastAsia" w:ascii="宋体" w:hAnsi="宋体" w:eastAsia="宋体" w:cs="宋体"/>
          <w:color w:val="000000"/>
          <w:sz w:val="24"/>
          <w:szCs w:val="24"/>
          <w:highlight w:val="none"/>
          <w:lang w:val="en-US" w:eastAsia="zh-CN"/>
        </w:rPr>
        <w:t>人</w:t>
      </w:r>
      <w:r>
        <w:rPr>
          <w:rFonts w:hint="eastAsia" w:ascii="宋体" w:hAnsi="宋体" w:eastAsia="宋体" w:cs="宋体"/>
          <w:color w:val="000000"/>
          <w:sz w:val="24"/>
          <w:szCs w:val="24"/>
          <w:highlight w:val="none"/>
        </w:rPr>
        <w:t>承担</w:t>
      </w:r>
      <w:r>
        <w:rPr>
          <w:rFonts w:hint="eastAsia" w:ascii="宋体" w:hAnsi="宋体" w:eastAsia="宋体" w:cs="宋体"/>
          <w:color w:val="000000"/>
          <w:sz w:val="24"/>
          <w:szCs w:val="24"/>
          <w:highlight w:val="none"/>
          <w:lang w:val="en-US" w:eastAsia="zh-CN"/>
        </w:rPr>
        <w:t>责任</w:t>
      </w:r>
      <w:r>
        <w:rPr>
          <w:rFonts w:hint="eastAsia" w:ascii="宋体" w:hAnsi="宋体" w:eastAsia="宋体" w:cs="宋体"/>
          <w:color w:val="000000"/>
          <w:sz w:val="24"/>
          <w:szCs w:val="24"/>
          <w:highlight w:val="none"/>
        </w:rPr>
        <w:t>。</w:t>
      </w:r>
    </w:p>
    <w:p w14:paraId="21F5665A">
      <w:pPr>
        <w:keepNext/>
        <w:keepLines/>
        <w:numPr>
          <w:ilvl w:val="0"/>
          <w:numId w:val="3"/>
        </w:numPr>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投标条件</w:t>
      </w:r>
    </w:p>
    <w:p w14:paraId="64A76538">
      <w:pPr>
        <w:pStyle w:val="17"/>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248D6658">
      <w:pPr>
        <w:spacing w:line="360" w:lineRule="auto"/>
        <w:ind w:firstLine="236" w:firstLineChars="98"/>
        <w:rPr>
          <w:rFonts w:hint="eastAsia"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3.报价</w:t>
      </w:r>
    </w:p>
    <w:p w14:paraId="2A8C95AC">
      <w:pPr>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3.1本次招投标为公开招标；评标流程以及规则详见</w:t>
      </w:r>
      <w:r>
        <w:rPr>
          <w:rFonts w:hint="eastAsia" w:ascii="宋体" w:hAnsi="宋体" w:eastAsia="宋体" w:cs="宋体"/>
          <w:color w:val="000000"/>
          <w:sz w:val="24"/>
          <w:szCs w:val="24"/>
          <w:highlight w:val="none"/>
          <w:lang w:val="en-US" w:eastAsia="zh-CN"/>
        </w:rPr>
        <w:t>本部分第</w:t>
      </w:r>
      <w:r>
        <w:rPr>
          <w:rFonts w:hint="eastAsia" w:ascii="宋体" w:hAnsi="宋体" w:eastAsia="宋体" w:cs="宋体"/>
          <w:color w:val="000000"/>
          <w:sz w:val="24"/>
          <w:szCs w:val="24"/>
          <w:highlight w:val="none"/>
        </w:rPr>
        <w:t>六</w:t>
      </w:r>
      <w:r>
        <w:rPr>
          <w:rFonts w:hint="eastAsia" w:ascii="宋体" w:hAnsi="宋体" w:eastAsia="宋体" w:cs="宋体"/>
          <w:color w:val="000000"/>
          <w:sz w:val="24"/>
          <w:szCs w:val="24"/>
          <w:highlight w:val="none"/>
          <w:lang w:val="en-US" w:eastAsia="zh-CN"/>
        </w:rPr>
        <w:t>条</w:t>
      </w:r>
      <w:r>
        <w:rPr>
          <w:rFonts w:hint="eastAsia" w:ascii="宋体" w:hAnsi="宋体" w:eastAsia="宋体" w:cs="宋体"/>
          <w:color w:val="000000"/>
          <w:sz w:val="24"/>
          <w:szCs w:val="24"/>
          <w:highlight w:val="none"/>
        </w:rPr>
        <w:t>评标</w:t>
      </w:r>
      <w:r>
        <w:rPr>
          <w:rFonts w:hint="eastAsia" w:ascii="宋体" w:hAnsi="宋体" w:eastAsia="宋体" w:cs="宋体"/>
          <w:color w:val="000000"/>
          <w:sz w:val="24"/>
          <w:szCs w:val="24"/>
          <w:highlight w:val="none"/>
          <w:lang w:val="en-US" w:eastAsia="zh-CN"/>
        </w:rPr>
        <w:t>原则</w:t>
      </w:r>
      <w:r>
        <w:rPr>
          <w:rFonts w:hint="eastAsia" w:ascii="宋体" w:hAnsi="宋体" w:eastAsia="宋体" w:cs="宋体"/>
          <w:color w:val="000000"/>
          <w:sz w:val="24"/>
          <w:szCs w:val="24"/>
          <w:highlight w:val="none"/>
        </w:rPr>
        <w:t>。</w:t>
      </w:r>
    </w:p>
    <w:p w14:paraId="4A12D38C">
      <w:pPr>
        <w:spacing w:line="360" w:lineRule="auto"/>
        <w:ind w:firstLine="235" w:firstLineChars="98"/>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投标人自行勘察现场，进行合理报价。投标总报价应包括设备费、原厂服务费及相关配件、随机资料、保险、税费、运杂、安装调试、与其他专业配合及可预见的风险以及其它不可预见等全部费用。</w:t>
      </w:r>
    </w:p>
    <w:p w14:paraId="7EC4C83D">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b/>
          <w:bCs/>
          <w:color w:val="000000"/>
          <w:sz w:val="24"/>
          <w:szCs w:val="24"/>
          <w:highlight w:val="none"/>
        </w:rPr>
        <w:t>所有报价货币单位为：</w:t>
      </w:r>
      <w:r>
        <w:rPr>
          <w:rFonts w:hint="eastAsia" w:ascii="宋体" w:hAnsi="宋体" w:eastAsia="宋体" w:cs="宋体"/>
          <w:b/>
          <w:bCs/>
          <w:color w:val="000000"/>
          <w:sz w:val="24"/>
          <w:szCs w:val="24"/>
          <w:highlight w:val="none"/>
          <w:u w:val="single"/>
        </w:rPr>
        <w:t xml:space="preserve">         </w:t>
      </w:r>
      <w:r>
        <w:rPr>
          <w:rFonts w:hint="eastAsia" w:ascii="宋体" w:hAnsi="宋体" w:eastAsia="宋体" w:cs="宋体"/>
          <w:b/>
          <w:bCs/>
          <w:color w:val="000000"/>
          <w:sz w:val="24"/>
          <w:szCs w:val="24"/>
          <w:highlight w:val="none"/>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w:t>
      </w:r>
    </w:p>
    <w:p w14:paraId="78E9FBC7">
      <w:pPr>
        <w:keepNext/>
        <w:keepLines/>
        <w:spacing w:line="360" w:lineRule="auto"/>
        <w:ind w:firstLine="482" w:firstLineChars="200"/>
        <w:outlineLvl w:val="2"/>
        <w:rPr>
          <w:rFonts w:hint="eastAsia"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4.设备要求：</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本项目涉及到的</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按下列要求执行</w:t>
      </w:r>
      <w:r>
        <w:rPr>
          <w:rFonts w:hint="eastAsia" w:ascii="宋体" w:hAnsi="宋体" w:eastAsia="宋体" w:cs="宋体"/>
          <w:color w:val="000000"/>
          <w:sz w:val="24"/>
          <w:szCs w:val="24"/>
          <w:highlight w:val="none"/>
          <w:lang w:eastAsia="zh-CN"/>
        </w:rPr>
        <w:t>）</w:t>
      </w:r>
    </w:p>
    <w:p w14:paraId="1D8378F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4.1投标设备技术参数和总体要求按《技术标书》执行；</w:t>
      </w:r>
    </w:p>
    <w:p w14:paraId="7D14AFB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4.2设备制造完毕经出厂检验合格后方能发货；</w:t>
      </w:r>
    </w:p>
    <w:p w14:paraId="4B1B9E3A">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4.3设备包装按国家或部颁标准执行；</w:t>
      </w:r>
    </w:p>
    <w:p w14:paraId="12FA028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4.4设备交货要求直接发货至合同指定地点，否则买方有权拒绝接受货物；</w:t>
      </w:r>
    </w:p>
    <w:p w14:paraId="3BF7E6A8">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4.5投标企业按技术规范书提报设备详细技术资料；</w:t>
      </w:r>
    </w:p>
    <w:p w14:paraId="1ABEEC64">
      <w:pPr>
        <w:pStyle w:val="17"/>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33D52073">
      <w:pPr>
        <w:pStyle w:val="17"/>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4.7设备设施颜色严格执行我公司企业标准《设备设施颜色标识》（Q/ZZ30070</w:t>
      </w:r>
    </w:p>
    <w:p w14:paraId="76D219F0">
      <w:pPr>
        <w:pStyle w:val="17"/>
        <w:spacing w:line="360" w:lineRule="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—2020）。</w:t>
      </w:r>
    </w:p>
    <w:p w14:paraId="07F5DACC">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5.其他要求</w:t>
      </w:r>
    </w:p>
    <w:p w14:paraId="79BF2ECE">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包装、运输、检验、交付、安装、调试、培训、结算、质保及售后服务等，按《技术标书》要求，在标书中列示说明，最终以合同约定为准。</w:t>
      </w:r>
    </w:p>
    <w:p w14:paraId="35CDEDEF">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6.询标</w:t>
      </w:r>
    </w:p>
    <w:p w14:paraId="363D8A40">
      <w:pPr>
        <w:keepNext/>
        <w:keepLines/>
        <w:spacing w:line="360" w:lineRule="auto"/>
        <w:ind w:firstLine="480" w:firstLineChars="200"/>
        <w:rPr>
          <w:rFonts w:hint="eastAsia" w:ascii="宋体" w:hAnsi="宋体" w:eastAsia="宋体" w:cs="宋体"/>
          <w:b/>
          <w:bCs/>
          <w:color w:val="000000"/>
          <w:sz w:val="24"/>
          <w:szCs w:val="24"/>
          <w:highlight w:val="none"/>
          <w:lang w:eastAsia="zh-CN"/>
        </w:rPr>
      </w:pPr>
      <w:r>
        <w:rPr>
          <w:rFonts w:hint="eastAsia" w:ascii="宋体" w:hAnsi="宋体" w:eastAsia="宋体" w:cs="宋体"/>
          <w:color w:val="000000"/>
          <w:sz w:val="24"/>
          <w:szCs w:val="24"/>
          <w:highlight w:val="none"/>
        </w:rPr>
        <w:t>凡对本次招标提出的询问，均以招标人的书面答复为准</w:t>
      </w:r>
      <w:r>
        <w:rPr>
          <w:rFonts w:hint="eastAsia" w:ascii="宋体" w:hAnsi="宋体" w:eastAsia="宋体" w:cs="宋体"/>
          <w:color w:val="000000"/>
          <w:sz w:val="24"/>
          <w:szCs w:val="24"/>
          <w:highlight w:val="none"/>
          <w:lang w:eastAsia="zh-CN"/>
        </w:rPr>
        <w:t>。</w:t>
      </w:r>
    </w:p>
    <w:p w14:paraId="44DA2829">
      <w:pPr>
        <w:keepNext/>
        <w:keepLines/>
        <w:spacing w:line="360" w:lineRule="auto"/>
        <w:outlineLvl w:val="1"/>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五、议程安排</w:t>
      </w:r>
    </w:p>
    <w:p w14:paraId="2B2E2D40">
      <w:pPr>
        <w:keepNext/>
        <w:keepLines/>
        <w:spacing w:line="360" w:lineRule="auto"/>
        <w:ind w:firstLine="482" w:firstLineChars="200"/>
        <w:outlineLvl w:val="2"/>
        <w:rPr>
          <w:rFonts w:hint="eastAsia"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1.发标时间</w:t>
      </w:r>
    </w:p>
    <w:p w14:paraId="4E3D0E1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见《投标须知前附表》2.1。</w:t>
      </w:r>
    </w:p>
    <w:p w14:paraId="25547347">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2.发标方式</w:t>
      </w:r>
    </w:p>
    <w:p w14:paraId="2E023402">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p>
    <w:p w14:paraId="1F3CC2DE">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3.答疑</w:t>
      </w:r>
    </w:p>
    <w:p w14:paraId="3ED9B632">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w:t>
      </w:r>
      <w:r>
        <w:rPr>
          <w:rFonts w:hint="eastAsia" w:ascii="宋体" w:hAnsi="宋体" w:eastAsia="宋体" w:cs="宋体"/>
          <w:color w:val="000000"/>
          <w:sz w:val="24"/>
          <w:szCs w:val="24"/>
          <w:highlight w:val="none"/>
          <w:lang w:val="en-US" w:eastAsia="zh-CN"/>
        </w:rPr>
        <w:t>第二条</w:t>
      </w:r>
      <w:r>
        <w:rPr>
          <w:rFonts w:hint="eastAsia" w:ascii="宋体" w:hAnsi="宋体" w:eastAsia="宋体" w:cs="宋体"/>
          <w:color w:val="000000"/>
          <w:sz w:val="24"/>
          <w:szCs w:val="24"/>
          <w:highlight w:val="none"/>
        </w:rPr>
        <w:t>，逾期不受理。</w:t>
      </w:r>
    </w:p>
    <w:p w14:paraId="323E44EE">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lang w:val="en-US" w:eastAsia="zh-CN"/>
        </w:rPr>
        <w:t>4</w:t>
      </w:r>
      <w:r>
        <w:rPr>
          <w:rFonts w:hint="eastAsia" w:ascii="宋体" w:hAnsi="宋体" w:eastAsia="宋体" w:cs="宋体"/>
          <w:b/>
          <w:bCs/>
          <w:color w:val="000000"/>
          <w:sz w:val="24"/>
          <w:szCs w:val="24"/>
          <w:highlight w:val="none"/>
        </w:rPr>
        <w:t>.投标报名</w:t>
      </w:r>
    </w:p>
    <w:p w14:paraId="6D347D48">
      <w:pPr>
        <w:keepNext/>
        <w:keepLines/>
        <w:spacing w:line="360" w:lineRule="auto"/>
        <w:ind w:firstLine="482"/>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w:t>
      </w:r>
      <w:r>
        <w:rPr>
          <w:rFonts w:hint="eastAsia" w:ascii="宋体" w:hAnsi="宋体" w:eastAsia="宋体" w:cs="宋体"/>
          <w:sz w:val="24"/>
          <w:szCs w:val="24"/>
          <w:highlight w:val="none"/>
          <w:lang w:val="en-US" w:eastAsia="zh-CN"/>
        </w:rPr>
        <w:t>4.2和4.3</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p>
    <w:p w14:paraId="11CEC6D7">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1FCCD595">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转账附言：公司名称+项目名称+投标保证金；</w:t>
      </w:r>
    </w:p>
    <w:p w14:paraId="4D7292F1">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对于没有中标的</w:t>
      </w:r>
      <w:r>
        <w:rPr>
          <w:rFonts w:hint="eastAsia" w:ascii="宋体" w:hAnsi="宋体" w:eastAsia="宋体" w:cs="宋体"/>
          <w:sz w:val="24"/>
          <w:szCs w:val="24"/>
          <w:highlight w:val="none"/>
          <w:lang w:eastAsia="zh-CN"/>
        </w:rPr>
        <w:t>投标人</w:t>
      </w:r>
      <w:r>
        <w:rPr>
          <w:rFonts w:hint="eastAsia" w:ascii="宋体" w:hAnsi="宋体" w:eastAsia="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highlight w:val="none"/>
          <w:lang w:val="en-US" w:eastAsia="zh-CN"/>
        </w:rPr>
        <w:t>个</w:t>
      </w:r>
      <w:r>
        <w:rPr>
          <w:rFonts w:hint="eastAsia" w:ascii="宋体" w:hAnsi="宋体" w:eastAsia="宋体" w:cs="宋体"/>
          <w:sz w:val="24"/>
          <w:szCs w:val="24"/>
          <w:highlight w:val="none"/>
        </w:rPr>
        <w:t>工作日内原路返还（无息）；</w:t>
      </w:r>
    </w:p>
    <w:p w14:paraId="567484BA">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.3说明</w:t>
      </w:r>
    </w:p>
    <w:p w14:paraId="18F6C1A1">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.3.1 投标人在向招标人出示《投标保证金缴纳凭证》后方可进行投标；</w:t>
      </w:r>
    </w:p>
    <w:p w14:paraId="19C753B5">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 发生以下情况时，招标人有权没收保证金：</w:t>
      </w:r>
    </w:p>
    <w:p w14:paraId="201D2755">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.3.2.1 截至开标前3天，投标人无正当理由且未以书面形式递交说明而在投标截止日不来投标的；</w:t>
      </w:r>
    </w:p>
    <w:p w14:paraId="6F1E2B98">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.3.2.2 投标人递送投标文件后，无正当理由放弃投标的；</w:t>
      </w:r>
    </w:p>
    <w:p w14:paraId="1D0E8499">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.3.2.3若为视频开标，招标过程中澄清函等资料原件未按要求提交的；</w:t>
      </w:r>
    </w:p>
    <w:p w14:paraId="671C33F0">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.3.2.4自中标通知书发出之日起30日内，中标人无正当理由不签订合同的；</w:t>
      </w:r>
    </w:p>
    <w:p w14:paraId="4AFE4035">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.3.2.5投标人在投标过程中被查实有串标、围标、陪标等违规违纪行为的；</w:t>
      </w:r>
    </w:p>
    <w:p w14:paraId="24D641E6">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.3.2.6投标人有违约违规行为或被投诉、举报的，在调查处理期间，保证金暂不退还，待调查处理结束后按有关规定处理。</w:t>
      </w:r>
    </w:p>
    <w:p w14:paraId="7073DB48">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50D3A725">
      <w:pPr>
        <w:pStyle w:val="112"/>
        <w:spacing w:line="360" w:lineRule="auto"/>
        <w:ind w:firstLine="48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报名方式：见《投标须知前附表》2.3</w:t>
      </w:r>
      <w:r>
        <w:rPr>
          <w:rFonts w:hint="eastAsia" w:ascii="宋体" w:hAnsi="宋体" w:eastAsia="宋体" w:cs="宋体"/>
          <w:sz w:val="24"/>
          <w:szCs w:val="24"/>
          <w:highlight w:val="none"/>
          <w:lang w:eastAsia="zh-CN"/>
        </w:rPr>
        <w:t>。</w:t>
      </w:r>
    </w:p>
    <w:p w14:paraId="59C5B8AF">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rPr>
        <w:t>报名提交资料：均为</w:t>
      </w:r>
      <w:r>
        <w:rPr>
          <w:rFonts w:hint="eastAsia" w:ascii="宋体" w:hAnsi="宋体" w:eastAsia="宋体" w:cs="宋体"/>
          <w:sz w:val="24"/>
          <w:szCs w:val="24"/>
          <w:highlight w:val="none"/>
          <w:lang w:val="en-US" w:eastAsia="zh-CN"/>
        </w:rPr>
        <w:t>盖章</w:t>
      </w:r>
      <w:r>
        <w:rPr>
          <w:rFonts w:hint="eastAsia" w:ascii="宋体" w:hAnsi="宋体" w:eastAsia="宋体" w:cs="宋体"/>
          <w:sz w:val="24"/>
          <w:szCs w:val="24"/>
          <w:highlight w:val="none"/>
        </w:rPr>
        <w:t>电子扫描版，用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公司</w:t>
      </w:r>
      <w:r>
        <w:rPr>
          <w:rFonts w:hint="eastAsia" w:ascii="宋体" w:hAnsi="宋体" w:eastAsia="宋体" w:cs="宋体"/>
          <w:sz w:val="24"/>
          <w:szCs w:val="24"/>
          <w:highlight w:val="none"/>
          <w:lang w:val="en-US" w:eastAsia="zh-CN"/>
        </w:rPr>
        <w:t>名称+文件名称</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命名</w:t>
      </w:r>
      <w:r>
        <w:rPr>
          <w:rFonts w:hint="eastAsia" w:ascii="宋体" w:hAnsi="宋体" w:eastAsia="宋体" w:cs="宋体"/>
          <w:sz w:val="24"/>
          <w:szCs w:val="24"/>
          <w:highlight w:val="none"/>
        </w:rPr>
        <w:t>。</w:t>
      </w:r>
    </w:p>
    <w:p w14:paraId="74F0474C">
      <w:pPr>
        <w:numPr>
          <w:ilvl w:val="0"/>
          <w:numId w:val="4"/>
        </w:numPr>
        <w:spacing w:line="360" w:lineRule="auto"/>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如果是授权委托人投标，</w:t>
      </w:r>
      <w:r>
        <w:rPr>
          <w:rFonts w:hint="eastAsia" w:ascii="宋体" w:hAnsi="宋体" w:eastAsia="宋体" w:cs="宋体"/>
          <w:color w:val="000000"/>
          <w:sz w:val="24"/>
          <w:szCs w:val="24"/>
          <w:highlight w:val="none"/>
        </w:rPr>
        <w:t>要提交营业执照副本、法人授权委托书（含法人及授权人身份信息证明、授权代表联系方式）。</w:t>
      </w:r>
    </w:p>
    <w:p w14:paraId="75FDF514">
      <w:pPr>
        <w:numPr>
          <w:ilvl w:val="0"/>
          <w:numId w:val="4"/>
        </w:numPr>
        <w:spacing w:line="360" w:lineRule="auto"/>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如果是法人参加投标</w:t>
      </w:r>
      <w:r>
        <w:rPr>
          <w:rFonts w:hint="eastAsia" w:ascii="宋体" w:hAnsi="宋体" w:eastAsia="宋体" w:cs="宋体"/>
          <w:color w:val="000000"/>
          <w:sz w:val="24"/>
          <w:szCs w:val="24"/>
          <w:highlight w:val="none"/>
        </w:rPr>
        <w:t>，要提交营业执照副本、法人代表证明文件。</w:t>
      </w:r>
    </w:p>
    <w:p w14:paraId="000F7D69">
      <w:pPr>
        <w:numPr>
          <w:ilvl w:val="0"/>
          <w:numId w:val="4"/>
        </w:numPr>
        <w:spacing w:line="360" w:lineRule="auto"/>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如果是代理商投标</w:t>
      </w:r>
      <w:r>
        <w:rPr>
          <w:rFonts w:hint="eastAsia" w:ascii="宋体" w:hAnsi="宋体" w:eastAsia="宋体" w:cs="宋体"/>
          <w:color w:val="000000"/>
          <w:sz w:val="24"/>
          <w:szCs w:val="24"/>
          <w:highlight w:val="none"/>
        </w:rPr>
        <w:t>，除上述a)b)中要求的资料，要另外携带生产商的授权书、原厂售后服务承诺书。</w:t>
      </w:r>
    </w:p>
    <w:p w14:paraId="5106F25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lang w:val="en-US" w:eastAsia="zh-CN"/>
        </w:rPr>
        <w:t>5</w:t>
      </w:r>
      <w:r>
        <w:rPr>
          <w:rFonts w:hint="eastAsia" w:ascii="宋体" w:hAnsi="宋体" w:eastAsia="宋体" w:cs="宋体"/>
          <w:b/>
          <w:bCs/>
          <w:color w:val="000000"/>
          <w:sz w:val="24"/>
          <w:szCs w:val="24"/>
          <w:highlight w:val="none"/>
        </w:rPr>
        <w:t>.开标时间</w:t>
      </w:r>
    </w:p>
    <w:p w14:paraId="783D1162">
      <w:pPr>
        <w:keepNext/>
        <w:keepLines/>
        <w:spacing w:line="360" w:lineRule="auto"/>
        <w:ind w:firstLine="480" w:firstLineChars="200"/>
        <w:outlineLvl w:val="9"/>
        <w:rPr>
          <w:rFonts w:hint="eastAsia" w:ascii="宋体" w:hAnsi="宋体" w:eastAsia="宋体" w:cs="宋体"/>
          <w:color w:val="000000"/>
          <w:sz w:val="24"/>
          <w:szCs w:val="24"/>
          <w:highlight w:val="none"/>
        </w:rPr>
      </w:pPr>
      <w:r>
        <w:rPr>
          <w:rFonts w:hint="eastAsia" w:ascii="宋体" w:hAnsi="宋体" w:eastAsia="宋体" w:cs="宋体"/>
          <w:b w:val="0"/>
          <w:bCs w:val="0"/>
          <w:color w:val="000000"/>
          <w:sz w:val="24"/>
          <w:szCs w:val="24"/>
          <w:highlight w:val="none"/>
        </w:rPr>
        <w:t>见《投标须知前附表》5.</w:t>
      </w:r>
      <w:r>
        <w:rPr>
          <w:rFonts w:hint="eastAsia" w:ascii="宋体" w:hAnsi="宋体" w:eastAsia="宋体" w:cs="宋体"/>
          <w:b w:val="0"/>
          <w:bCs w:val="0"/>
          <w:color w:val="000000"/>
          <w:sz w:val="24"/>
          <w:szCs w:val="24"/>
          <w:highlight w:val="none"/>
          <w:lang w:val="en-US" w:eastAsia="zh-CN"/>
        </w:rPr>
        <w:t>1</w:t>
      </w:r>
      <w:r>
        <w:rPr>
          <w:rFonts w:hint="eastAsia" w:ascii="宋体" w:hAnsi="宋体" w:eastAsia="宋体" w:cs="宋体"/>
          <w:b w:val="0"/>
          <w:bCs w:val="0"/>
          <w:color w:val="000000"/>
          <w:sz w:val="24"/>
          <w:szCs w:val="24"/>
          <w:highlight w:val="none"/>
        </w:rPr>
        <w:t>，若有变动另行通知</w:t>
      </w:r>
      <w:r>
        <w:rPr>
          <w:rFonts w:hint="eastAsia" w:ascii="宋体" w:hAnsi="宋体" w:eastAsia="宋体" w:cs="宋体"/>
          <w:color w:val="000000"/>
          <w:sz w:val="24"/>
          <w:szCs w:val="24"/>
          <w:highlight w:val="none"/>
        </w:rPr>
        <w:t>。</w:t>
      </w:r>
    </w:p>
    <w:p w14:paraId="72392218">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lang w:val="en-US" w:eastAsia="zh-CN"/>
        </w:rPr>
        <w:t>6</w:t>
      </w:r>
      <w:r>
        <w:rPr>
          <w:rFonts w:hint="eastAsia" w:ascii="宋体" w:hAnsi="宋体" w:eastAsia="宋体" w:cs="宋体"/>
          <w:b/>
          <w:bCs/>
          <w:color w:val="000000"/>
          <w:sz w:val="24"/>
          <w:szCs w:val="24"/>
          <w:highlight w:val="none"/>
        </w:rPr>
        <w:t>.开标方式</w:t>
      </w:r>
    </w:p>
    <w:p w14:paraId="6F76A93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原则上</w:t>
      </w:r>
      <w:r>
        <w:rPr>
          <w:rFonts w:hint="eastAsia" w:ascii="宋体" w:hAnsi="宋体" w:eastAsia="宋体" w:cs="宋体"/>
          <w:color w:val="000000"/>
          <w:sz w:val="24"/>
          <w:szCs w:val="24"/>
          <w:highlight w:val="none"/>
          <w:lang w:val="en-US"/>
        </w:rPr>
        <w:t>来现场参与</w:t>
      </w:r>
      <w:r>
        <w:rPr>
          <w:rFonts w:hint="eastAsia" w:ascii="宋体" w:hAnsi="宋体" w:eastAsia="宋体" w:cs="宋体"/>
          <w:color w:val="000000"/>
          <w:sz w:val="24"/>
          <w:szCs w:val="24"/>
          <w:highlight w:val="none"/>
          <w:lang w:val="en-US" w:eastAsia="zh-CN"/>
        </w:rPr>
        <w:t>开</w:t>
      </w:r>
      <w:r>
        <w:rPr>
          <w:rFonts w:hint="eastAsia" w:ascii="宋体" w:hAnsi="宋体" w:eastAsia="宋体" w:cs="宋体"/>
          <w:color w:val="000000"/>
          <w:sz w:val="24"/>
          <w:szCs w:val="24"/>
          <w:highlight w:val="none"/>
          <w:lang w:val="en-US"/>
        </w:rPr>
        <w:t>标。</w:t>
      </w:r>
      <w:r>
        <w:rPr>
          <w:rFonts w:hint="eastAsia" w:ascii="宋体" w:hAnsi="宋体" w:eastAsia="宋体" w:cs="宋体"/>
          <w:color w:val="000000"/>
          <w:sz w:val="24"/>
          <w:szCs w:val="24"/>
          <w:highlight w:val="none"/>
          <w:lang w:val="en-US" w:eastAsia="zh-CN"/>
        </w:rPr>
        <w:t>如因特殊情况无法现场参与，需在开标前三日，通知招标人，由招标人创建</w:t>
      </w:r>
      <w:r>
        <w:rPr>
          <w:rFonts w:hint="eastAsia" w:ascii="宋体" w:hAnsi="宋体" w:eastAsia="宋体" w:cs="宋体"/>
          <w:color w:val="000000"/>
          <w:sz w:val="24"/>
          <w:szCs w:val="24"/>
          <w:highlight w:val="none"/>
        </w:rPr>
        <w:t>视频链接</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并</w:t>
      </w:r>
      <w:r>
        <w:rPr>
          <w:rFonts w:hint="eastAsia" w:ascii="宋体" w:hAnsi="宋体" w:eastAsia="宋体" w:cs="宋体"/>
          <w:color w:val="000000"/>
          <w:sz w:val="24"/>
          <w:szCs w:val="24"/>
          <w:highlight w:val="none"/>
        </w:rPr>
        <w:t>在报名</w:t>
      </w:r>
      <w:r>
        <w:rPr>
          <w:rFonts w:hint="eastAsia" w:ascii="宋体" w:hAnsi="宋体" w:eastAsia="宋体" w:cs="宋体"/>
          <w:color w:val="000000"/>
          <w:sz w:val="24"/>
          <w:szCs w:val="24"/>
          <w:highlight w:val="none"/>
          <w:lang w:val="en-US" w:eastAsia="zh-CN"/>
        </w:rPr>
        <w:t>结束</w:t>
      </w:r>
      <w:r>
        <w:rPr>
          <w:rFonts w:hint="eastAsia" w:ascii="宋体" w:hAnsi="宋体" w:eastAsia="宋体" w:cs="宋体"/>
          <w:color w:val="000000"/>
          <w:sz w:val="24"/>
          <w:szCs w:val="24"/>
          <w:highlight w:val="none"/>
        </w:rPr>
        <w:t>后统一</w:t>
      </w:r>
      <w:r>
        <w:rPr>
          <w:rFonts w:hint="eastAsia" w:ascii="宋体" w:hAnsi="宋体" w:eastAsia="宋体" w:cs="宋体"/>
          <w:color w:val="000000"/>
          <w:sz w:val="24"/>
          <w:szCs w:val="24"/>
          <w:highlight w:val="none"/>
          <w:lang w:val="en-US" w:eastAsia="zh-CN"/>
        </w:rPr>
        <w:t>通知</w:t>
      </w:r>
      <w:r>
        <w:rPr>
          <w:rFonts w:hint="eastAsia" w:ascii="宋体" w:hAnsi="宋体" w:eastAsia="宋体" w:cs="宋体"/>
          <w:color w:val="000000"/>
          <w:sz w:val="24"/>
          <w:szCs w:val="24"/>
          <w:highlight w:val="none"/>
        </w:rPr>
        <w:t>。</w:t>
      </w:r>
    </w:p>
    <w:p w14:paraId="6250DB61">
      <w:pPr>
        <w:keepNext w:val="0"/>
        <w:keepLines w:val="0"/>
        <w:spacing w:line="360" w:lineRule="auto"/>
        <w:ind w:left="0" w:leftChars="0" w:firstLine="0" w:firstLineChars="0"/>
        <w:jc w:val="left"/>
        <w:outlineLvl w:val="1"/>
        <w:rPr>
          <w:rFonts w:hint="eastAsia" w:ascii="宋体" w:hAnsi="宋体" w:eastAsia="宋体" w:cs="宋体"/>
          <w:b/>
          <w:bCs w:val="0"/>
          <w:sz w:val="24"/>
          <w:szCs w:val="24"/>
          <w:highlight w:val="none"/>
        </w:rPr>
      </w:pPr>
      <w:bookmarkStart w:id="6" w:name="_Toc33267001"/>
      <w:bookmarkStart w:id="7" w:name="_Toc33266914"/>
      <w:bookmarkStart w:id="8" w:name="_Toc33265653"/>
      <w:bookmarkStart w:id="9" w:name="_Toc33266950"/>
      <w:bookmarkStart w:id="10" w:name="_Toc33266627"/>
      <w:bookmarkStart w:id="11" w:name="_Toc33285487"/>
      <w:bookmarkStart w:id="12" w:name="_Toc33265752"/>
      <w:r>
        <w:rPr>
          <w:rFonts w:hint="eastAsia" w:ascii="宋体" w:hAnsi="宋体" w:eastAsia="宋体" w:cs="宋体"/>
          <w:b/>
          <w:bCs w:val="0"/>
          <w:sz w:val="24"/>
          <w:szCs w:val="24"/>
          <w:highlight w:val="none"/>
        </w:rPr>
        <w:t>六、评价原则</w:t>
      </w:r>
      <w:bookmarkEnd w:id="6"/>
      <w:bookmarkEnd w:id="7"/>
      <w:bookmarkEnd w:id="8"/>
      <w:bookmarkEnd w:id="9"/>
      <w:bookmarkEnd w:id="10"/>
      <w:bookmarkEnd w:id="11"/>
      <w:bookmarkEnd w:id="12"/>
      <w:bookmarkStart w:id="13" w:name="_Toc395116633"/>
    </w:p>
    <w:bookmarkEnd w:id="13"/>
    <w:p w14:paraId="1CA0D887">
      <w:pPr>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1.评标</w:t>
      </w:r>
    </w:p>
    <w:p w14:paraId="2E82B3DA">
      <w:pPr>
        <w:adjustRightInd w:val="0"/>
        <w:snapToGrid w:val="0"/>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sz w:val="24"/>
          <w:szCs w:val="24"/>
          <w:highlight w:val="none"/>
        </w:rPr>
        <w:t>本次招标采用</w:t>
      </w:r>
      <w:bookmarkStart w:id="14" w:name="_Toc33267002"/>
      <w:bookmarkStart w:id="15" w:name="_Toc33266915"/>
      <w:bookmarkStart w:id="16" w:name="_Toc33285489"/>
      <w:bookmarkStart w:id="17" w:name="_Toc33266951"/>
      <w:bookmarkStart w:id="18" w:name="_Toc395116634"/>
      <w:bookmarkStart w:id="19" w:name="_Toc33265654"/>
      <w:bookmarkStart w:id="20" w:name="_Toc33265753"/>
      <w:bookmarkStart w:id="21" w:name="_Toc33266628"/>
      <w:r>
        <w:rPr>
          <w:rFonts w:hint="eastAsia" w:ascii="宋体" w:hAnsi="宋体" w:eastAsia="宋体" w:cs="宋体"/>
          <w:sz w:val="24"/>
          <w:szCs w:val="24"/>
          <w:highlight w:val="none"/>
          <w:lang w:val="en-US" w:eastAsia="zh-CN"/>
        </w:rPr>
        <w:t>合理最低价。</w:t>
      </w:r>
      <w:r>
        <w:rPr>
          <w:rFonts w:hint="eastAsia" w:ascii="宋体" w:hAnsi="宋体" w:eastAsia="宋体" w:cs="宋体"/>
          <w:b/>
          <w:color w:val="000000"/>
          <w:sz w:val="24"/>
          <w:szCs w:val="24"/>
          <w:highlight w:val="none"/>
        </w:rPr>
        <w:t>对未中标单位不做任何解释。</w:t>
      </w:r>
    </w:p>
    <w:bookmarkEnd w:id="14"/>
    <w:bookmarkEnd w:id="15"/>
    <w:bookmarkEnd w:id="16"/>
    <w:bookmarkEnd w:id="17"/>
    <w:bookmarkEnd w:id="18"/>
    <w:bookmarkEnd w:id="19"/>
    <w:bookmarkEnd w:id="20"/>
    <w:bookmarkEnd w:id="21"/>
    <w:p w14:paraId="6776C411">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14:paraId="0F8CD54A">
      <w:pPr>
        <w:pStyle w:val="17"/>
        <w:spacing w:line="360" w:lineRule="auto"/>
        <w:ind w:firstLine="482" w:firstLineChars="200"/>
        <w:rPr>
          <w:rFonts w:hint="eastAsia" w:ascii="宋体" w:hAnsi="宋体" w:eastAsia="宋体" w:cs="宋体"/>
          <w:sz w:val="24"/>
          <w:szCs w:val="24"/>
          <w:highlight w:val="none"/>
          <w:lang w:val="en-US" w:eastAsia="zh-CN"/>
        </w:rPr>
      </w:pPr>
      <w:r>
        <w:rPr>
          <w:rFonts w:hint="eastAsia" w:ascii="宋体" w:hAnsi="宋体" w:eastAsia="宋体" w:cs="宋体"/>
          <w:b/>
          <w:color w:val="000000"/>
          <w:sz w:val="24"/>
          <w:szCs w:val="24"/>
          <w:highlight w:val="none"/>
          <w:lang w:val="en-US" w:eastAsia="zh-CN"/>
        </w:rPr>
        <w:t>投标文件包含《投标文件（资质标）》、《投标文件（技术标）》、《投标文件（商务标）》（开标一览表），共计三个文件。</w:t>
      </w:r>
    </w:p>
    <w:p w14:paraId="73FD3483">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14:paraId="3803DA47">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2E8E53E3">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highlight w:val="none"/>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14:paraId="0C731F62">
      <w:pPr>
        <w:numPr>
          <w:ilvl w:val="0"/>
          <w:numId w:val="7"/>
        </w:numPr>
        <w:spacing w:line="360" w:lineRule="auto"/>
        <w:rPr>
          <w:rFonts w:hint="eastAsia" w:ascii="宋体" w:hAnsi="宋体" w:eastAsia="宋体" w:cs="宋体"/>
          <w:b/>
          <w:color w:val="auto"/>
          <w:sz w:val="24"/>
          <w:szCs w:val="24"/>
          <w:highlight w:val="none"/>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highlight w:val="none"/>
          <w:lang w:val="en-US" w:eastAsia="zh-CN"/>
        </w:rPr>
        <w:t>；</w:t>
      </w:r>
    </w:p>
    <w:p w14:paraId="44D2CFF1">
      <w:pPr>
        <w:numPr>
          <w:ilvl w:val="0"/>
          <w:numId w:val="7"/>
        </w:numPr>
        <w:spacing w:line="360" w:lineRule="auto"/>
        <w:rPr>
          <w:rFonts w:hint="eastAsia" w:ascii="宋体" w:hAnsi="宋体" w:eastAsia="宋体" w:cs="宋体"/>
          <w:b/>
          <w:color w:val="auto"/>
          <w:sz w:val="24"/>
          <w:szCs w:val="24"/>
          <w:highlight w:val="none"/>
        </w:rPr>
      </w:pPr>
      <w:r>
        <w:rPr>
          <w:rFonts w:hint="eastAsia" w:ascii="宋体" w:hAnsi="宋体" w:eastAsia="宋体" w:cs="宋体"/>
          <w:b/>
          <w:color w:val="000000"/>
          <w:sz w:val="24"/>
          <w:szCs w:val="24"/>
          <w:highlight w:val="none"/>
        </w:rPr>
        <w:t>技术</w:t>
      </w:r>
      <w:r>
        <w:rPr>
          <w:rFonts w:hint="eastAsia" w:ascii="宋体" w:hAnsi="宋体" w:eastAsia="宋体" w:cs="宋体"/>
          <w:b/>
          <w:color w:val="000000"/>
          <w:sz w:val="24"/>
          <w:szCs w:val="24"/>
          <w:highlight w:val="none"/>
          <w:lang w:val="en-US" w:eastAsia="zh-CN"/>
        </w:rPr>
        <w:t>标评审</w:t>
      </w:r>
      <w:r>
        <w:rPr>
          <w:rFonts w:hint="eastAsia" w:ascii="宋体" w:hAnsi="宋体" w:eastAsia="宋体" w:cs="宋体"/>
          <w:b/>
          <w:color w:val="auto"/>
          <w:sz w:val="24"/>
          <w:szCs w:val="24"/>
          <w:highlight w:val="none"/>
        </w:rPr>
        <w:t>：</w:t>
      </w:r>
      <w:r>
        <w:rPr>
          <w:rFonts w:hint="eastAsia" w:ascii="宋体" w:hAnsi="宋体" w:eastAsia="宋体" w:cs="宋体"/>
          <w:b/>
          <w:color w:val="auto"/>
          <w:sz w:val="24"/>
          <w:szCs w:val="24"/>
          <w:highlight w:val="none"/>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highlight w:val="none"/>
        </w:rPr>
        <w:t>合格的单位进入商务</w:t>
      </w:r>
      <w:r>
        <w:rPr>
          <w:rFonts w:hint="eastAsia" w:ascii="宋体" w:hAnsi="宋体" w:eastAsia="宋体" w:cs="宋体"/>
          <w:b/>
          <w:color w:val="auto"/>
          <w:sz w:val="24"/>
          <w:szCs w:val="24"/>
          <w:highlight w:val="none"/>
          <w:lang w:val="en-US" w:eastAsia="zh-CN"/>
        </w:rPr>
        <w:t>标评审</w:t>
      </w:r>
      <w:r>
        <w:rPr>
          <w:rFonts w:hint="eastAsia" w:ascii="宋体" w:hAnsi="宋体" w:eastAsia="宋体" w:cs="宋体"/>
          <w:b/>
          <w:color w:val="auto"/>
          <w:sz w:val="24"/>
          <w:szCs w:val="24"/>
          <w:highlight w:val="none"/>
        </w:rPr>
        <w:t>环节，</w:t>
      </w:r>
      <w:r>
        <w:rPr>
          <w:rFonts w:hint="eastAsia" w:ascii="宋体" w:hAnsi="宋体" w:eastAsia="宋体" w:cs="宋体"/>
          <w:b/>
          <w:color w:val="auto"/>
          <w:sz w:val="24"/>
          <w:szCs w:val="24"/>
          <w:highlight w:val="none"/>
          <w:lang w:val="en-US" w:eastAsia="zh-CN"/>
        </w:rPr>
        <w:t>评审</w:t>
      </w:r>
      <w:r>
        <w:rPr>
          <w:rFonts w:hint="eastAsia" w:ascii="宋体" w:hAnsi="宋体" w:eastAsia="宋体" w:cs="宋体"/>
          <w:b/>
          <w:color w:val="auto"/>
          <w:sz w:val="24"/>
          <w:szCs w:val="24"/>
          <w:highlight w:val="none"/>
        </w:rPr>
        <w:t>不合格的单位</w:t>
      </w:r>
      <w:r>
        <w:rPr>
          <w:rFonts w:hint="eastAsia" w:ascii="宋体" w:hAnsi="宋体" w:eastAsia="宋体" w:cs="宋体"/>
          <w:b/>
          <w:color w:val="auto"/>
          <w:sz w:val="24"/>
          <w:szCs w:val="24"/>
          <w:highlight w:val="none"/>
          <w:lang w:val="en-US" w:eastAsia="zh-CN"/>
        </w:rPr>
        <w:t>被</w:t>
      </w:r>
      <w:r>
        <w:rPr>
          <w:rFonts w:hint="eastAsia" w:ascii="宋体" w:hAnsi="宋体" w:eastAsia="宋体" w:cs="宋体"/>
          <w:b/>
          <w:color w:val="auto"/>
          <w:sz w:val="24"/>
          <w:szCs w:val="24"/>
          <w:highlight w:val="none"/>
        </w:rPr>
        <w:t>淘汰</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14:paraId="6608B1FE">
      <w:pPr>
        <w:numPr>
          <w:ilvl w:val="0"/>
          <w:numId w:val="8"/>
        </w:numPr>
        <w:spacing w:line="360" w:lineRule="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商务</w:t>
      </w:r>
      <w:r>
        <w:rPr>
          <w:rFonts w:hint="eastAsia" w:ascii="宋体" w:hAnsi="宋体" w:eastAsia="宋体" w:cs="宋体"/>
          <w:b/>
          <w:color w:val="auto"/>
          <w:sz w:val="24"/>
          <w:szCs w:val="24"/>
          <w:highlight w:val="none"/>
          <w:lang w:val="en-US" w:eastAsia="zh-CN"/>
        </w:rPr>
        <w:t>标评审</w:t>
      </w:r>
      <w:r>
        <w:rPr>
          <w:rFonts w:hint="eastAsia" w:ascii="宋体" w:hAnsi="宋体" w:eastAsia="宋体" w:cs="宋体"/>
          <w:b/>
          <w:color w:val="auto"/>
          <w:sz w:val="24"/>
          <w:szCs w:val="24"/>
          <w:highlight w:val="none"/>
        </w:rPr>
        <w:t>：商务条款相应确认→</w:t>
      </w:r>
      <w:r>
        <w:rPr>
          <w:rFonts w:hint="eastAsia" w:ascii="宋体" w:hAnsi="宋体" w:eastAsia="宋体" w:cs="宋体"/>
          <w:b/>
          <w:color w:val="auto"/>
          <w:sz w:val="24"/>
          <w:szCs w:val="24"/>
          <w:highlight w:val="none"/>
          <w:lang w:val="en-US" w:eastAsia="zh-CN"/>
        </w:rPr>
        <w:t>价格澄清</w:t>
      </w:r>
      <w:r>
        <w:rPr>
          <w:rFonts w:hint="eastAsia" w:ascii="宋体" w:hAnsi="宋体" w:eastAsia="宋体" w:cs="宋体"/>
          <w:b/>
          <w:color w:val="auto"/>
          <w:sz w:val="24"/>
          <w:szCs w:val="24"/>
          <w:highlight w:val="none"/>
        </w:rPr>
        <w:t>→商务</w:t>
      </w:r>
      <w:r>
        <w:rPr>
          <w:rFonts w:hint="eastAsia" w:ascii="宋体" w:hAnsi="宋体" w:eastAsia="宋体" w:cs="宋体"/>
          <w:b/>
          <w:color w:val="auto"/>
          <w:sz w:val="24"/>
          <w:szCs w:val="24"/>
          <w:highlight w:val="none"/>
          <w:lang w:val="en-US" w:eastAsia="zh-CN"/>
        </w:rPr>
        <w:t>标评审</w:t>
      </w:r>
      <w:r>
        <w:rPr>
          <w:rFonts w:hint="eastAsia" w:ascii="宋体" w:hAnsi="宋体" w:eastAsia="宋体" w:cs="宋体"/>
          <w:b/>
          <w:color w:val="auto"/>
          <w:sz w:val="24"/>
          <w:szCs w:val="24"/>
          <w:highlight w:val="none"/>
        </w:rPr>
        <w:t>；</w:t>
      </w:r>
      <w:r>
        <w:rPr>
          <w:rFonts w:hint="eastAsia" w:ascii="宋体" w:hAnsi="宋体" w:eastAsia="宋体" w:cs="宋体"/>
          <w:b/>
          <w:color w:val="auto"/>
          <w:sz w:val="24"/>
          <w:szCs w:val="24"/>
          <w:highlight w:val="none"/>
          <w:lang w:val="en-US" w:eastAsia="zh-CN"/>
        </w:rPr>
        <w:t>评审期间产生的商务价格澄清均由投标人在重汽e采通平台限时内完成提交</w:t>
      </w:r>
      <w:r>
        <w:rPr>
          <w:rFonts w:hint="eastAsia" w:ascii="宋体" w:hAnsi="宋体" w:eastAsia="宋体" w:cs="宋体"/>
          <w:b/>
          <w:color w:val="auto"/>
          <w:sz w:val="24"/>
          <w:szCs w:val="24"/>
          <w:highlight w:val="none"/>
        </w:rPr>
        <w:t>；</w:t>
      </w:r>
    </w:p>
    <w:p w14:paraId="3DBF54D2">
      <w:pPr>
        <w:numPr>
          <w:ilvl w:val="-1"/>
          <w:numId w:val="0"/>
        </w:numPr>
        <w:spacing w:line="360" w:lineRule="auto"/>
        <w:ind w:left="0"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p>
    <w:p w14:paraId="4590DB3A">
      <w:pPr>
        <w:numPr>
          <w:ilvl w:val="0"/>
          <w:numId w:val="9"/>
        </w:numPr>
        <w:spacing w:line="360" w:lineRule="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中标人确定：技术标入围后，原则上合理最低价中标</w:t>
      </w:r>
      <w:r>
        <w:rPr>
          <w:rFonts w:hint="eastAsia" w:ascii="宋体" w:hAnsi="宋体" w:eastAsia="宋体" w:cs="宋体"/>
          <w:b/>
          <w:color w:val="auto"/>
          <w:sz w:val="24"/>
          <w:szCs w:val="24"/>
          <w:highlight w:val="none"/>
        </w:rPr>
        <w:t>。</w:t>
      </w:r>
    </w:p>
    <w:p w14:paraId="61FF4599">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highlight w:val="none"/>
          <w:lang w:val="en-US" w:eastAsia="zh-CN"/>
        </w:rPr>
        <w:t>的</w:t>
      </w:r>
      <w:r>
        <w:rPr>
          <w:rFonts w:hint="eastAsia" w:ascii="宋体" w:hAnsi="宋体" w:eastAsia="宋体" w:cs="宋体"/>
          <w:color w:val="000000"/>
          <w:sz w:val="24"/>
          <w:szCs w:val="24"/>
          <w:highlight w:val="none"/>
        </w:rPr>
        <w:t>，则本次评标作废</w:t>
      </w:r>
      <w:r>
        <w:rPr>
          <w:rFonts w:hint="eastAsia" w:ascii="宋体" w:hAnsi="宋体" w:eastAsia="宋体" w:cs="宋体"/>
          <w:color w:val="000000"/>
          <w:sz w:val="24"/>
          <w:szCs w:val="24"/>
          <w:highlight w:val="none"/>
          <w:lang w:val="en-US" w:eastAsia="zh-CN"/>
        </w:rPr>
        <w:t>或</w:t>
      </w:r>
      <w:r>
        <w:rPr>
          <w:rFonts w:hint="eastAsia" w:ascii="宋体" w:hAnsi="宋体" w:eastAsia="宋体" w:cs="宋体"/>
          <w:color w:val="000000"/>
          <w:kern w:val="2"/>
          <w:sz w:val="24"/>
          <w:szCs w:val="24"/>
          <w:highlight w:val="none"/>
          <w:lang w:val="en-US" w:eastAsia="zh-CN" w:bidi="ar"/>
        </w:rPr>
        <w:t>变更意向中标人</w:t>
      </w:r>
      <w:r>
        <w:rPr>
          <w:rFonts w:hint="eastAsia" w:ascii="宋体" w:hAnsi="宋体" w:eastAsia="宋体" w:cs="宋体"/>
          <w:color w:val="000000"/>
          <w:sz w:val="24"/>
          <w:szCs w:val="24"/>
          <w:highlight w:val="none"/>
          <w:lang w:eastAsia="zh-CN"/>
        </w:rPr>
        <w:t>。</w:t>
      </w:r>
    </w:p>
    <w:p w14:paraId="2CF907B9">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七、合同签订</w:t>
      </w:r>
    </w:p>
    <w:p w14:paraId="41408397">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1.招标人根据评标工作小组的评标结果确定中标人，</w:t>
      </w:r>
      <w:r>
        <w:rPr>
          <w:rFonts w:hint="eastAsia" w:ascii="宋体" w:hAnsi="宋体" w:eastAsia="宋体" w:cs="宋体"/>
          <w:color w:val="000000"/>
          <w:sz w:val="24"/>
          <w:szCs w:val="24"/>
          <w:highlight w:val="none"/>
          <w:lang w:val="en-US" w:eastAsia="zh-CN"/>
        </w:rPr>
        <w:t>在重汽e采通平台公布中标结果，</w:t>
      </w:r>
      <w:r>
        <w:rPr>
          <w:rFonts w:hint="eastAsia" w:ascii="宋体" w:hAnsi="宋体" w:eastAsia="宋体" w:cs="宋体"/>
          <w:color w:val="000000"/>
          <w:sz w:val="24"/>
          <w:szCs w:val="24"/>
          <w:highlight w:val="none"/>
        </w:rPr>
        <w:t>并</w:t>
      </w:r>
      <w:r>
        <w:rPr>
          <w:rFonts w:hint="eastAsia" w:ascii="宋体" w:hAnsi="宋体" w:eastAsia="宋体" w:cs="宋体"/>
          <w:color w:val="000000"/>
          <w:sz w:val="24"/>
          <w:szCs w:val="24"/>
          <w:highlight w:val="none"/>
          <w:lang w:val="en-US" w:eastAsia="zh-CN"/>
        </w:rPr>
        <w:t>发送中标通知</w:t>
      </w:r>
      <w:r>
        <w:rPr>
          <w:rFonts w:hint="eastAsia" w:ascii="宋体" w:hAnsi="宋体" w:eastAsia="宋体" w:cs="宋体"/>
          <w:color w:val="000000"/>
          <w:sz w:val="24"/>
          <w:szCs w:val="24"/>
          <w:highlight w:val="none"/>
        </w:rPr>
        <w:t>。</w:t>
      </w:r>
    </w:p>
    <w:p w14:paraId="22C5AD0C">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2.中标人应该在中标通知书规定的时间、地点与招标人签订采购合同，否则按照开标后撤回投标处理。</w:t>
      </w:r>
    </w:p>
    <w:p w14:paraId="6CA6CF0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.中标人应当按照合同约定的履约责任，在保证质量的前提下完成中标项目，不得将中标项目转包或分包给他人，否则视为违约，招标人有权解除合同。</w:t>
      </w:r>
    </w:p>
    <w:p w14:paraId="6C66BAB3">
      <w:pPr>
        <w:keepNext w:val="0"/>
        <w:keepLines w:val="0"/>
        <w:spacing w:line="360" w:lineRule="auto"/>
        <w:ind w:firstLine="482" w:firstLineChars="200"/>
        <w:outlineLvl w:val="9"/>
        <w:rPr>
          <w:rFonts w:hint="eastAsia" w:ascii="宋体" w:hAnsi="宋体" w:eastAsia="宋体" w:cs="宋体"/>
          <w:b/>
          <w:sz w:val="24"/>
          <w:szCs w:val="24"/>
          <w:highlight w:val="none"/>
          <w:lang w:eastAsia="zh-CN"/>
        </w:rPr>
      </w:pPr>
      <w:r>
        <w:rPr>
          <w:rFonts w:hint="eastAsia" w:ascii="宋体" w:hAnsi="宋体" w:eastAsia="宋体" w:cs="宋体"/>
          <w:b/>
          <w:sz w:val="24"/>
          <w:szCs w:val="24"/>
          <w:highlight w:val="none"/>
          <w:lang w:val="en-US" w:eastAsia="zh-CN"/>
        </w:rPr>
        <w:t>4</w:t>
      </w:r>
      <w:r>
        <w:rPr>
          <w:rFonts w:hint="eastAsia" w:ascii="宋体" w:hAnsi="宋体" w:eastAsia="宋体" w:cs="宋体"/>
          <w:b/>
          <w:sz w:val="24"/>
          <w:szCs w:val="24"/>
          <w:highlight w:val="none"/>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highlight w:val="none"/>
          <w:lang w:eastAsia="zh-CN"/>
        </w:rPr>
        <w:t>；</w:t>
      </w:r>
    </w:p>
    <w:p w14:paraId="06DC8047">
      <w:pPr>
        <w:keepNext w:val="0"/>
        <w:keepLines w:val="0"/>
        <w:spacing w:line="360" w:lineRule="auto"/>
        <w:ind w:firstLine="482" w:firstLineChars="200"/>
        <w:outlineLvl w:val="9"/>
        <w:rPr>
          <w:rFonts w:hint="eastAsia" w:ascii="宋体" w:hAnsi="宋体" w:eastAsia="宋体" w:cs="宋体"/>
          <w:b/>
          <w:sz w:val="24"/>
          <w:szCs w:val="24"/>
          <w:highlight w:val="none"/>
          <w:lang w:eastAsia="zh-CN"/>
        </w:rPr>
      </w:pPr>
      <w:r>
        <w:rPr>
          <w:rFonts w:hint="eastAsia" w:ascii="宋体" w:hAnsi="宋体" w:eastAsia="宋体" w:cs="宋体"/>
          <w:b/>
          <w:sz w:val="24"/>
          <w:szCs w:val="24"/>
          <w:highlight w:val="none"/>
          <w:lang w:val="en-US" w:eastAsia="zh-CN"/>
        </w:rPr>
        <w:t>5.</w:t>
      </w:r>
      <w:r>
        <w:rPr>
          <w:rFonts w:hint="eastAsia" w:ascii="宋体" w:hAnsi="宋体" w:eastAsia="宋体" w:cs="宋体"/>
          <w:b/>
          <w:sz w:val="24"/>
          <w:szCs w:val="24"/>
          <w:highlight w:val="none"/>
          <w:lang w:eastAsia="zh-CN"/>
        </w:rPr>
        <w:t>招标人有权指定招标人的关联单位作为合同签订人，与中标人签署相关合同，且具体权利义务以中标人与招标人的关联公司最终签署的合同为准</w:t>
      </w:r>
    </w:p>
    <w:p w14:paraId="045AB48A">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lang w:val="en-US" w:eastAsia="zh-CN"/>
        </w:rPr>
        <w:t>6.合同以双方最终签署的版本为准</w:t>
      </w:r>
      <w:r>
        <w:rPr>
          <w:rFonts w:hint="eastAsia" w:ascii="宋体" w:hAnsi="宋体" w:eastAsia="宋体" w:cs="宋体"/>
          <w:b/>
          <w:sz w:val="24"/>
          <w:szCs w:val="24"/>
          <w:highlight w:val="none"/>
        </w:rPr>
        <w:t>。</w:t>
      </w:r>
    </w:p>
    <w:p w14:paraId="28C025D1">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八、废标及终止招标</w:t>
      </w:r>
    </w:p>
    <w:p w14:paraId="0C37FA7B">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29878D1">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5B6643F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0D2359DD">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0116235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0F2A69AE">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2E9B1504">
      <w:pPr>
        <w:pStyle w:val="17"/>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1A5E7A9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79B4F67C">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10B1B47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146277C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0DB3E464">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7852666F">
      <w:pPr>
        <w:pStyle w:val="17"/>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12</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不同投标人的投标文件异常一致</w:t>
      </w:r>
      <w:r>
        <w:rPr>
          <w:rFonts w:hint="eastAsia" w:ascii="宋体" w:hAnsi="宋体" w:eastAsia="宋体" w:cs="宋体"/>
          <w:color w:val="000000"/>
          <w:sz w:val="24"/>
          <w:szCs w:val="24"/>
          <w:highlight w:val="none"/>
          <w:lang w:eastAsia="zh-CN"/>
        </w:rPr>
        <w:t>；</w:t>
      </w:r>
    </w:p>
    <w:p w14:paraId="3BBA657B">
      <w:pPr>
        <w:pStyle w:val="17"/>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13</w:t>
      </w:r>
      <w:r>
        <w:rPr>
          <w:rFonts w:hint="eastAsia" w:ascii="宋体" w:hAnsi="宋体" w:eastAsia="宋体" w:cs="宋体"/>
          <w:color w:val="000000"/>
          <w:sz w:val="24"/>
          <w:szCs w:val="24"/>
          <w:highlight w:val="none"/>
          <w:lang w:eastAsia="zh-CN"/>
        </w:rPr>
        <w:t>）投标报价呈规律性差异的；</w:t>
      </w:r>
    </w:p>
    <w:p w14:paraId="4CBDF371">
      <w:pPr>
        <w:spacing w:line="360" w:lineRule="auto"/>
        <w:ind w:right="2"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1</w:t>
      </w:r>
      <w:r>
        <w:rPr>
          <w:rFonts w:hint="eastAsia"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法律、法规规定的其他情况。</w:t>
      </w:r>
    </w:p>
    <w:p w14:paraId="2C22B21A">
      <w:pPr>
        <w:spacing w:line="360" w:lineRule="auto"/>
        <w:ind w:right="2"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27478496">
      <w:pPr>
        <w:spacing w:line="360" w:lineRule="auto"/>
        <w:ind w:right="2" w:firstLine="480" w:firstLineChars="200"/>
        <w:rPr>
          <w:rFonts w:hint="eastAsia"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1539969E">
      <w:pPr>
        <w:spacing w:line="360" w:lineRule="auto"/>
        <w:ind w:right="2"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47D6343E">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64FCD5A2">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22" w:name="OLE_LINK28"/>
      <w:bookmarkStart w:id="23" w:name="OLE_LINK27"/>
      <w:bookmarkStart w:id="24" w:name="OLE_LINK26"/>
      <w:bookmarkStart w:id="25" w:name="OLE_LINK29"/>
      <w:bookmarkStart w:id="26" w:name="OLE_LINK25"/>
      <w:r>
        <w:rPr>
          <w:rFonts w:hint="eastAsia" w:ascii="宋体" w:hAnsi="宋体" w:eastAsia="宋体" w:cs="宋体"/>
          <w:bCs/>
          <w:sz w:val="24"/>
          <w:szCs w:val="24"/>
          <w:highlight w:val="none"/>
        </w:rPr>
        <w:t>；</w:t>
      </w:r>
      <w:bookmarkEnd w:id="22"/>
      <w:bookmarkEnd w:id="23"/>
      <w:bookmarkEnd w:id="24"/>
      <w:bookmarkEnd w:id="25"/>
      <w:bookmarkEnd w:id="26"/>
    </w:p>
    <w:p w14:paraId="62927B43">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0ED0748D">
      <w:pPr>
        <w:pStyle w:val="17"/>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（6）招标人认为其他应终止招标的情形。</w:t>
      </w:r>
    </w:p>
    <w:p w14:paraId="42265873">
      <w:pPr>
        <w:spacing w:line="360" w:lineRule="auto"/>
        <w:ind w:right="2"/>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A6CAA6B">
      <w:pPr>
        <w:spacing w:line="360" w:lineRule="auto"/>
        <w:ind w:right="2" w:firstLine="482" w:firstLineChars="200"/>
        <w:outlineLvl w:val="1"/>
        <w:rPr>
          <w:rFonts w:hint="eastAsia" w:ascii="宋体" w:hAnsi="宋体" w:eastAsia="宋体" w:cs="宋体"/>
          <w:b/>
          <w:color w:val="000000"/>
          <w:sz w:val="24"/>
          <w:szCs w:val="24"/>
          <w:highlight w:val="none"/>
        </w:rPr>
      </w:pPr>
      <w:r>
        <w:rPr>
          <w:rFonts w:hint="eastAsia" w:ascii="宋体" w:hAnsi="宋体" w:eastAsia="宋体" w:cs="宋体"/>
          <w:b/>
          <w:bCs/>
          <w:sz w:val="24"/>
          <w:szCs w:val="24"/>
          <w:highlight w:val="none"/>
        </w:rPr>
        <w:t>九、本次招标最终解释权</w:t>
      </w:r>
      <w:r>
        <w:rPr>
          <w:rFonts w:hint="eastAsia" w:ascii="宋体" w:hAnsi="宋体" w:eastAsia="宋体" w:cs="宋体"/>
          <w:b/>
          <w:color w:val="000000"/>
          <w:sz w:val="24"/>
          <w:szCs w:val="24"/>
          <w:highlight w:val="none"/>
        </w:rPr>
        <w:t>归</w:t>
      </w:r>
      <w:r>
        <w:rPr>
          <w:rFonts w:hint="eastAsia" w:ascii="宋体" w:hAnsi="宋体" w:eastAsia="宋体" w:cs="宋体"/>
          <w:b/>
          <w:color w:val="000000"/>
          <w:sz w:val="24"/>
          <w:szCs w:val="24"/>
          <w:highlight w:val="none"/>
          <w:lang w:eastAsia="zh-CN"/>
        </w:rPr>
        <w:t>中国重汽集团济南动力有限公司济南发动机厂</w:t>
      </w:r>
      <w:r>
        <w:rPr>
          <w:rFonts w:hint="eastAsia" w:ascii="宋体" w:hAnsi="宋体" w:eastAsia="宋体" w:cs="宋体"/>
          <w:b/>
          <w:color w:val="000000"/>
          <w:sz w:val="24"/>
          <w:szCs w:val="24"/>
          <w:highlight w:val="none"/>
        </w:rPr>
        <w:t>。</w:t>
      </w:r>
    </w:p>
    <w:p w14:paraId="252027D8">
      <w:pPr>
        <w:pStyle w:val="17"/>
        <w:spacing w:line="360" w:lineRule="auto"/>
        <w:jc w:val="center"/>
        <w:rPr>
          <w:rFonts w:hint="eastAsia" w:ascii="宋体" w:hAnsi="宋体" w:eastAsia="宋体" w:cs="宋体"/>
          <w:b/>
          <w:bCs/>
          <w:kern w:val="44"/>
          <w:sz w:val="24"/>
          <w:szCs w:val="24"/>
          <w:highlight w:val="none"/>
        </w:rPr>
        <w:sectPr>
          <w:footerReference r:id="rId9" w:type="default"/>
          <w:pgSz w:w="11907" w:h="16840"/>
          <w:pgMar w:top="1304" w:right="1418" w:bottom="1304" w:left="1418" w:header="724" w:footer="851" w:gutter="0"/>
          <w:cols w:space="720" w:num="1"/>
          <w:docGrid w:linePitch="290" w:charSpace="-3931"/>
        </w:sectPr>
      </w:pPr>
    </w:p>
    <w:p w14:paraId="0D1A60B9">
      <w:pPr>
        <w:pStyle w:val="17"/>
        <w:numPr>
          <w:ilvl w:val="-1"/>
          <w:numId w:val="0"/>
        </w:numPr>
        <w:jc w:val="center"/>
        <w:outlineLvl w:val="0"/>
        <w:rPr>
          <w:rFonts w:ascii="Calibri" w:hAnsi="Calibri" w:eastAsia="宋体" w:cs="Times New Roman"/>
          <w:b/>
          <w:bCs/>
          <w:kern w:val="44"/>
          <w:sz w:val="36"/>
          <w:szCs w:val="44"/>
          <w:highlight w:val="none"/>
        </w:rPr>
      </w:pPr>
      <w:bookmarkStart w:id="27" w:name="_Toc22879"/>
      <w:r>
        <w:rPr>
          <w:rFonts w:hint="eastAsia" w:ascii="Calibri" w:hAnsi="Calibri" w:eastAsia="宋体" w:cs="Times New Roman"/>
          <w:b/>
          <w:bCs/>
          <w:kern w:val="44"/>
          <w:sz w:val="36"/>
          <w:szCs w:val="44"/>
          <w:highlight w:val="none"/>
          <w:lang w:val="en-US" w:eastAsia="zh-CN"/>
        </w:rPr>
        <w:t>第三部分</w:t>
      </w:r>
      <w:r>
        <w:rPr>
          <w:rFonts w:hint="eastAsia" w:ascii="Calibri" w:hAnsi="Calibri" w:eastAsia="宋体" w:cs="Times New Roman"/>
          <w:b/>
          <w:bCs/>
          <w:kern w:val="44"/>
          <w:sz w:val="36"/>
          <w:szCs w:val="44"/>
          <w:highlight w:val="none"/>
        </w:rPr>
        <w:t xml:space="preserve"> 投标文件编制</w:t>
      </w:r>
      <w:bookmarkEnd w:id="27"/>
    </w:p>
    <w:p w14:paraId="37AEF1AE">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一、投标文件的编制</w:t>
      </w:r>
    </w:p>
    <w:p w14:paraId="58321612">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投标人应认真阅读招标文件的所有内容，按招标文件的要求提供投标文件，并保证提供的全部资料的真实性，以使其投标对招标文件作出实质性响应，否则，其投标将被拒绝。</w:t>
      </w:r>
    </w:p>
    <w:p w14:paraId="14E1235E">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投标文件和与投标有关的所有文件均应使用中文</w:t>
      </w:r>
      <w:r>
        <w:rPr>
          <w:rFonts w:hint="eastAsia" w:ascii="宋体" w:hAnsi="宋体" w:eastAsia="宋体" w:cs="宋体"/>
          <w:color w:val="000000"/>
          <w:sz w:val="24"/>
          <w:szCs w:val="24"/>
          <w:highlight w:val="none"/>
          <w:lang w:eastAsia="zh-CN"/>
        </w:rPr>
        <w:t>。</w:t>
      </w:r>
    </w:p>
    <w:p w14:paraId="41FC65A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除投标文件的技术规格中另有规定外，投标文件中所使用的计量单位应为中华人民共和国法定计量单位。</w:t>
      </w:r>
    </w:p>
    <w:p w14:paraId="1B237EB8">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二、投标文件资料</w:t>
      </w:r>
    </w:p>
    <w:p w14:paraId="3635CD2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投标人所投标设备详细技术资料清单，在标书中列示说明；</w:t>
      </w:r>
    </w:p>
    <w:p w14:paraId="774F283C">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投标人完整的技术支持与售后服务实施方案，在标书中列示说明，包含但不限于以下内容：</w:t>
      </w:r>
    </w:p>
    <w:p w14:paraId="629AF2A3">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A、除享受由本品牌生产厂家提供的正规的全球或全国联保三包服务之外，还能获得由本品牌生产厂家或经销商提供的何种免费支持、免费服务或其他对招标人有利的服务项目。</w:t>
      </w:r>
    </w:p>
    <w:p w14:paraId="31546C2E">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B、售后服务机构或网点（名称、地址、联系人、电话）。</w:t>
      </w:r>
    </w:p>
    <w:p w14:paraId="65EF32B3">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C、针对本项目的技术服务团队情况（人员数量、姓名、电话、专业资质等）。</w:t>
      </w:r>
    </w:p>
    <w:p w14:paraId="2965161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D、日常维护保养及故障排除措施保证。</w:t>
      </w:r>
    </w:p>
    <w:p w14:paraId="1E5D663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3</w:t>
      </w: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rPr>
        <w:t>投标人关于包装、运输、检验、交付、安装、调试、培训等方案，均需在投标文件中列示说明。</w:t>
      </w:r>
    </w:p>
    <w:p w14:paraId="36500DD9">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三、投标文件的组成</w:t>
      </w:r>
    </w:p>
    <w:p w14:paraId="7B1C2483">
      <w:pPr>
        <w:spacing w:line="360" w:lineRule="auto"/>
        <w:ind w:firstLine="480" w:firstLineChars="200"/>
        <w:rPr>
          <w:rFonts w:hint="eastAsia" w:ascii="宋体" w:hAnsi="宋体" w:eastAsia="宋体" w:cs="宋体"/>
          <w:bCs/>
          <w:color w:val="000000"/>
          <w:sz w:val="24"/>
          <w:szCs w:val="24"/>
          <w:highlight w:val="none"/>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highlight w:val="none"/>
        </w:rPr>
        <w:t>个</w:t>
      </w:r>
      <w:r>
        <w:rPr>
          <w:rFonts w:hint="eastAsia" w:ascii="宋体" w:hAnsi="宋体" w:eastAsia="宋体" w:cs="宋体"/>
          <w:bCs/>
          <w:color w:val="000000"/>
          <w:sz w:val="24"/>
          <w:szCs w:val="24"/>
          <w:highlight w:val="none"/>
          <w:lang w:val="en-US" w:eastAsia="zh-CN"/>
        </w:rPr>
        <w:t>文件。</w:t>
      </w:r>
    </w:p>
    <w:p w14:paraId="7C4385B9">
      <w:pPr>
        <w:spacing w:line="360" w:lineRule="auto"/>
        <w:ind w:firstLine="482" w:firstLineChars="200"/>
        <w:rPr>
          <w:rFonts w:hint="eastAsia" w:ascii="宋体" w:hAnsi="宋体" w:eastAsia="宋体" w:cs="宋体"/>
          <w:bCs/>
          <w:color w:val="000000"/>
          <w:sz w:val="24"/>
          <w:szCs w:val="24"/>
          <w:highlight w:val="none"/>
          <w:lang w:val="en-US" w:eastAsia="zh-CN"/>
        </w:rPr>
      </w:pPr>
      <w:r>
        <w:rPr>
          <w:rFonts w:hint="eastAsia" w:ascii="宋体" w:hAnsi="宋体" w:eastAsia="宋体" w:cs="宋体"/>
          <w:b/>
          <w:bCs w:val="0"/>
          <w:color w:val="000000"/>
          <w:sz w:val="24"/>
          <w:szCs w:val="24"/>
          <w:highlight w:val="none"/>
          <w:lang w:val="en-US" w:eastAsia="zh-CN"/>
        </w:rPr>
        <w:t>投标文件的份数要求及投递方式</w:t>
      </w:r>
      <w:r>
        <w:rPr>
          <w:rFonts w:hint="eastAsia" w:ascii="宋体" w:hAnsi="宋体" w:eastAsia="宋体" w:cs="宋体"/>
          <w:bCs/>
          <w:color w:val="000000"/>
          <w:sz w:val="24"/>
          <w:szCs w:val="24"/>
          <w:highlight w:val="none"/>
          <w:lang w:val="en-US" w:eastAsia="zh-CN"/>
        </w:rPr>
        <w:t>，见《投标须知前附表》第3条。</w:t>
      </w:r>
    </w:p>
    <w:p w14:paraId="31BDCC48">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详见附件格式1—13，其余未尽事宜请按各单位习惯制定即可。</w:t>
      </w:r>
    </w:p>
    <w:p w14:paraId="7620D062">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bCs/>
          <w:sz w:val="24"/>
          <w:szCs w:val="24"/>
          <w:highlight w:val="none"/>
        </w:rPr>
        <w:t>1</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投标文件（资质标）</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rPr>
        <w:t>包括</w:t>
      </w:r>
      <w:r>
        <w:rPr>
          <w:rFonts w:hint="eastAsia" w:ascii="宋体" w:hAnsi="宋体" w:eastAsia="宋体" w:cs="宋体"/>
          <w:color w:val="000000"/>
          <w:sz w:val="24"/>
          <w:szCs w:val="24"/>
          <w:highlight w:val="none"/>
        </w:rPr>
        <w:t>：</w:t>
      </w:r>
    </w:p>
    <w:p w14:paraId="2908DE5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1.1营业执照副本复印件（需加盖公章）；</w:t>
      </w:r>
    </w:p>
    <w:p w14:paraId="65B4D332">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1.2投标函（附件1）；</w:t>
      </w:r>
    </w:p>
    <w:p w14:paraId="4677F89C">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highlight w:val="none"/>
        </w:rPr>
        <w:t>（含法人身份证和被授权人身份证正反面复印件）</w:t>
      </w:r>
      <w:r>
        <w:rPr>
          <w:rFonts w:hint="eastAsia" w:ascii="宋体" w:hAnsi="宋体" w:eastAsia="宋体" w:cs="宋体"/>
          <w:b/>
          <w:color w:val="000000"/>
          <w:sz w:val="24"/>
          <w:szCs w:val="24"/>
          <w:highlight w:val="none"/>
          <w:lang w:val="en-US" w:eastAsia="zh-CN"/>
        </w:rPr>
        <w:t>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w:t>
      </w:r>
      <w:r>
        <w:rPr>
          <w:rFonts w:hint="eastAsia" w:ascii="宋体" w:hAnsi="宋体" w:eastAsia="宋体" w:cs="宋体"/>
          <w:kern w:val="0"/>
          <w:sz w:val="24"/>
          <w:szCs w:val="24"/>
          <w:highlight w:val="none"/>
          <w:lang w:val="en-US" w:eastAsia="zh-CN" w:bidi="en-US"/>
        </w:rPr>
        <w:t>6</w:t>
      </w:r>
      <w:r>
        <w:rPr>
          <w:rFonts w:hint="eastAsia" w:ascii="宋体" w:hAnsi="宋体" w:eastAsia="宋体" w:cs="宋体"/>
          <w:kern w:val="0"/>
          <w:sz w:val="24"/>
          <w:szCs w:val="24"/>
          <w:highlight w:val="none"/>
          <w:lang w:bidi="en-US"/>
        </w:rPr>
        <w:t>个月</w:t>
      </w:r>
      <w:r>
        <w:rPr>
          <w:rFonts w:hint="eastAsia" w:ascii="宋体" w:hAnsi="宋体" w:eastAsia="宋体" w:cs="宋体"/>
          <w:kern w:val="0"/>
          <w:sz w:val="24"/>
          <w:szCs w:val="24"/>
          <w:highlight w:val="none"/>
          <w:lang w:val="en-US" w:eastAsia="zh-CN" w:bidi="en-US"/>
        </w:rPr>
        <w:t>及以上在授权单位的社保</w:t>
      </w:r>
      <w:r>
        <w:rPr>
          <w:rFonts w:hint="eastAsia" w:ascii="宋体" w:hAnsi="宋体" w:eastAsia="宋体" w:cs="宋体"/>
          <w:kern w:val="0"/>
          <w:sz w:val="24"/>
          <w:szCs w:val="24"/>
          <w:highlight w:val="none"/>
          <w:lang w:bidi="en-US"/>
        </w:rPr>
        <w:t>缴纳证明</w:t>
      </w:r>
      <w:r>
        <w:rPr>
          <w:rFonts w:hint="eastAsia" w:ascii="宋体" w:hAnsi="宋体" w:eastAsia="宋体" w:cs="宋体"/>
          <w:b/>
          <w:color w:val="000000"/>
          <w:sz w:val="24"/>
          <w:szCs w:val="24"/>
          <w:highlight w:val="none"/>
        </w:rPr>
        <w:t>；</w:t>
      </w:r>
    </w:p>
    <w:p w14:paraId="2D9712FA">
      <w:pPr>
        <w:spacing w:line="360" w:lineRule="auto"/>
        <w:ind w:firstLine="480" w:firstLineChars="200"/>
        <w:rPr>
          <w:rFonts w:hint="eastAsia" w:ascii="宋体" w:hAnsi="宋体" w:eastAsia="宋体" w:cs="宋体"/>
          <w:b/>
          <w:color w:val="000000"/>
          <w:sz w:val="24"/>
          <w:szCs w:val="24"/>
          <w:highlight w:val="none"/>
          <w:lang w:eastAsia="zh-CN"/>
        </w:rPr>
      </w:pPr>
      <w:r>
        <w:rPr>
          <w:rFonts w:hint="eastAsia" w:ascii="宋体" w:hAnsi="宋体" w:eastAsia="宋体" w:cs="宋体"/>
          <w:color w:val="000000"/>
          <w:sz w:val="24"/>
          <w:szCs w:val="24"/>
          <w:highlight w:val="none"/>
        </w:rPr>
        <w:t>1.4近</w:t>
      </w:r>
      <w:r>
        <w:rPr>
          <w:rFonts w:hint="eastAsia" w:ascii="宋体" w:hAnsi="宋体" w:eastAsia="宋体" w:cs="宋体"/>
          <w:color w:val="000000"/>
          <w:sz w:val="24"/>
          <w:szCs w:val="24"/>
          <w:highlight w:val="none"/>
          <w:lang w:val="en-US" w:eastAsia="zh-CN"/>
        </w:rPr>
        <w:t>三年经第三方机构审计的</w:t>
      </w:r>
      <w:r>
        <w:rPr>
          <w:rFonts w:hint="eastAsia" w:ascii="宋体" w:hAnsi="宋体" w:eastAsia="宋体" w:cs="宋体"/>
          <w:color w:val="000000"/>
          <w:sz w:val="24"/>
          <w:szCs w:val="24"/>
          <w:highlight w:val="none"/>
        </w:rPr>
        <w:t>财务报表（</w:t>
      </w:r>
      <w:r>
        <w:rPr>
          <w:rFonts w:hint="eastAsia" w:ascii="宋体" w:hAnsi="宋体" w:eastAsia="宋体" w:cs="宋体"/>
          <w:color w:val="000000"/>
          <w:sz w:val="24"/>
          <w:szCs w:val="24"/>
          <w:highlight w:val="none"/>
          <w:lang w:val="en-US" w:eastAsia="zh-CN"/>
        </w:rPr>
        <w:t>报告页、</w:t>
      </w:r>
      <w:r>
        <w:rPr>
          <w:rFonts w:hint="eastAsia" w:ascii="宋体" w:hAnsi="宋体" w:eastAsia="宋体" w:cs="宋体"/>
          <w:color w:val="000000"/>
          <w:sz w:val="24"/>
          <w:szCs w:val="24"/>
          <w:highlight w:val="none"/>
        </w:rPr>
        <w:t>资产负债表、损益表、现金流量表）复印件（需加盖公章），</w:t>
      </w:r>
      <w:r>
        <w:rPr>
          <w:rFonts w:hint="eastAsia" w:ascii="宋体" w:hAnsi="宋体" w:eastAsia="宋体" w:cs="宋体"/>
          <w:color w:val="000000"/>
          <w:sz w:val="24"/>
          <w:szCs w:val="24"/>
          <w:highlight w:val="none"/>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highlight w:val="none"/>
        </w:rPr>
        <w:t>必须连续，同时填写投标人基本情况表（附件3）</w:t>
      </w:r>
      <w:r>
        <w:rPr>
          <w:rFonts w:hint="eastAsia" w:ascii="宋体" w:hAnsi="宋体" w:eastAsia="宋体" w:cs="宋体"/>
          <w:b/>
          <w:color w:val="000000"/>
          <w:sz w:val="24"/>
          <w:szCs w:val="24"/>
          <w:highlight w:val="none"/>
        </w:rPr>
        <w:t>；</w:t>
      </w:r>
    </w:p>
    <w:p w14:paraId="0BDD3808">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p>
    <w:p w14:paraId="1AAD1113">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1.6投标人在国家企业信用信息公示系统中无与本项目有关的行政处罚、经营异常和失信信息的声明；</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附投标当日系统内相关截图</w:t>
      </w:r>
      <w:r>
        <w:rPr>
          <w:rFonts w:hint="eastAsia" w:ascii="宋体" w:hAnsi="宋体" w:eastAsia="宋体" w:cs="宋体"/>
          <w:color w:val="000000"/>
          <w:sz w:val="24"/>
          <w:szCs w:val="24"/>
          <w:highlight w:val="none"/>
          <w:lang w:eastAsia="zh-CN"/>
        </w:rPr>
        <w:t>或报告）</w:t>
      </w:r>
    </w:p>
    <w:p w14:paraId="26BBD5DE">
      <w:pPr>
        <w:spacing w:line="360" w:lineRule="auto"/>
        <w:ind w:firstLine="480" w:firstLineChars="200"/>
        <w:rPr>
          <w:rFonts w:hint="eastAsia"/>
          <w:highlight w:val="none"/>
          <w:lang w:eastAsia="zh-CN"/>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7</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4D177CE3">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8企业信用证明材料（征信中心出具的信用报告）；</w:t>
      </w:r>
    </w:p>
    <w:p w14:paraId="4667613D">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1.9</w:t>
      </w:r>
      <w:r>
        <w:rPr>
          <w:rFonts w:hint="eastAsia" w:ascii="宋体" w:hAnsi="宋体" w:eastAsia="宋体" w:cs="宋体"/>
          <w:color w:val="000000"/>
          <w:sz w:val="24"/>
          <w:szCs w:val="24"/>
          <w:highlight w:val="none"/>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w:t>
      </w:r>
    </w:p>
    <w:p w14:paraId="456A53F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10</w:t>
      </w:r>
      <w:r>
        <w:rPr>
          <w:rFonts w:hint="eastAsia" w:ascii="宋体" w:hAnsi="宋体" w:eastAsia="宋体" w:cs="宋体"/>
          <w:color w:val="000000"/>
          <w:sz w:val="24"/>
          <w:szCs w:val="24"/>
          <w:highlight w:val="none"/>
        </w:rPr>
        <w:t>企业最近半年的完税证明</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并附</w:t>
      </w:r>
      <w:r>
        <w:rPr>
          <w:rFonts w:ascii="宋体" w:hAnsi="宋体" w:eastAsia="宋体" w:cs="宋体"/>
          <w:sz w:val="24"/>
          <w:szCs w:val="24"/>
          <w:highlight w:val="none"/>
        </w:rPr>
        <w:t>年度纳税信用评价信息（可从电子税务局查询截图，需加盖公章）</w:t>
      </w:r>
      <w:r>
        <w:rPr>
          <w:rFonts w:hint="eastAsia" w:ascii="宋体" w:hAnsi="宋体" w:eastAsia="宋体" w:cs="宋体"/>
          <w:color w:val="000000"/>
          <w:sz w:val="24"/>
          <w:szCs w:val="24"/>
          <w:highlight w:val="none"/>
        </w:rPr>
        <w:t>；</w:t>
      </w:r>
    </w:p>
    <w:p w14:paraId="723CA3E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11</w:t>
      </w:r>
      <w:r>
        <w:rPr>
          <w:rFonts w:hint="eastAsia" w:ascii="宋体" w:hAnsi="宋体" w:eastAsia="宋体" w:cs="宋体"/>
          <w:color w:val="000000"/>
          <w:sz w:val="24"/>
          <w:szCs w:val="24"/>
          <w:highlight w:val="none"/>
        </w:rPr>
        <w:t>保密承诺函（附件4）；</w:t>
      </w:r>
    </w:p>
    <w:p w14:paraId="3DDE1EC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1.12</w:t>
      </w:r>
      <w:r>
        <w:rPr>
          <w:rFonts w:hint="eastAsia" w:ascii="宋体" w:hAnsi="宋体" w:eastAsia="宋体" w:cs="宋体"/>
          <w:color w:val="000000"/>
          <w:sz w:val="24"/>
          <w:szCs w:val="24"/>
          <w:highlight w:val="none"/>
        </w:rPr>
        <w:t xml:space="preserve"> 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年1月1日至今，企业近</w:t>
      </w:r>
      <w:r>
        <w:rPr>
          <w:rFonts w:hint="eastAsia" w:ascii="宋体" w:hAnsi="宋体" w:eastAsia="宋体" w:cs="宋体"/>
          <w:color w:val="000000"/>
          <w:sz w:val="24"/>
          <w:szCs w:val="24"/>
          <w:highlight w:val="none"/>
          <w:lang w:val="en-US" w:eastAsia="zh-CN"/>
        </w:rPr>
        <w:t>三年</w:t>
      </w:r>
      <w:r>
        <w:rPr>
          <w:rFonts w:hint="eastAsia" w:ascii="宋体" w:hAnsi="宋体" w:eastAsia="宋体" w:cs="宋体"/>
          <w:color w:val="000000"/>
          <w:sz w:val="24"/>
          <w:szCs w:val="24"/>
          <w:highlight w:val="none"/>
        </w:rPr>
        <w:t>同类项目业绩证明</w:t>
      </w:r>
      <w:r>
        <w:rPr>
          <w:rFonts w:hint="eastAsia" w:ascii="宋体" w:hAnsi="宋体" w:eastAsia="宋体" w:cs="宋体"/>
          <w:color w:val="000000"/>
          <w:sz w:val="24"/>
          <w:szCs w:val="24"/>
          <w:highlight w:val="none"/>
          <w:lang w:eastAsia="zh-CN"/>
        </w:rPr>
        <w:t>，</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lang w:val="en-US" w:eastAsia="zh-CN"/>
        </w:rPr>
        <w:t>复印件</w:t>
      </w:r>
      <w:r>
        <w:rPr>
          <w:rFonts w:hint="eastAsia" w:ascii="宋体" w:hAnsi="宋体" w:eastAsia="宋体" w:cs="宋体"/>
          <w:color w:val="000000"/>
          <w:sz w:val="24"/>
          <w:szCs w:val="24"/>
          <w:highlight w:val="none"/>
        </w:rPr>
        <w:t>；</w:t>
      </w:r>
    </w:p>
    <w:p w14:paraId="1A38E490">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投标保证金缴纳凭证</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同时正文描述付款账号、户名、开户行名称、开户行行号、保证金金额</w:t>
      </w:r>
      <w:r>
        <w:rPr>
          <w:rFonts w:hint="eastAsia" w:ascii="宋体" w:hAnsi="宋体" w:eastAsia="宋体" w:cs="宋体"/>
          <w:color w:val="000000"/>
          <w:sz w:val="24"/>
          <w:szCs w:val="24"/>
          <w:highlight w:val="none"/>
        </w:rPr>
        <w:t>。</w:t>
      </w:r>
    </w:p>
    <w:p w14:paraId="2B31EBCF">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65A88000">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2.1技术规格偏离表（附件5</w:t>
      </w: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必须先进行两列要求一一对照，不允许直接写无偏离；</w:t>
      </w:r>
    </w:p>
    <w:p w14:paraId="72F3FB96">
      <w:pPr>
        <w:spacing w:line="360" w:lineRule="auto"/>
        <w:ind w:firstLine="480" w:firstLineChars="200"/>
        <w:rPr>
          <w:rFonts w:hint="eastAsia" w:hAnsi="宋体" w:eastAsia="宋体" w:cs="宋体"/>
          <w:b/>
          <w:color w:val="000000"/>
          <w:kern w:val="2"/>
          <w:sz w:val="24"/>
          <w:szCs w:val="24"/>
          <w:highlight w:val="none"/>
          <w:lang w:val="en-US" w:eastAsia="zh-CN" w:bidi="ar-SA"/>
        </w:rPr>
      </w:pPr>
      <w:r>
        <w:rPr>
          <w:rFonts w:hint="eastAsia" w:ascii="宋体" w:hAnsi="宋体" w:eastAsia="宋体" w:cs="宋体"/>
          <w:bCs/>
          <w:color w:val="000000"/>
          <w:sz w:val="24"/>
          <w:szCs w:val="24"/>
          <w:highlight w:val="none"/>
        </w:rPr>
        <w:t>2.2</w:t>
      </w:r>
      <w:r>
        <w:rPr>
          <w:rFonts w:hint="eastAsia" w:hAnsi="宋体" w:eastAsia="宋体" w:cs="宋体"/>
          <w:color w:val="000000"/>
          <w:kern w:val="2"/>
          <w:sz w:val="24"/>
          <w:szCs w:val="24"/>
          <w:highlight w:val="none"/>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none"/>
          <w:lang w:val="en-US" w:eastAsia="zh-CN" w:bidi="ar-SA"/>
        </w:rPr>
        <w:t>注意：</w:t>
      </w:r>
      <w:r>
        <w:rPr>
          <w:rFonts w:hint="eastAsia" w:hAnsi="宋体" w:eastAsia="宋体" w:cs="宋体"/>
          <w:b/>
          <w:color w:val="000000"/>
          <w:kern w:val="2"/>
          <w:sz w:val="24"/>
          <w:szCs w:val="24"/>
          <w:highlight w:val="none"/>
          <w:lang w:val="en-US" w:eastAsia="zh-CN" w:bidi="ar-SA"/>
        </w:rPr>
        <w:t>此表在技术标书中，禁止出现任何分项价格及项目总价；</w:t>
      </w:r>
    </w:p>
    <w:p w14:paraId="28032E9F">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lang w:val="en-US" w:eastAsia="zh-CN"/>
        </w:rPr>
        <w:t>2.3</w:t>
      </w:r>
      <w:r>
        <w:rPr>
          <w:rFonts w:hint="eastAsia" w:ascii="宋体" w:hAnsi="宋体" w:eastAsia="宋体" w:cs="宋体"/>
          <w:color w:val="000000"/>
          <w:sz w:val="24"/>
          <w:szCs w:val="24"/>
          <w:highlight w:val="none"/>
        </w:rPr>
        <w:t>提供20</w:t>
      </w:r>
      <w:r>
        <w:rPr>
          <w:rFonts w:hint="eastAsia" w:ascii="宋体" w:hAnsi="宋体" w:eastAsia="宋体" w:cs="宋体"/>
          <w:color w:val="000000"/>
          <w:sz w:val="24"/>
          <w:szCs w:val="24"/>
          <w:highlight w:val="none"/>
          <w:lang w:val="en-US" w:eastAsia="zh-CN"/>
        </w:rPr>
        <w:t>22</w:t>
      </w:r>
      <w:r>
        <w:rPr>
          <w:rFonts w:hint="eastAsia" w:ascii="宋体" w:hAnsi="宋体" w:eastAsia="宋体" w:cs="宋体"/>
          <w:color w:val="000000"/>
          <w:sz w:val="24"/>
          <w:szCs w:val="24"/>
          <w:highlight w:val="none"/>
        </w:rPr>
        <w:t>年1月1日以来同类产品的制造销售业绩（用户名单、联系方式），并附合同复印件。该同类项目业绩一览表必</w:t>
      </w:r>
      <w:r>
        <w:rPr>
          <w:rFonts w:hint="eastAsia" w:ascii="宋体" w:hAnsi="宋体" w:eastAsia="宋体" w:cs="宋体"/>
          <w:b/>
          <w:bCs/>
          <w:color w:val="000000"/>
          <w:sz w:val="24"/>
          <w:szCs w:val="24"/>
          <w:highlight w:val="none"/>
        </w:rPr>
        <w:t>须如实填写，应全尽全</w:t>
      </w:r>
      <w:r>
        <w:rPr>
          <w:rFonts w:hint="eastAsia" w:ascii="宋体" w:hAnsi="宋体" w:eastAsia="宋体" w:cs="宋体"/>
          <w:color w:val="000000"/>
          <w:sz w:val="24"/>
          <w:szCs w:val="24"/>
          <w:highlight w:val="none"/>
        </w:rPr>
        <w:t>；</w:t>
      </w:r>
      <w:r>
        <w:rPr>
          <w:rFonts w:hint="eastAsia" w:ascii="宋体" w:hAnsi="宋体" w:eastAsia="宋体" w:cs="宋体"/>
          <w:b/>
          <w:bCs/>
          <w:color w:val="000000"/>
          <w:sz w:val="24"/>
          <w:szCs w:val="24"/>
          <w:highlight w:val="none"/>
        </w:rPr>
        <w:t>一览表最终的所有业绩合同总额汇总必填</w:t>
      </w:r>
      <w:r>
        <w:rPr>
          <w:rFonts w:hint="eastAsia" w:ascii="宋体" w:hAnsi="宋体" w:eastAsia="宋体" w:cs="宋体"/>
          <w:color w:val="000000"/>
          <w:sz w:val="24"/>
          <w:szCs w:val="24"/>
          <w:highlight w:val="none"/>
        </w:rPr>
        <w:t>，数据将影响现场评标专家组对投标单位的业绩考评。</w:t>
      </w:r>
      <w:r>
        <w:rPr>
          <w:rFonts w:hint="eastAsia" w:ascii="宋体" w:hAnsi="宋体" w:eastAsia="宋体" w:cs="宋体"/>
          <w:b/>
          <w:bCs/>
          <w:color w:val="000000"/>
          <w:sz w:val="24"/>
          <w:szCs w:val="24"/>
          <w:highlight w:val="none"/>
        </w:rPr>
        <w:t>若未提供相应业绩证明，根据技术标评分规则，将影响现场评标专家组对投标单位业绩判定打分</w:t>
      </w:r>
      <w:r>
        <w:rPr>
          <w:rFonts w:hint="eastAsia" w:ascii="宋体" w:hAnsi="宋体" w:eastAsia="宋体" w:cs="宋体"/>
          <w:b/>
          <w:color w:val="000000"/>
          <w:sz w:val="24"/>
          <w:szCs w:val="24"/>
          <w:highlight w:val="none"/>
        </w:rPr>
        <w:t>；</w:t>
      </w:r>
    </w:p>
    <w:p w14:paraId="49D2440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供货期及保证措施；</w:t>
      </w:r>
    </w:p>
    <w:p w14:paraId="158AD078">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5</w:t>
      </w:r>
      <w:r>
        <w:rPr>
          <w:rFonts w:hint="eastAsia" w:ascii="宋体" w:hAnsi="宋体" w:eastAsia="宋体" w:cs="宋体"/>
          <w:color w:val="000000"/>
          <w:sz w:val="24"/>
          <w:szCs w:val="24"/>
          <w:highlight w:val="none"/>
        </w:rPr>
        <w:t>产品的技术服务和售后服务内容及措施；</w:t>
      </w:r>
    </w:p>
    <w:p w14:paraId="3D2B24F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6</w:t>
      </w:r>
      <w:r>
        <w:rPr>
          <w:rFonts w:hint="eastAsia" w:ascii="宋体" w:hAnsi="宋体" w:eastAsia="宋体" w:cs="宋体"/>
          <w:color w:val="000000"/>
          <w:sz w:val="24"/>
          <w:szCs w:val="24"/>
          <w:highlight w:val="none"/>
        </w:rPr>
        <w:t>交货进度及计划；</w:t>
      </w:r>
    </w:p>
    <w:p w14:paraId="4A2591B2">
      <w:pPr>
        <w:spacing w:line="360" w:lineRule="auto"/>
        <w:ind w:firstLine="480" w:firstLineChars="200"/>
        <w:rPr>
          <w:rFonts w:hint="eastAsia" w:ascii="宋体" w:hAnsi="宋体" w:eastAsia="宋体" w:cs="宋体"/>
          <w:color w:val="000000"/>
          <w:sz w:val="24"/>
          <w:szCs w:val="24"/>
          <w:highlight w:val="none"/>
        </w:rPr>
      </w:pPr>
      <w:bookmarkStart w:id="29" w:name="_Toc536542319"/>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投标产品技术支持材料</w:t>
      </w:r>
      <w:bookmarkEnd w:id="29"/>
      <w:r>
        <w:rPr>
          <w:rFonts w:hint="eastAsia" w:ascii="宋体" w:hAnsi="宋体" w:eastAsia="宋体" w:cs="宋体"/>
          <w:color w:val="000000"/>
          <w:sz w:val="24"/>
          <w:szCs w:val="24"/>
          <w:highlight w:val="none"/>
        </w:rPr>
        <w:t>；</w:t>
      </w:r>
    </w:p>
    <w:p w14:paraId="53174C9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8</w:t>
      </w:r>
      <w:r>
        <w:rPr>
          <w:rFonts w:hint="eastAsia" w:ascii="宋体" w:hAnsi="宋体" w:eastAsia="宋体" w:cs="宋体"/>
          <w:color w:val="000000"/>
          <w:sz w:val="24"/>
          <w:szCs w:val="24"/>
          <w:highlight w:val="none"/>
        </w:rPr>
        <w:t>设备质量承诺函（附件7）；</w:t>
      </w:r>
    </w:p>
    <w:p w14:paraId="5978F57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9</w:t>
      </w:r>
      <w:r>
        <w:rPr>
          <w:rFonts w:hint="eastAsia" w:ascii="宋体" w:hAnsi="宋体" w:eastAsia="宋体" w:cs="宋体"/>
          <w:color w:val="000000"/>
          <w:sz w:val="24"/>
          <w:szCs w:val="24"/>
          <w:highlight w:val="none"/>
        </w:rPr>
        <w:t>投标人需提交的其它资料。</w:t>
      </w:r>
    </w:p>
    <w:p w14:paraId="1857B825">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32E75503">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3.1开标一览表（附件8）；</w:t>
      </w:r>
    </w:p>
    <w:p w14:paraId="3416B063">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3.2投标报价明细表（附件9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1576BA3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3.3商务条款偏离表（附件10）</w:t>
      </w:r>
      <w:bookmarkStart w:id="30" w:name="OLE_LINK19"/>
      <w:bookmarkStart w:id="31" w:name="OLE_LINK18"/>
      <w:r>
        <w:rPr>
          <w:rFonts w:hint="eastAsia" w:ascii="宋体" w:hAnsi="宋体" w:eastAsia="宋体" w:cs="宋体"/>
          <w:b/>
          <w:color w:val="000000"/>
          <w:sz w:val="24"/>
          <w:szCs w:val="24"/>
          <w:highlight w:val="none"/>
        </w:rPr>
        <w:t>；</w:t>
      </w:r>
      <w:bookmarkEnd w:id="30"/>
      <w:bookmarkEnd w:id="31"/>
      <w:r>
        <w:rPr>
          <w:rFonts w:hint="eastAsia" w:ascii="宋体" w:hAnsi="宋体" w:eastAsia="宋体" w:cs="宋体"/>
          <w:color w:val="000000"/>
          <w:sz w:val="24"/>
          <w:szCs w:val="24"/>
          <w:highlight w:val="none"/>
        </w:rPr>
        <w:t xml:space="preserve"> </w:t>
      </w:r>
    </w:p>
    <w:p w14:paraId="716E0B7D">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3.4投标人承诺（附件11）</w:t>
      </w:r>
      <w:r>
        <w:rPr>
          <w:rFonts w:hint="eastAsia" w:ascii="宋体" w:hAnsi="宋体" w:eastAsia="宋体" w:cs="宋体"/>
          <w:b/>
          <w:color w:val="000000"/>
          <w:sz w:val="24"/>
          <w:szCs w:val="24"/>
          <w:highlight w:val="none"/>
        </w:rPr>
        <w:t>；</w:t>
      </w:r>
    </w:p>
    <w:p w14:paraId="296376BB">
      <w:pPr>
        <w:spacing w:line="360" w:lineRule="auto"/>
        <w:ind w:firstLine="480" w:firstLineChars="200"/>
        <w:rPr>
          <w:rFonts w:hint="eastAsia"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3.5服务承诺函（附件12），</w:t>
      </w:r>
      <w:r>
        <w:rPr>
          <w:rFonts w:hint="eastAsia" w:ascii="宋体" w:hAnsi="宋体" w:eastAsia="宋体" w:cs="宋体"/>
          <w:b/>
          <w:color w:val="000000"/>
          <w:sz w:val="24"/>
          <w:szCs w:val="24"/>
          <w:highlight w:val="none"/>
        </w:rPr>
        <w:t>需写明质保期以外服务费用情况</w:t>
      </w:r>
      <w:r>
        <w:rPr>
          <w:rFonts w:hint="eastAsia" w:ascii="宋体" w:hAnsi="宋体" w:eastAsia="宋体" w:cs="宋体"/>
          <w:color w:val="000000"/>
          <w:sz w:val="24"/>
          <w:szCs w:val="24"/>
          <w:highlight w:val="none"/>
        </w:rPr>
        <w:t>；</w:t>
      </w:r>
    </w:p>
    <w:p w14:paraId="4A8B4F5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3.6按招标文件投标人须知和技术规格书中要求提供的有关文件。</w:t>
      </w:r>
    </w:p>
    <w:p w14:paraId="08A3943B">
      <w:pPr>
        <w:keepNext/>
        <w:keepLines/>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四、投标文件格式</w:t>
      </w:r>
    </w:p>
    <w:p w14:paraId="7DDF224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详见第</w:t>
      </w:r>
      <w:r>
        <w:rPr>
          <w:rFonts w:hint="eastAsia" w:ascii="宋体" w:hAnsi="宋体" w:eastAsia="宋体" w:cs="宋体"/>
          <w:color w:val="000000"/>
          <w:sz w:val="24"/>
          <w:szCs w:val="24"/>
          <w:highlight w:val="none"/>
          <w:lang w:val="en-US" w:eastAsia="zh-CN"/>
        </w:rPr>
        <w:t>六</w:t>
      </w:r>
      <w:r>
        <w:rPr>
          <w:rFonts w:hint="eastAsia" w:ascii="宋体" w:hAnsi="宋体" w:eastAsia="宋体" w:cs="宋体"/>
          <w:color w:val="000000"/>
          <w:sz w:val="24"/>
          <w:szCs w:val="24"/>
          <w:highlight w:val="none"/>
        </w:rPr>
        <w:t>部分投标文件附件格式1—13，其余未尽事宜请按各单位习惯制定即可。</w:t>
      </w:r>
    </w:p>
    <w:p w14:paraId="2999D5AD">
      <w:pPr>
        <w:pStyle w:val="17"/>
        <w:jc w:val="center"/>
        <w:rPr>
          <w:rFonts w:ascii="Calibri" w:hAnsi="Calibri" w:eastAsia="宋体" w:cs="Times New Roman"/>
          <w:b/>
          <w:bCs/>
          <w:kern w:val="44"/>
          <w:sz w:val="36"/>
          <w:szCs w:val="44"/>
          <w:highlight w:val="none"/>
        </w:rPr>
        <w:sectPr>
          <w:pgSz w:w="11907" w:h="16840"/>
          <w:pgMar w:top="1304" w:right="1418" w:bottom="1304" w:left="1418" w:header="724" w:footer="851" w:gutter="0"/>
          <w:cols w:space="720" w:num="1"/>
          <w:docGrid w:linePitch="290" w:charSpace="-3931"/>
        </w:sectPr>
      </w:pPr>
    </w:p>
    <w:bookmarkEnd w:id="0"/>
    <w:bookmarkEnd w:id="1"/>
    <w:p w14:paraId="2E348ACE">
      <w:pPr>
        <w:keepNext/>
        <w:keepLines/>
        <w:jc w:val="center"/>
        <w:outlineLvl w:val="0"/>
        <w:rPr>
          <w:rFonts w:ascii="Calibri" w:hAnsi="Calibri" w:eastAsia="宋体" w:cs="Times New Roman"/>
          <w:b/>
          <w:bCs/>
          <w:kern w:val="44"/>
          <w:sz w:val="36"/>
          <w:szCs w:val="44"/>
          <w:highlight w:val="none"/>
        </w:rPr>
      </w:pPr>
      <w:bookmarkStart w:id="32" w:name="_Toc9849"/>
      <w:r>
        <w:rPr>
          <w:rFonts w:hint="eastAsia" w:ascii="Calibri" w:hAnsi="Calibri" w:eastAsia="宋体" w:cs="Times New Roman"/>
          <w:b/>
          <w:bCs/>
          <w:kern w:val="44"/>
          <w:sz w:val="36"/>
          <w:szCs w:val="44"/>
          <w:highlight w:val="none"/>
        </w:rPr>
        <w:t>第四部分 技术标书</w:t>
      </w:r>
      <w:bookmarkEnd w:id="32"/>
    </w:p>
    <w:p w14:paraId="527ED34F">
      <w:pPr>
        <w:pStyle w:val="17"/>
        <w:rPr>
          <w:highlight w:val="none"/>
        </w:rPr>
      </w:pPr>
    </w:p>
    <w:p w14:paraId="36ED0687">
      <w:pPr>
        <w:jc w:val="center"/>
        <w:rPr>
          <w:rFonts w:hint="eastAsia" w:ascii="Calibri" w:hAnsi="宋体" w:eastAsia="宋体" w:cs="Times New Roman"/>
          <w:b/>
          <w:bCs/>
          <w:color w:val="000000"/>
          <w:spacing w:val="-8"/>
          <w:sz w:val="48"/>
          <w:szCs w:val="44"/>
          <w:highlight w:val="none"/>
        </w:rPr>
      </w:pPr>
      <w:r>
        <w:rPr>
          <w:rFonts w:hint="eastAsia" w:ascii="Calibri" w:hAnsi="宋体" w:eastAsia="宋体" w:cs="Times New Roman"/>
          <w:b/>
          <w:bCs/>
          <w:color w:val="000000"/>
          <w:spacing w:val="-8"/>
          <w:sz w:val="48"/>
          <w:szCs w:val="44"/>
          <w:highlight w:val="none"/>
        </w:rPr>
        <w:t>中国重汽集团济南动力有限公司</w:t>
      </w:r>
    </w:p>
    <w:p w14:paraId="308182F9">
      <w:pPr>
        <w:spacing w:line="276" w:lineRule="auto"/>
        <w:jc w:val="center"/>
        <w:rPr>
          <w:rFonts w:hint="eastAsia" w:ascii="Calibri" w:hAnsi="Calibri" w:eastAsia="宋体" w:cs="Times New Roman"/>
          <w:color w:val="000000"/>
          <w:sz w:val="28"/>
          <w:szCs w:val="28"/>
          <w:highlight w:val="none"/>
          <w:lang w:eastAsia="zh-CN"/>
        </w:rPr>
      </w:pPr>
      <w:r>
        <w:rPr>
          <w:rFonts w:hint="eastAsia" w:ascii="Calibri" w:hAnsi="宋体" w:eastAsia="宋体" w:cs="Times New Roman"/>
          <w:b/>
          <w:bCs/>
          <w:color w:val="000000"/>
          <w:spacing w:val="-8"/>
          <w:sz w:val="48"/>
          <w:szCs w:val="44"/>
          <w:highlight w:val="none"/>
          <w:lang w:val="en-US" w:eastAsia="zh-CN"/>
        </w:rPr>
        <w:t>济南发动机厂拉鲁定位装置和台中测量装置开发项目</w:t>
      </w:r>
    </w:p>
    <w:p w14:paraId="1B7E1E4F">
      <w:pPr>
        <w:pStyle w:val="17"/>
        <w:rPr>
          <w:highlight w:val="none"/>
        </w:rPr>
      </w:pPr>
    </w:p>
    <w:p w14:paraId="19FD0B8C">
      <w:pPr>
        <w:pStyle w:val="17"/>
        <w:rPr>
          <w:highlight w:val="none"/>
        </w:rPr>
      </w:pPr>
    </w:p>
    <w:p w14:paraId="4C2CE348">
      <w:pPr>
        <w:pStyle w:val="17"/>
        <w:rPr>
          <w:highlight w:val="none"/>
        </w:rPr>
      </w:pPr>
    </w:p>
    <w:p w14:paraId="200DD2CC">
      <w:pPr>
        <w:jc w:val="both"/>
        <w:rPr>
          <w:rFonts w:hint="eastAsia" w:ascii="黑体" w:hAnsi="宋体" w:eastAsia="黑体" w:cs="Times New Roman"/>
          <w:color w:val="000000"/>
          <w:sz w:val="72"/>
          <w:szCs w:val="72"/>
          <w:highlight w:val="none"/>
        </w:rPr>
      </w:pPr>
    </w:p>
    <w:p w14:paraId="3FC684FB">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14:paraId="63411AE8">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14:paraId="0BEFCCEF">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49612774">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14:paraId="5ACA8BD2">
      <w:pPr>
        <w:pStyle w:val="17"/>
        <w:rPr>
          <w:highlight w:val="none"/>
        </w:rPr>
      </w:pPr>
    </w:p>
    <w:p w14:paraId="3A35F868">
      <w:pPr>
        <w:pStyle w:val="17"/>
        <w:rPr>
          <w:rFonts w:ascii="黑体" w:hAnsi="宋体" w:eastAsia="黑体" w:cs="Times New Roman"/>
          <w:color w:val="000000"/>
          <w:sz w:val="72"/>
          <w:szCs w:val="72"/>
          <w:highlight w:val="none"/>
        </w:rPr>
      </w:pPr>
    </w:p>
    <w:p w14:paraId="7D425D6E">
      <w:pPr>
        <w:spacing w:line="860" w:lineRule="exact"/>
        <w:rPr>
          <w:rFonts w:ascii="华文仿宋" w:hAnsi="华文仿宋" w:eastAsia="华文仿宋"/>
          <w:b/>
          <w:bCs/>
          <w:sz w:val="32"/>
          <w:szCs w:val="28"/>
          <w:highlight w:val="none"/>
        </w:rPr>
      </w:pPr>
      <w:r>
        <w:rPr>
          <w:rFonts w:hint="eastAsia" w:ascii="华文仿宋" w:hAnsi="华文仿宋" w:eastAsia="华文仿宋"/>
          <w:sz w:val="32"/>
          <w:szCs w:val="28"/>
          <w:highlight w:val="none"/>
        </w:rPr>
        <w:t xml:space="preserve">                </w:t>
      </w:r>
      <w:r>
        <w:rPr>
          <w:rFonts w:hint="eastAsia" w:ascii="华文仿宋" w:hAnsi="华文仿宋" w:eastAsia="华文仿宋"/>
          <w:b/>
          <w:bCs/>
          <w:sz w:val="32"/>
          <w:szCs w:val="28"/>
          <w:highlight w:val="none"/>
        </w:rPr>
        <w:t xml:space="preserve"> 编制：  </w:t>
      </w:r>
      <w:r>
        <w:rPr>
          <w:rFonts w:hint="eastAsia" w:ascii="华文仿宋" w:hAnsi="华文仿宋" w:eastAsia="华文仿宋"/>
          <w:b/>
          <w:bCs/>
          <w:sz w:val="32"/>
          <w:szCs w:val="28"/>
          <w:highlight w:val="none"/>
          <w:lang w:val="en-US" w:eastAsia="zh-CN"/>
        </w:rPr>
        <w:t xml:space="preserve"> 彭 亮</w:t>
      </w:r>
      <w:r>
        <w:rPr>
          <w:rFonts w:hint="eastAsia" w:ascii="华文仿宋" w:hAnsi="华文仿宋" w:eastAsia="华文仿宋"/>
          <w:b/>
          <w:bCs/>
          <w:sz w:val="32"/>
          <w:szCs w:val="28"/>
          <w:highlight w:val="none"/>
        </w:rPr>
        <w:t xml:space="preserve"> </w:t>
      </w:r>
      <w:r>
        <w:rPr>
          <w:rFonts w:hint="eastAsia" w:ascii="华文仿宋" w:hAnsi="华文仿宋" w:eastAsia="华文仿宋"/>
          <w:b/>
          <w:bCs/>
          <w:sz w:val="32"/>
          <w:szCs w:val="28"/>
          <w:highlight w:val="none"/>
          <w:lang w:val="en-US" w:eastAsia="zh-CN"/>
        </w:rPr>
        <w:t>王 森</w:t>
      </w:r>
      <w:r>
        <w:rPr>
          <w:rFonts w:hint="eastAsia" w:ascii="华文仿宋" w:hAnsi="华文仿宋" w:eastAsia="华文仿宋"/>
          <w:b/>
          <w:bCs/>
          <w:sz w:val="32"/>
          <w:szCs w:val="28"/>
          <w:highlight w:val="none"/>
        </w:rPr>
        <w:t xml:space="preserve">          </w:t>
      </w:r>
    </w:p>
    <w:p w14:paraId="4C52B0F2">
      <w:pPr>
        <w:spacing w:line="860" w:lineRule="exact"/>
        <w:ind w:left="4164" w:hanging="4176" w:hangingChars="1300"/>
        <w:rPr>
          <w:rFonts w:hint="eastAsia"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审核：   </w:t>
      </w:r>
      <w:r>
        <w:rPr>
          <w:rFonts w:hint="eastAsia" w:ascii="华文仿宋" w:hAnsi="华文仿宋" w:eastAsia="华文仿宋"/>
          <w:b/>
          <w:bCs/>
          <w:sz w:val="32"/>
          <w:szCs w:val="28"/>
          <w:highlight w:val="none"/>
          <w:lang w:val="en-US" w:eastAsia="zh-CN"/>
        </w:rPr>
        <w:t>苏 磊</w:t>
      </w:r>
      <w:r>
        <w:rPr>
          <w:rFonts w:hint="eastAsia" w:ascii="华文仿宋" w:hAnsi="华文仿宋" w:eastAsia="华文仿宋"/>
          <w:b/>
          <w:bCs/>
          <w:sz w:val="32"/>
          <w:szCs w:val="28"/>
          <w:highlight w:val="none"/>
        </w:rPr>
        <w:t xml:space="preserve"> </w:t>
      </w:r>
    </w:p>
    <w:p w14:paraId="4000EF94">
      <w:pPr>
        <w:spacing w:line="860" w:lineRule="exact"/>
        <w:ind w:firstLine="2570" w:firstLineChars="800"/>
        <w:rPr>
          <w:rFonts w:hint="eastAsia" w:ascii="华文仿宋" w:hAnsi="华文仿宋" w:eastAsia="华文仿宋"/>
          <w:b/>
          <w:bCs/>
          <w:sz w:val="32"/>
          <w:szCs w:val="28"/>
          <w:highlight w:val="none"/>
          <w:lang w:val="en-US" w:eastAsia="zh-CN"/>
        </w:rPr>
      </w:pPr>
      <w:r>
        <w:rPr>
          <w:rFonts w:hint="eastAsia" w:ascii="华文仿宋" w:hAnsi="华文仿宋" w:eastAsia="华文仿宋"/>
          <w:b/>
          <w:bCs/>
          <w:sz w:val="32"/>
          <w:szCs w:val="28"/>
          <w:highlight w:val="none"/>
          <w:lang w:val="en-US" w:eastAsia="zh-CN"/>
        </w:rPr>
        <w:t>会签：屈定国、袁志法、庄福河、彭昆、</w:t>
      </w:r>
      <w:r>
        <w:rPr>
          <w:rFonts w:hint="eastAsia" w:ascii="华文仿宋" w:hAnsi="华文仿宋" w:eastAsia="华文仿宋"/>
          <w:b/>
          <w:bCs/>
          <w:sz w:val="32"/>
          <w:szCs w:val="28"/>
          <w:highlight w:val="none"/>
        </w:rPr>
        <w:t xml:space="preserve"> </w:t>
      </w:r>
      <w:r>
        <w:rPr>
          <w:rFonts w:hint="eastAsia" w:ascii="华文仿宋" w:hAnsi="华文仿宋" w:eastAsia="华文仿宋"/>
          <w:b/>
          <w:bCs/>
          <w:sz w:val="32"/>
          <w:szCs w:val="28"/>
          <w:highlight w:val="none"/>
          <w:lang w:val="en-US" w:eastAsia="zh-CN"/>
        </w:rPr>
        <w:t>赵鑫</w:t>
      </w:r>
    </w:p>
    <w:p w14:paraId="66C3A4E0">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批准：   </w:t>
      </w:r>
      <w:r>
        <w:rPr>
          <w:rFonts w:hint="eastAsia" w:ascii="华文仿宋" w:hAnsi="华文仿宋" w:eastAsia="华文仿宋"/>
          <w:b/>
          <w:bCs/>
          <w:sz w:val="32"/>
          <w:szCs w:val="28"/>
          <w:highlight w:val="none"/>
          <w:lang w:val="en-US" w:eastAsia="zh-CN"/>
        </w:rPr>
        <w:t>李成伍</w:t>
      </w:r>
      <w:r>
        <w:rPr>
          <w:rFonts w:hint="eastAsia" w:ascii="华文仿宋" w:hAnsi="华文仿宋" w:eastAsia="华文仿宋"/>
          <w:b/>
          <w:bCs/>
          <w:sz w:val="32"/>
          <w:szCs w:val="28"/>
          <w:highlight w:val="none"/>
        </w:rPr>
        <w:t xml:space="preserve"> </w:t>
      </w:r>
    </w:p>
    <w:p w14:paraId="12685AB0">
      <w:pPr>
        <w:pStyle w:val="17"/>
        <w:rPr>
          <w:b/>
          <w:bCs/>
          <w:highlight w:val="none"/>
        </w:rPr>
      </w:pPr>
    </w:p>
    <w:p w14:paraId="425015A9">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人：中国重汽集团济南动力有限公司</w:t>
      </w:r>
    </w:p>
    <w:p w14:paraId="5B1B830D">
      <w:pPr>
        <w:jc w:val="center"/>
        <w:rPr>
          <w:rFonts w:ascii="Calibri" w:hAnsi="Calibri" w:eastAsia="宋体" w:cs="Times New Roman"/>
          <w:b/>
          <w:bCs/>
          <w:kern w:val="44"/>
          <w:sz w:val="36"/>
          <w:szCs w:val="44"/>
          <w:highlight w:val="none"/>
        </w:rPr>
      </w:pPr>
      <w:r>
        <w:rPr>
          <w:rFonts w:hint="eastAsia" w:ascii="Calibri" w:hAnsi="Calibri" w:eastAsia="宋体" w:cs="Times New Roman"/>
          <w:color w:val="000000"/>
          <w:sz w:val="28"/>
          <w:szCs w:val="28"/>
          <w:highlight w:val="none"/>
          <w:lang w:eastAsia="zh-CN"/>
        </w:rPr>
        <w:t>2025年</w:t>
      </w:r>
      <w:r>
        <w:rPr>
          <w:rFonts w:hint="eastAsia" w:ascii="Calibri" w:hAnsi="Calibri" w:eastAsia="宋体" w:cs="Times New Roman"/>
          <w:color w:val="000000"/>
          <w:sz w:val="28"/>
          <w:szCs w:val="28"/>
          <w:highlight w:val="none"/>
          <w:lang w:val="en-US" w:eastAsia="zh-CN"/>
        </w:rPr>
        <w:t>10</w:t>
      </w:r>
      <w:r>
        <w:rPr>
          <w:rFonts w:hint="eastAsia" w:ascii="Calibri" w:hAnsi="Calibri" w:eastAsia="宋体" w:cs="Times New Roman"/>
          <w:color w:val="000000"/>
          <w:sz w:val="28"/>
          <w:szCs w:val="28"/>
          <w:highlight w:val="none"/>
          <w:lang w:eastAsia="zh-CN"/>
        </w:rPr>
        <w:t>月</w:t>
      </w:r>
    </w:p>
    <w:p w14:paraId="297B4F57">
      <w:pPr>
        <w:spacing w:line="360" w:lineRule="auto"/>
        <w:rPr>
          <w:rFonts w:ascii="宋体" w:hAnsi="宋体" w:eastAsia="宋体" w:cs="Times New Roman"/>
          <w:b/>
          <w:sz w:val="36"/>
          <w:szCs w:val="36"/>
          <w:highlight w:val="none"/>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3B640EA0">
      <w:pPr>
        <w:ind w:firstLine="880"/>
        <w:rPr>
          <w:rFonts w:hint="eastAsia" w:ascii="黑体" w:hAnsi="宋体" w:eastAsia="黑体"/>
          <w:sz w:val="44"/>
          <w:szCs w:val="44"/>
          <w:highlight w:val="none"/>
        </w:rPr>
      </w:pPr>
      <w:bookmarkStart w:id="33" w:name="_Toc169605877"/>
      <w:bookmarkStart w:id="34" w:name="_Toc257037877"/>
      <w:bookmarkStart w:id="35" w:name="_Toc137705865"/>
      <w:bookmarkStart w:id="36" w:name="_Toc227726571"/>
      <w:bookmarkStart w:id="37" w:name="_Toc465187648"/>
      <w:bookmarkStart w:id="38" w:name="_Toc257033749"/>
      <w:bookmarkStart w:id="39" w:name="_Toc227726361"/>
      <w:bookmarkStart w:id="40" w:name="_Toc127880405"/>
    </w:p>
    <w:p w14:paraId="4F10EC99">
      <w:pPr>
        <w:spacing w:line="480" w:lineRule="exact"/>
        <w:jc w:val="center"/>
        <w:rPr>
          <w:rFonts w:hint="eastAsia" w:ascii="宋体" w:hAnsi="宋体"/>
          <w:sz w:val="32"/>
          <w:szCs w:val="32"/>
          <w:highlight w:val="none"/>
        </w:rPr>
      </w:pPr>
      <w:r>
        <w:rPr>
          <w:rFonts w:hint="eastAsia" w:ascii="黑体" w:hAnsi="宋体" w:eastAsia="黑体"/>
          <w:sz w:val="32"/>
          <w:szCs w:val="32"/>
          <w:highlight w:val="none"/>
        </w:rPr>
        <w:t>目        录</w:t>
      </w:r>
    </w:p>
    <w:p w14:paraId="2C17FB3A">
      <w:pPr>
        <w:spacing w:line="480" w:lineRule="exact"/>
        <w:rPr>
          <w:rFonts w:hint="eastAsia" w:ascii="宋体" w:hAnsi="宋体"/>
          <w:sz w:val="24"/>
          <w:szCs w:val="24"/>
          <w:highlight w:val="none"/>
        </w:rPr>
      </w:pPr>
    </w:p>
    <w:p w14:paraId="059DFCBB">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TOC \o "1-2" \h \z \u </w:instrText>
      </w:r>
      <w:r>
        <w:rPr>
          <w:rFonts w:hint="eastAsia" w:ascii="宋体" w:hAnsi="宋体"/>
          <w:b w:val="0"/>
          <w:bCs/>
          <w:color w:val="auto"/>
          <w:sz w:val="24"/>
          <w:szCs w:val="24"/>
          <w:highlight w:val="none"/>
        </w:rPr>
        <w:fldChar w:fldCharType="separate"/>
      </w: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_Toc2567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第一章  采购货物概况</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_Toc2567 </w:instrText>
      </w:r>
      <w:r>
        <w:rPr>
          <w:b w:val="0"/>
          <w:bCs/>
          <w:color w:val="auto"/>
          <w:sz w:val="24"/>
          <w:szCs w:val="24"/>
          <w:highlight w:val="none"/>
        </w:rPr>
        <w:fldChar w:fldCharType="separate"/>
      </w:r>
      <w:r>
        <w:rPr>
          <w:b w:val="0"/>
          <w:bCs/>
          <w:color w:val="auto"/>
          <w:sz w:val="24"/>
          <w:szCs w:val="24"/>
          <w:highlight w:val="none"/>
        </w:rPr>
        <w:t>1</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5D7DB278">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_Toc32262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第二章  技术要求</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_Toc32262 </w:instrText>
      </w:r>
      <w:r>
        <w:rPr>
          <w:b w:val="0"/>
          <w:bCs/>
          <w:color w:val="auto"/>
          <w:sz w:val="24"/>
          <w:szCs w:val="24"/>
          <w:highlight w:val="none"/>
        </w:rPr>
        <w:fldChar w:fldCharType="separate"/>
      </w:r>
      <w:r>
        <w:rPr>
          <w:b w:val="0"/>
          <w:bCs/>
          <w:color w:val="auto"/>
          <w:sz w:val="24"/>
          <w:szCs w:val="24"/>
          <w:highlight w:val="none"/>
        </w:rPr>
        <w:t>3</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509BF817">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_Toc10963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第三章  供货范围及供货方式</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_Toc10963 </w:instrText>
      </w:r>
      <w:r>
        <w:rPr>
          <w:b w:val="0"/>
          <w:bCs/>
          <w:color w:val="auto"/>
          <w:sz w:val="24"/>
          <w:szCs w:val="24"/>
          <w:highlight w:val="none"/>
        </w:rPr>
        <w:fldChar w:fldCharType="separate"/>
      </w:r>
      <w:r>
        <w:rPr>
          <w:b w:val="0"/>
          <w:bCs/>
          <w:color w:val="auto"/>
          <w:sz w:val="24"/>
          <w:szCs w:val="24"/>
          <w:highlight w:val="none"/>
        </w:rPr>
        <w:t>11</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111221C1">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_Toc30960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第四章  售中售后服务</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_Toc30960 </w:instrText>
      </w:r>
      <w:r>
        <w:rPr>
          <w:b w:val="0"/>
          <w:bCs/>
          <w:color w:val="auto"/>
          <w:sz w:val="24"/>
          <w:szCs w:val="24"/>
          <w:highlight w:val="none"/>
        </w:rPr>
        <w:fldChar w:fldCharType="separate"/>
      </w:r>
      <w:r>
        <w:rPr>
          <w:b w:val="0"/>
          <w:bCs/>
          <w:color w:val="auto"/>
          <w:sz w:val="24"/>
          <w:szCs w:val="24"/>
          <w:highlight w:val="none"/>
        </w:rPr>
        <w:t>16</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78098D46">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_Toc21539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第五章  预验收和终验收</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_Toc21539 </w:instrText>
      </w:r>
      <w:r>
        <w:rPr>
          <w:b w:val="0"/>
          <w:bCs/>
          <w:color w:val="auto"/>
          <w:sz w:val="24"/>
          <w:szCs w:val="24"/>
          <w:highlight w:val="none"/>
        </w:rPr>
        <w:fldChar w:fldCharType="separate"/>
      </w:r>
      <w:r>
        <w:rPr>
          <w:b w:val="0"/>
          <w:bCs/>
          <w:color w:val="auto"/>
          <w:sz w:val="24"/>
          <w:szCs w:val="24"/>
          <w:highlight w:val="none"/>
        </w:rPr>
        <w:t>18</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4D9389C7">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_Toc12996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第六章  投标技术文件一般要求</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_Toc12996 </w:instrText>
      </w:r>
      <w:r>
        <w:rPr>
          <w:b w:val="0"/>
          <w:bCs/>
          <w:color w:val="auto"/>
          <w:sz w:val="24"/>
          <w:szCs w:val="24"/>
          <w:highlight w:val="none"/>
        </w:rPr>
        <w:fldChar w:fldCharType="separate"/>
      </w:r>
      <w:r>
        <w:rPr>
          <w:b w:val="0"/>
          <w:bCs/>
          <w:color w:val="auto"/>
          <w:sz w:val="24"/>
          <w:szCs w:val="24"/>
          <w:highlight w:val="none"/>
        </w:rPr>
        <w:t>21</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77FB9703">
      <w:pPr>
        <w:pStyle w:val="24"/>
        <w:tabs>
          <w:tab w:val="right" w:leader="dot" w:pos="8787"/>
        </w:tabs>
        <w:spacing w:line="480" w:lineRule="auto"/>
        <w:rPr>
          <w:b w:val="0"/>
          <w:bCs/>
          <w:color w:val="auto"/>
          <w:sz w:val="24"/>
          <w:szCs w:val="24"/>
          <w:highlight w:val="none"/>
        </w:rPr>
      </w:pPr>
      <w:r>
        <w:rPr>
          <w:rFonts w:hint="eastAsia" w:ascii="宋体" w:hAnsi="宋体"/>
          <w:b w:val="0"/>
          <w:bCs/>
          <w:color w:val="auto"/>
          <w:sz w:val="24"/>
          <w:szCs w:val="24"/>
          <w:highlight w:val="none"/>
        </w:rPr>
        <w:fldChar w:fldCharType="begin"/>
      </w:r>
      <w:r>
        <w:rPr>
          <w:rFonts w:hint="eastAsia" w:ascii="宋体" w:hAnsi="宋体"/>
          <w:b w:val="0"/>
          <w:bCs/>
          <w:color w:val="auto"/>
          <w:sz w:val="24"/>
          <w:szCs w:val="24"/>
          <w:highlight w:val="none"/>
        </w:rPr>
        <w:instrText xml:space="preserve"> HYPERLINK \l _Toc31849 </w:instrText>
      </w:r>
      <w:r>
        <w:rPr>
          <w:rFonts w:hint="eastAsia" w:ascii="宋体" w:hAnsi="宋体"/>
          <w:b w:val="0"/>
          <w:bCs/>
          <w:color w:val="auto"/>
          <w:sz w:val="24"/>
          <w:szCs w:val="24"/>
          <w:highlight w:val="none"/>
        </w:rPr>
        <w:fldChar w:fldCharType="separate"/>
      </w:r>
      <w:r>
        <w:rPr>
          <w:rFonts w:hint="eastAsia" w:ascii="黑体" w:eastAsia="黑体"/>
          <w:b w:val="0"/>
          <w:bCs/>
          <w:color w:val="auto"/>
          <w:sz w:val="24"/>
          <w:szCs w:val="24"/>
          <w:highlight w:val="none"/>
        </w:rPr>
        <w:t>第七章  其它要求及说明</w:t>
      </w:r>
      <w:r>
        <w:rPr>
          <w:b w:val="0"/>
          <w:bCs/>
          <w:color w:val="auto"/>
          <w:sz w:val="24"/>
          <w:szCs w:val="24"/>
          <w:highlight w:val="none"/>
        </w:rPr>
        <w:tab/>
      </w:r>
      <w:r>
        <w:rPr>
          <w:b w:val="0"/>
          <w:bCs/>
          <w:color w:val="auto"/>
          <w:sz w:val="24"/>
          <w:szCs w:val="24"/>
          <w:highlight w:val="none"/>
        </w:rPr>
        <w:fldChar w:fldCharType="begin"/>
      </w:r>
      <w:r>
        <w:rPr>
          <w:b w:val="0"/>
          <w:bCs/>
          <w:color w:val="auto"/>
          <w:sz w:val="24"/>
          <w:szCs w:val="24"/>
          <w:highlight w:val="none"/>
        </w:rPr>
        <w:instrText xml:space="preserve"> PAGEREF _Toc31849 </w:instrText>
      </w:r>
      <w:r>
        <w:rPr>
          <w:b w:val="0"/>
          <w:bCs/>
          <w:color w:val="auto"/>
          <w:sz w:val="24"/>
          <w:szCs w:val="24"/>
          <w:highlight w:val="none"/>
        </w:rPr>
        <w:fldChar w:fldCharType="separate"/>
      </w:r>
      <w:r>
        <w:rPr>
          <w:b w:val="0"/>
          <w:bCs/>
          <w:color w:val="auto"/>
          <w:sz w:val="24"/>
          <w:szCs w:val="24"/>
          <w:highlight w:val="none"/>
        </w:rPr>
        <w:t>23</w:t>
      </w:r>
      <w:r>
        <w:rPr>
          <w:b w:val="0"/>
          <w:bCs/>
          <w:color w:val="auto"/>
          <w:sz w:val="24"/>
          <w:szCs w:val="24"/>
          <w:highlight w:val="none"/>
        </w:rPr>
        <w:fldChar w:fldCharType="end"/>
      </w:r>
      <w:r>
        <w:rPr>
          <w:rFonts w:hint="eastAsia" w:ascii="宋体" w:hAnsi="宋体"/>
          <w:b w:val="0"/>
          <w:bCs/>
          <w:color w:val="auto"/>
          <w:sz w:val="24"/>
          <w:szCs w:val="24"/>
          <w:highlight w:val="none"/>
        </w:rPr>
        <w:fldChar w:fldCharType="end"/>
      </w:r>
    </w:p>
    <w:p w14:paraId="774C752A">
      <w:pPr>
        <w:spacing w:line="480" w:lineRule="auto"/>
        <w:rPr>
          <w:rFonts w:hint="eastAsia" w:ascii="宋体" w:hAnsi="宋体"/>
          <w:highlight w:val="none"/>
        </w:rPr>
      </w:pPr>
      <w:r>
        <w:rPr>
          <w:rFonts w:hint="eastAsia" w:ascii="宋体" w:hAnsi="宋体"/>
          <w:b w:val="0"/>
          <w:bCs/>
          <w:color w:val="auto"/>
          <w:sz w:val="24"/>
          <w:szCs w:val="24"/>
          <w:highlight w:val="none"/>
        </w:rPr>
        <w:fldChar w:fldCharType="end"/>
      </w:r>
    </w:p>
    <w:p w14:paraId="049D047E">
      <w:pPr>
        <w:spacing w:line="480" w:lineRule="exact"/>
        <w:ind w:firstLine="840" w:firstLineChars="400"/>
        <w:rPr>
          <w:rFonts w:hint="eastAsia" w:ascii="黑体" w:hAnsi="宋体" w:eastAsia="黑体"/>
          <w:highlight w:val="none"/>
        </w:rPr>
      </w:pPr>
    </w:p>
    <w:p w14:paraId="26CA00E4">
      <w:pPr>
        <w:spacing w:line="480" w:lineRule="exact"/>
        <w:ind w:firstLine="840" w:firstLineChars="400"/>
        <w:rPr>
          <w:rFonts w:hint="eastAsia" w:ascii="黑体" w:hAnsi="宋体" w:eastAsia="黑体"/>
          <w:highlight w:val="none"/>
        </w:rPr>
      </w:pPr>
    </w:p>
    <w:p w14:paraId="7BD47CA5">
      <w:pPr>
        <w:spacing w:line="480" w:lineRule="exact"/>
        <w:ind w:firstLine="840" w:firstLineChars="400"/>
        <w:rPr>
          <w:rFonts w:ascii="黑体" w:hAnsi="宋体" w:eastAsia="黑体"/>
          <w:highlight w:val="none"/>
        </w:rPr>
        <w:sectPr>
          <w:headerReference r:id="rId12" w:type="default"/>
          <w:footerReference r:id="rId13" w:type="default"/>
          <w:pgSz w:w="11906" w:h="16838"/>
          <w:pgMar w:top="1701" w:right="1418" w:bottom="1134" w:left="1701" w:header="1021" w:footer="680" w:gutter="0"/>
          <w:pgNumType w:start="1"/>
          <w:cols w:space="720" w:num="1"/>
          <w:docGrid w:type="lines" w:linePitch="312" w:charSpace="0"/>
        </w:sectPr>
      </w:pPr>
    </w:p>
    <w:p w14:paraId="69E25D6C">
      <w:pPr>
        <w:pStyle w:val="2"/>
        <w:spacing w:before="120" w:after="120" w:line="480" w:lineRule="exact"/>
        <w:jc w:val="center"/>
        <w:rPr>
          <w:rFonts w:hint="eastAsia" w:ascii="宋体" w:hAnsi="宋体" w:eastAsia="宋体" w:cs="宋体"/>
          <w:b/>
          <w:bCs w:val="0"/>
          <w:sz w:val="28"/>
          <w:szCs w:val="28"/>
          <w:highlight w:val="none"/>
        </w:rPr>
      </w:pPr>
      <w:bookmarkStart w:id="41" w:name="_Toc1271"/>
      <w:bookmarkStart w:id="42" w:name="_Toc28854"/>
      <w:bookmarkStart w:id="43" w:name="_Toc2894"/>
      <w:bookmarkStart w:id="44" w:name="_Toc2567"/>
      <w:r>
        <w:rPr>
          <w:rFonts w:hint="eastAsia" w:ascii="宋体" w:hAnsi="宋体" w:eastAsia="宋体" w:cs="宋体"/>
          <w:b/>
          <w:bCs w:val="0"/>
          <w:sz w:val="28"/>
          <w:szCs w:val="28"/>
          <w:highlight w:val="none"/>
        </w:rPr>
        <w:t>第一章  采购货物概况</w:t>
      </w:r>
      <w:bookmarkEnd w:id="41"/>
      <w:bookmarkEnd w:id="42"/>
      <w:bookmarkEnd w:id="43"/>
      <w:bookmarkEnd w:id="44"/>
    </w:p>
    <w:p w14:paraId="17220316">
      <w:pPr>
        <w:spacing w:line="480" w:lineRule="exact"/>
        <w:rPr>
          <w:rFonts w:hint="eastAsia" w:ascii="黑体" w:hAnsi="宋体" w:eastAsia="黑体"/>
          <w:highlight w:val="none"/>
        </w:rPr>
      </w:pPr>
    </w:p>
    <w:p w14:paraId="652F9938">
      <w:pPr>
        <w:pStyle w:val="4"/>
        <w:spacing w:before="120" w:after="120" w:line="480" w:lineRule="exact"/>
        <w:jc w:val="center"/>
        <w:rPr>
          <w:rFonts w:hint="eastAsia" w:ascii="宋体" w:hAnsi="宋体" w:eastAsia="宋体" w:cs="宋体"/>
          <w:b w:val="0"/>
          <w:sz w:val="24"/>
          <w:szCs w:val="24"/>
          <w:highlight w:val="none"/>
        </w:rPr>
      </w:pPr>
      <w:bookmarkStart w:id="45" w:name="_Toc9247"/>
      <w:bookmarkStart w:id="46" w:name="_Toc13530"/>
      <w:bookmarkStart w:id="47" w:name="_Toc24900"/>
      <w:bookmarkStart w:id="48" w:name="_Toc13953"/>
      <w:r>
        <w:rPr>
          <w:rFonts w:hint="eastAsia" w:ascii="宋体" w:hAnsi="宋体" w:eastAsia="宋体" w:cs="宋体"/>
          <w:b w:val="0"/>
          <w:sz w:val="24"/>
          <w:szCs w:val="24"/>
          <w:highlight w:val="none"/>
        </w:rPr>
        <w:t>第一节  使用环境</w:t>
      </w:r>
      <w:bookmarkEnd w:id="45"/>
      <w:bookmarkEnd w:id="46"/>
      <w:bookmarkEnd w:id="47"/>
      <w:bookmarkEnd w:id="48"/>
    </w:p>
    <w:p w14:paraId="7D9AEFE5">
      <w:pPr>
        <w:spacing w:line="480" w:lineRule="exact"/>
        <w:ind w:firstLine="482" w:firstLineChars="200"/>
        <w:rPr>
          <w:rFonts w:hint="eastAsia" w:ascii="宋体" w:hAnsi="宋体" w:eastAsia="宋体" w:cs="宋体"/>
          <w:sz w:val="24"/>
          <w:szCs w:val="24"/>
          <w:highlight w:val="none"/>
          <w:u w:val="single"/>
          <w:shd w:val="pct10" w:color="auto" w:fill="FFFFFF"/>
        </w:rPr>
      </w:pPr>
      <w:r>
        <w:rPr>
          <w:rFonts w:hint="eastAsia" w:ascii="宋体" w:hAnsi="宋体" w:eastAsia="宋体" w:cs="宋体"/>
          <w:b/>
          <w:bCs/>
          <w:sz w:val="24"/>
          <w:szCs w:val="24"/>
          <w:highlight w:val="none"/>
        </w:rPr>
        <w:t>一、项目名称：</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lang w:eastAsia="zh-CN"/>
        </w:rPr>
        <w:t>拉鲁定位装置和台中测量装置开发项目</w:t>
      </w:r>
      <w:r>
        <w:rPr>
          <w:rFonts w:hint="eastAsia" w:ascii="宋体" w:hAnsi="宋体" w:eastAsia="宋体" w:cs="宋体"/>
          <w:sz w:val="24"/>
          <w:szCs w:val="24"/>
          <w:highlight w:val="none"/>
          <w:u w:val="single"/>
          <w:shd w:val="pct10" w:color="auto" w:fill="FFFFFF"/>
        </w:rPr>
        <w:t xml:space="preserve">            </w:t>
      </w:r>
    </w:p>
    <w:p w14:paraId="6B76B7F5">
      <w:pPr>
        <w:spacing w:line="480" w:lineRule="exact"/>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二、建设地点：</w:t>
      </w:r>
      <w:r>
        <w:rPr>
          <w:rFonts w:hint="eastAsia" w:ascii="宋体" w:hAnsi="宋体" w:eastAsia="宋体" w:cs="宋体"/>
          <w:sz w:val="24"/>
          <w:szCs w:val="24"/>
          <w:highlight w:val="none"/>
          <w:u w:val="single"/>
          <w:shd w:val="pct10" w:color="auto" w:fill="FFFFFF"/>
        </w:rPr>
        <w:t xml:space="preserve">  章丘市圣井镇重汽工业园            </w:t>
      </w:r>
    </w:p>
    <w:p w14:paraId="01AD2B2C">
      <w:pPr>
        <w:spacing w:line="480" w:lineRule="exact"/>
        <w:ind w:firstLine="482" w:firstLineChars="200"/>
        <w:rPr>
          <w:rFonts w:hint="eastAsia" w:ascii="宋体" w:hAnsi="宋体" w:eastAsia="宋体" w:cs="宋体"/>
          <w:sz w:val="24"/>
          <w:szCs w:val="24"/>
          <w:highlight w:val="none"/>
          <w:u w:val="single"/>
          <w:shd w:val="pct10" w:color="auto" w:fill="FFFFFF"/>
        </w:rPr>
      </w:pPr>
      <w:r>
        <w:rPr>
          <w:rFonts w:hint="eastAsia" w:ascii="宋体" w:hAnsi="宋体" w:eastAsia="宋体" w:cs="宋体"/>
          <w:b/>
          <w:bCs/>
          <w:sz w:val="24"/>
          <w:szCs w:val="24"/>
          <w:highlight w:val="none"/>
        </w:rPr>
        <w:t>三、使用地点：</w:t>
      </w:r>
      <w:r>
        <w:rPr>
          <w:rFonts w:hint="eastAsia" w:ascii="宋体" w:hAnsi="宋体" w:eastAsia="宋体" w:cs="宋体"/>
          <w:sz w:val="24"/>
          <w:szCs w:val="24"/>
          <w:highlight w:val="none"/>
          <w:u w:val="single"/>
          <w:shd w:val="pct10" w:color="auto" w:fill="FFFFFF"/>
        </w:rPr>
        <w:t xml:space="preserve">  中国重汽集团济南发动机厂</w:t>
      </w:r>
      <w:r>
        <w:rPr>
          <w:rFonts w:hint="eastAsia" w:ascii="宋体" w:hAnsi="宋体" w:eastAsia="宋体" w:cs="宋体"/>
          <w:sz w:val="24"/>
          <w:szCs w:val="24"/>
          <w:highlight w:val="none"/>
          <w:u w:val="single"/>
          <w:shd w:val="pct10" w:color="auto" w:fill="FFFFFF"/>
          <w:lang w:val="en-US" w:eastAsia="zh-CN"/>
        </w:rPr>
        <w:t>部件加工部</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color w:val="000000"/>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rPr>
        <w:t xml:space="preserve">            </w:t>
      </w:r>
    </w:p>
    <w:p w14:paraId="19D3AEFB">
      <w:pPr>
        <w:spacing w:line="480" w:lineRule="exact"/>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四、工作制度：</w:t>
      </w:r>
      <w:r>
        <w:rPr>
          <w:rFonts w:hint="eastAsia" w:ascii="宋体" w:hAnsi="宋体" w:eastAsia="宋体" w:cs="宋体"/>
          <w:sz w:val="24"/>
          <w:szCs w:val="24"/>
          <w:highlight w:val="none"/>
        </w:rPr>
        <w:t>全年工作250天、</w:t>
      </w:r>
      <w:r>
        <w:rPr>
          <w:rFonts w:hint="eastAsia" w:ascii="宋体" w:hAnsi="宋体" w:eastAsia="宋体" w:cs="宋体"/>
          <w:sz w:val="24"/>
          <w:szCs w:val="24"/>
          <w:highlight w:val="none"/>
          <w:u w:val="single"/>
          <w:shd w:val="pct10" w:color="auto" w:fill="FFFFFF"/>
        </w:rPr>
        <w:t xml:space="preserve">   3  </w:t>
      </w:r>
      <w:r>
        <w:rPr>
          <w:rFonts w:hint="eastAsia" w:ascii="宋体" w:hAnsi="宋体" w:eastAsia="宋体" w:cs="宋体"/>
          <w:sz w:val="24"/>
          <w:szCs w:val="24"/>
          <w:highlight w:val="none"/>
        </w:rPr>
        <w:t>班制、设备年时基数</w:t>
      </w:r>
      <w:r>
        <w:rPr>
          <w:rFonts w:hint="eastAsia" w:ascii="宋体" w:hAnsi="宋体" w:eastAsia="宋体" w:cs="宋体"/>
          <w:sz w:val="24"/>
          <w:szCs w:val="24"/>
          <w:highlight w:val="none"/>
          <w:u w:val="single"/>
          <w:shd w:val="pct10" w:color="auto" w:fill="FFFFFF"/>
        </w:rPr>
        <w:t xml:space="preserve"> 5000     </w:t>
      </w:r>
      <w:r>
        <w:rPr>
          <w:rFonts w:hint="eastAsia" w:ascii="宋体" w:hAnsi="宋体" w:eastAsia="宋体" w:cs="宋体"/>
          <w:sz w:val="24"/>
          <w:szCs w:val="24"/>
          <w:highlight w:val="none"/>
        </w:rPr>
        <w:t>小时</w:t>
      </w:r>
    </w:p>
    <w:p w14:paraId="4643B653">
      <w:pPr>
        <w:spacing w:line="48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五、使用地点区域自然环境：</w:t>
      </w:r>
    </w:p>
    <w:p w14:paraId="01C865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bCs/>
          <w:sz w:val="24"/>
          <w:szCs w:val="24"/>
          <w:highlight w:val="none"/>
        </w:rPr>
        <w:t>1、海拨高度：1000m以下</w:t>
      </w:r>
    </w:p>
    <w:p w14:paraId="70F5835D">
      <w:pPr>
        <w:keepNext w:val="0"/>
        <w:keepLines w:val="0"/>
        <w:pageBreakBefore w:val="0"/>
        <w:widowControl w:val="0"/>
        <w:kinsoku/>
        <w:wordWrap/>
        <w:overflowPunct/>
        <w:topLinePunct w:val="0"/>
        <w:autoSpaceDE/>
        <w:autoSpaceDN/>
        <w:bidi w:val="0"/>
        <w:adjustRightInd/>
        <w:snapToGrid/>
        <w:spacing w:line="360" w:lineRule="auto"/>
        <w:ind w:left="2280" w:leftChars="200" w:hanging="1860" w:hangingChars="775"/>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2、环境温度：室外极端最低温度-19.7℃、极端最高温度42℃，昼夜最大温</w:t>
      </w:r>
      <w:r>
        <w:rPr>
          <w:rFonts w:hint="eastAsia" w:ascii="宋体" w:hAnsi="宋体" w:eastAsia="宋体" w:cs="宋体"/>
          <w:bCs/>
          <w:sz w:val="24"/>
          <w:szCs w:val="24"/>
          <w:highlight w:val="none"/>
        </w:rPr>
        <w:t>差25℃；室内温度5～40℃。</w:t>
      </w:r>
    </w:p>
    <w:p w14:paraId="4EDDFA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3、相对湿度：年平均59%，</w:t>
      </w:r>
      <w:r>
        <w:rPr>
          <w:rFonts w:hint="eastAsia" w:ascii="宋体" w:hAnsi="宋体" w:eastAsia="宋体" w:cs="宋体"/>
          <w:bCs/>
          <w:sz w:val="24"/>
          <w:szCs w:val="24"/>
          <w:highlight w:val="none"/>
        </w:rPr>
        <w:t>最大95%、最小15%。</w:t>
      </w:r>
    </w:p>
    <w:p w14:paraId="76806A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4、降雨量：日最大降雨量300mm、时最大降雨量100mm。</w:t>
      </w:r>
    </w:p>
    <w:p w14:paraId="2F5194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5、最大风速：33.3m/s。</w:t>
      </w:r>
    </w:p>
    <w:p w14:paraId="2F7877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6、最大积雪厚度：200mm。</w:t>
      </w:r>
    </w:p>
    <w:p w14:paraId="5EC82D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7、最大冻土深度：450mm。</w:t>
      </w:r>
    </w:p>
    <w:p w14:paraId="34F4A7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8、地震设防裂度：七度。</w:t>
      </w:r>
    </w:p>
    <w:p w14:paraId="14340B01">
      <w:pPr>
        <w:spacing w:line="48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六、能源环境：</w:t>
      </w:r>
    </w:p>
    <w:p w14:paraId="0EC7AF74">
      <w:pPr>
        <w:spacing w:line="48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1、电力：中国制式，供电电压380V±15%/220V±15%，供电频率50Hz±2%。</w:t>
      </w:r>
    </w:p>
    <w:p w14:paraId="5E4D4D5D">
      <w:pPr>
        <w:spacing w:line="48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2、压缩空气：自备空压机自产压缩空气，0.4～0.6MPa。</w:t>
      </w:r>
    </w:p>
    <w:p w14:paraId="6447DF23">
      <w:pPr>
        <w:spacing w:line="48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3、工位照度：不低于500Lx。</w:t>
      </w:r>
    </w:p>
    <w:p w14:paraId="1E8A0F97">
      <w:pPr>
        <w:spacing w:line="480" w:lineRule="exact"/>
        <w:rPr>
          <w:rFonts w:hint="eastAsia" w:ascii="宋体" w:hAnsi="宋体" w:eastAsia="宋体" w:cs="宋体"/>
          <w:sz w:val="24"/>
          <w:szCs w:val="24"/>
          <w:highlight w:val="none"/>
        </w:rPr>
      </w:pPr>
    </w:p>
    <w:p w14:paraId="10F9B287">
      <w:pPr>
        <w:pStyle w:val="4"/>
        <w:spacing w:before="120" w:after="120" w:line="480" w:lineRule="exact"/>
        <w:jc w:val="center"/>
        <w:rPr>
          <w:rFonts w:hint="eastAsia" w:ascii="宋体" w:hAnsi="宋体" w:eastAsia="宋体" w:cs="宋体"/>
          <w:b w:val="0"/>
          <w:sz w:val="24"/>
          <w:szCs w:val="24"/>
          <w:highlight w:val="none"/>
        </w:rPr>
      </w:pPr>
      <w:bookmarkStart w:id="49" w:name="_Toc19068"/>
      <w:bookmarkStart w:id="50" w:name="_Toc9838"/>
      <w:bookmarkStart w:id="51" w:name="_Toc13018"/>
      <w:bookmarkStart w:id="52" w:name="_Toc27088"/>
      <w:r>
        <w:rPr>
          <w:rFonts w:hint="eastAsia" w:ascii="宋体" w:hAnsi="宋体" w:eastAsia="宋体" w:cs="宋体"/>
          <w:b w:val="0"/>
          <w:sz w:val="24"/>
          <w:szCs w:val="24"/>
          <w:highlight w:val="none"/>
        </w:rPr>
        <w:t>第二节  采购货物概况</w:t>
      </w:r>
      <w:bookmarkEnd w:id="49"/>
      <w:bookmarkEnd w:id="50"/>
      <w:bookmarkEnd w:id="51"/>
      <w:bookmarkEnd w:id="52"/>
    </w:p>
    <w:p w14:paraId="07F0C63E">
      <w:pPr>
        <w:spacing w:line="480" w:lineRule="exact"/>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一、</w:t>
      </w:r>
      <w:r>
        <w:rPr>
          <w:rFonts w:hint="eastAsia" w:ascii="宋体" w:hAnsi="宋体" w:eastAsia="宋体" w:cs="宋体"/>
          <w:b/>
          <w:bCs/>
          <w:sz w:val="24"/>
          <w:szCs w:val="24"/>
          <w:highlight w:val="none"/>
          <w:lang w:val="en-US" w:eastAsia="zh-CN"/>
        </w:rPr>
        <w:t>货物</w:t>
      </w:r>
      <w:r>
        <w:rPr>
          <w:rFonts w:hint="eastAsia" w:ascii="宋体" w:hAnsi="宋体" w:eastAsia="宋体" w:cs="宋体"/>
          <w:b/>
          <w:bCs/>
          <w:sz w:val="24"/>
          <w:szCs w:val="24"/>
          <w:highlight w:val="none"/>
        </w:rPr>
        <w:t>名称：</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拉鲁两端面加工定位装置、车床轴向测量装置</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rPr>
        <w:t>详见下表）</w:t>
      </w:r>
    </w:p>
    <w:p w14:paraId="2A7C2456">
      <w:pPr>
        <w:spacing w:line="480" w:lineRule="exact"/>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二、</w:t>
      </w:r>
      <w:r>
        <w:rPr>
          <w:rFonts w:hint="eastAsia" w:ascii="宋体" w:hAnsi="宋体" w:eastAsia="宋体" w:cs="宋体"/>
          <w:b/>
          <w:bCs/>
          <w:sz w:val="24"/>
          <w:szCs w:val="24"/>
          <w:highlight w:val="none"/>
          <w:lang w:val="en-US" w:eastAsia="zh-CN"/>
        </w:rPr>
        <w:t>货物</w:t>
      </w:r>
      <w:r>
        <w:rPr>
          <w:rFonts w:hint="eastAsia" w:ascii="宋体" w:hAnsi="宋体" w:eastAsia="宋体" w:cs="宋体"/>
          <w:b/>
          <w:bCs/>
          <w:sz w:val="24"/>
          <w:szCs w:val="24"/>
          <w:highlight w:val="none"/>
        </w:rPr>
        <w:t>数量：</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 xml:space="preserve">          各</w:t>
      </w:r>
      <w:r>
        <w:rPr>
          <w:rFonts w:hint="eastAsia" w:ascii="宋体" w:hAnsi="宋体" w:eastAsia="宋体" w:cs="宋体"/>
          <w:sz w:val="24"/>
          <w:szCs w:val="24"/>
          <w:highlight w:val="none"/>
          <w:u w:val="single"/>
        </w:rPr>
        <w:t xml:space="preserve">1套          </w:t>
      </w:r>
      <w:r>
        <w:rPr>
          <w:rFonts w:hint="eastAsia" w:ascii="宋体" w:hAnsi="宋体" w:eastAsia="宋体" w:cs="宋体"/>
          <w:sz w:val="24"/>
          <w:szCs w:val="24"/>
          <w:highlight w:val="none"/>
        </w:rPr>
        <w:t>（详见下表）</w:t>
      </w:r>
    </w:p>
    <w:p w14:paraId="46261D41">
      <w:pPr>
        <w:spacing w:line="560" w:lineRule="exact"/>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三、分投分中：</w:t>
      </w:r>
      <w:r>
        <w:rPr>
          <w:rFonts w:hint="eastAsia" w:ascii="宋体" w:hAnsi="宋体" w:eastAsia="宋体" w:cs="宋体"/>
          <w:sz w:val="24"/>
          <w:szCs w:val="24"/>
          <w:highlight w:val="none"/>
        </w:rPr>
        <w:t>不允许。</w:t>
      </w:r>
    </w:p>
    <w:p w14:paraId="62512E74">
      <w:pPr>
        <w:widowControl/>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采购货物主要构成一览表</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5"/>
        <w:gridCol w:w="1913"/>
        <w:gridCol w:w="1010"/>
        <w:gridCol w:w="690"/>
        <w:gridCol w:w="667"/>
        <w:gridCol w:w="2250"/>
        <w:gridCol w:w="1007"/>
        <w:gridCol w:w="861"/>
      </w:tblGrid>
      <w:tr w14:paraId="46E28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5" w:type="dxa"/>
            <w:noWrap w:val="0"/>
            <w:vAlign w:val="top"/>
          </w:tcPr>
          <w:p w14:paraId="51396856">
            <w:pPr>
              <w:spacing w:line="360" w:lineRule="auto"/>
              <w:jc w:val="center"/>
              <w:rPr>
                <w:rFonts w:hint="eastAsia" w:ascii="宋体" w:hAnsi="宋体"/>
                <w:highlight w:val="none"/>
              </w:rPr>
            </w:pPr>
            <w:r>
              <w:rPr>
                <w:rFonts w:hint="eastAsia" w:ascii="宋体" w:hAnsi="宋体"/>
                <w:highlight w:val="none"/>
              </w:rPr>
              <w:t>序号</w:t>
            </w:r>
          </w:p>
        </w:tc>
        <w:tc>
          <w:tcPr>
            <w:tcW w:w="1913" w:type="dxa"/>
            <w:noWrap w:val="0"/>
            <w:vAlign w:val="top"/>
          </w:tcPr>
          <w:p w14:paraId="25A08527">
            <w:pPr>
              <w:spacing w:line="360" w:lineRule="auto"/>
              <w:jc w:val="center"/>
              <w:rPr>
                <w:rFonts w:hint="eastAsia" w:ascii="宋体" w:hAnsi="宋体"/>
                <w:highlight w:val="none"/>
              </w:rPr>
            </w:pPr>
            <w:r>
              <w:rPr>
                <w:rFonts w:hint="eastAsia" w:ascii="宋体" w:hAnsi="宋体"/>
                <w:highlight w:val="none"/>
              </w:rPr>
              <w:t>名称</w:t>
            </w:r>
          </w:p>
        </w:tc>
        <w:tc>
          <w:tcPr>
            <w:tcW w:w="1010" w:type="dxa"/>
            <w:noWrap w:val="0"/>
            <w:vAlign w:val="top"/>
          </w:tcPr>
          <w:p w14:paraId="544B1A67">
            <w:pPr>
              <w:spacing w:line="360" w:lineRule="auto"/>
              <w:jc w:val="center"/>
              <w:rPr>
                <w:rFonts w:hint="eastAsia" w:ascii="宋体" w:hAnsi="宋体"/>
                <w:highlight w:val="none"/>
              </w:rPr>
            </w:pPr>
            <w:r>
              <w:rPr>
                <w:rFonts w:hint="eastAsia" w:ascii="宋体" w:hAnsi="宋体"/>
                <w:highlight w:val="none"/>
              </w:rPr>
              <w:t>型号规格</w:t>
            </w:r>
          </w:p>
        </w:tc>
        <w:tc>
          <w:tcPr>
            <w:tcW w:w="690" w:type="dxa"/>
            <w:noWrap w:val="0"/>
            <w:vAlign w:val="top"/>
          </w:tcPr>
          <w:p w14:paraId="3F3EB441">
            <w:pPr>
              <w:spacing w:line="360" w:lineRule="auto"/>
              <w:jc w:val="center"/>
              <w:rPr>
                <w:rFonts w:hint="eastAsia" w:ascii="宋体" w:hAnsi="宋体"/>
                <w:highlight w:val="none"/>
              </w:rPr>
            </w:pPr>
            <w:r>
              <w:rPr>
                <w:rFonts w:hint="eastAsia" w:ascii="宋体" w:hAnsi="宋体"/>
                <w:highlight w:val="none"/>
              </w:rPr>
              <w:t>单位</w:t>
            </w:r>
          </w:p>
        </w:tc>
        <w:tc>
          <w:tcPr>
            <w:tcW w:w="667" w:type="dxa"/>
            <w:noWrap w:val="0"/>
            <w:vAlign w:val="top"/>
          </w:tcPr>
          <w:p w14:paraId="363671BA">
            <w:pPr>
              <w:spacing w:line="360" w:lineRule="auto"/>
              <w:jc w:val="center"/>
              <w:rPr>
                <w:rFonts w:hint="eastAsia" w:ascii="宋体" w:hAnsi="宋体"/>
                <w:highlight w:val="none"/>
              </w:rPr>
            </w:pPr>
            <w:r>
              <w:rPr>
                <w:rFonts w:hint="eastAsia" w:ascii="宋体" w:hAnsi="宋体"/>
                <w:highlight w:val="none"/>
              </w:rPr>
              <w:t>数量</w:t>
            </w:r>
          </w:p>
        </w:tc>
        <w:tc>
          <w:tcPr>
            <w:tcW w:w="2250" w:type="dxa"/>
            <w:noWrap w:val="0"/>
            <w:vAlign w:val="top"/>
          </w:tcPr>
          <w:p w14:paraId="383D4711">
            <w:pPr>
              <w:spacing w:line="360" w:lineRule="auto"/>
              <w:jc w:val="center"/>
              <w:rPr>
                <w:rFonts w:hint="eastAsia" w:ascii="宋体" w:hAnsi="宋体"/>
                <w:highlight w:val="none"/>
              </w:rPr>
            </w:pPr>
            <w:r>
              <w:rPr>
                <w:rFonts w:hint="eastAsia" w:ascii="宋体" w:hAnsi="宋体"/>
                <w:highlight w:val="none"/>
              </w:rPr>
              <w:t>安装地点/服务对象</w:t>
            </w:r>
          </w:p>
        </w:tc>
        <w:tc>
          <w:tcPr>
            <w:tcW w:w="1007" w:type="dxa"/>
            <w:noWrap w:val="0"/>
            <w:vAlign w:val="top"/>
          </w:tcPr>
          <w:p w14:paraId="523CC340">
            <w:pPr>
              <w:spacing w:line="360" w:lineRule="auto"/>
              <w:jc w:val="center"/>
              <w:rPr>
                <w:rFonts w:hint="eastAsia" w:ascii="宋体" w:hAnsi="宋体"/>
                <w:highlight w:val="none"/>
              </w:rPr>
            </w:pPr>
            <w:r>
              <w:rPr>
                <w:rFonts w:hint="eastAsia" w:ascii="宋体" w:hAnsi="宋体"/>
                <w:highlight w:val="none"/>
              </w:rPr>
              <w:t>供货方式</w:t>
            </w:r>
          </w:p>
        </w:tc>
        <w:tc>
          <w:tcPr>
            <w:tcW w:w="861" w:type="dxa"/>
            <w:noWrap w:val="0"/>
            <w:vAlign w:val="top"/>
          </w:tcPr>
          <w:p w14:paraId="33DF434B">
            <w:pPr>
              <w:spacing w:line="360" w:lineRule="auto"/>
              <w:jc w:val="center"/>
              <w:rPr>
                <w:rFonts w:hint="eastAsia" w:ascii="宋体" w:hAnsi="宋体"/>
                <w:highlight w:val="none"/>
              </w:rPr>
            </w:pPr>
            <w:r>
              <w:rPr>
                <w:rFonts w:hint="eastAsia" w:ascii="宋体" w:hAnsi="宋体"/>
                <w:highlight w:val="none"/>
              </w:rPr>
              <w:t>备注</w:t>
            </w:r>
          </w:p>
        </w:tc>
      </w:tr>
      <w:tr w14:paraId="4FFEC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jc w:val="center"/>
        </w:trPr>
        <w:tc>
          <w:tcPr>
            <w:tcW w:w="605" w:type="dxa"/>
            <w:noWrap w:val="0"/>
            <w:vAlign w:val="center"/>
          </w:tcPr>
          <w:p w14:paraId="43340BC5">
            <w:pPr>
              <w:spacing w:line="360" w:lineRule="auto"/>
              <w:jc w:val="center"/>
              <w:rPr>
                <w:rFonts w:hint="eastAsia" w:ascii="宋体" w:hAnsi="宋体"/>
                <w:highlight w:val="none"/>
              </w:rPr>
            </w:pPr>
            <w:r>
              <w:rPr>
                <w:rFonts w:hint="eastAsia" w:ascii="宋体" w:hAnsi="宋体"/>
                <w:highlight w:val="none"/>
              </w:rPr>
              <w:t>1</w:t>
            </w:r>
          </w:p>
        </w:tc>
        <w:tc>
          <w:tcPr>
            <w:tcW w:w="1913" w:type="dxa"/>
            <w:noWrap w:val="0"/>
            <w:vAlign w:val="center"/>
          </w:tcPr>
          <w:p w14:paraId="413E2EA7">
            <w:pPr>
              <w:spacing w:line="360" w:lineRule="auto"/>
              <w:jc w:val="center"/>
              <w:rPr>
                <w:rFonts w:hint="eastAsia" w:ascii="宋体" w:hAnsi="宋体"/>
                <w:highlight w:val="none"/>
              </w:rPr>
            </w:pPr>
            <w:r>
              <w:rPr>
                <w:rFonts w:hint="eastAsia" w:ascii="宋体" w:hAnsi="宋体"/>
                <w:highlight w:val="none"/>
                <w:lang w:val="en-US" w:eastAsia="zh-CN"/>
              </w:rPr>
              <w:t>拉鲁两端面加工定位装置</w:t>
            </w:r>
          </w:p>
        </w:tc>
        <w:tc>
          <w:tcPr>
            <w:tcW w:w="1010" w:type="dxa"/>
            <w:noWrap w:val="0"/>
            <w:vAlign w:val="center"/>
          </w:tcPr>
          <w:p w14:paraId="2D23DD66">
            <w:pPr>
              <w:spacing w:line="360" w:lineRule="auto"/>
              <w:jc w:val="center"/>
              <w:rPr>
                <w:rFonts w:hint="eastAsia" w:ascii="宋体" w:hAnsi="宋体"/>
                <w:highlight w:val="none"/>
              </w:rPr>
            </w:pPr>
            <w:r>
              <w:rPr>
                <w:rFonts w:ascii="宋体" w:hAnsi="宋体"/>
                <w:highlight w:val="none"/>
              </w:rPr>
              <w:t>/</w:t>
            </w:r>
          </w:p>
        </w:tc>
        <w:tc>
          <w:tcPr>
            <w:tcW w:w="690" w:type="dxa"/>
            <w:noWrap w:val="0"/>
            <w:vAlign w:val="center"/>
          </w:tcPr>
          <w:p w14:paraId="1D637154">
            <w:pPr>
              <w:spacing w:line="360" w:lineRule="auto"/>
              <w:jc w:val="center"/>
              <w:rPr>
                <w:rFonts w:hint="eastAsia" w:ascii="宋体" w:hAnsi="宋体"/>
                <w:highlight w:val="none"/>
              </w:rPr>
            </w:pPr>
            <w:r>
              <w:rPr>
                <w:rFonts w:hint="eastAsia" w:ascii="宋体" w:hAnsi="宋体"/>
                <w:highlight w:val="none"/>
              </w:rPr>
              <w:t>套</w:t>
            </w:r>
          </w:p>
        </w:tc>
        <w:tc>
          <w:tcPr>
            <w:tcW w:w="667" w:type="dxa"/>
            <w:noWrap w:val="0"/>
            <w:vAlign w:val="center"/>
          </w:tcPr>
          <w:p w14:paraId="38A0301A">
            <w:pPr>
              <w:spacing w:line="360" w:lineRule="auto"/>
              <w:jc w:val="center"/>
              <w:rPr>
                <w:rFonts w:hint="eastAsia" w:ascii="宋体" w:hAnsi="宋体"/>
                <w:highlight w:val="none"/>
              </w:rPr>
            </w:pPr>
            <w:r>
              <w:rPr>
                <w:rFonts w:hint="eastAsia" w:ascii="宋体" w:hAnsi="宋体"/>
                <w:highlight w:val="none"/>
              </w:rPr>
              <w:t>1</w:t>
            </w:r>
          </w:p>
        </w:tc>
        <w:tc>
          <w:tcPr>
            <w:tcW w:w="2250" w:type="dxa"/>
            <w:noWrap w:val="0"/>
            <w:vAlign w:val="center"/>
          </w:tcPr>
          <w:p w14:paraId="7BD633BC">
            <w:pPr>
              <w:spacing w:line="360" w:lineRule="auto"/>
              <w:jc w:val="center"/>
              <w:rPr>
                <w:rFonts w:hint="eastAsia" w:ascii="宋体" w:hAnsi="宋体"/>
                <w:highlight w:val="none"/>
              </w:rPr>
            </w:pPr>
            <w:r>
              <w:rPr>
                <w:rFonts w:hint="eastAsia" w:ascii="宋体" w:hAnsi="宋体"/>
                <w:highlight w:val="none"/>
              </w:rPr>
              <w:t>中国重汽集团济南动力有限公司济南发动机厂</w:t>
            </w:r>
          </w:p>
        </w:tc>
        <w:tc>
          <w:tcPr>
            <w:tcW w:w="1007" w:type="dxa"/>
            <w:noWrap w:val="0"/>
            <w:vAlign w:val="center"/>
          </w:tcPr>
          <w:p w14:paraId="177FC25E">
            <w:pPr>
              <w:spacing w:line="360" w:lineRule="auto"/>
              <w:jc w:val="center"/>
              <w:rPr>
                <w:rFonts w:hint="eastAsia" w:ascii="宋体" w:hAnsi="宋体"/>
                <w:highlight w:val="none"/>
              </w:rPr>
            </w:pPr>
            <w:r>
              <w:rPr>
                <w:rFonts w:hint="eastAsia" w:ascii="宋体" w:hAnsi="宋体"/>
                <w:highlight w:val="none"/>
              </w:rPr>
              <w:t>交钥匙</w:t>
            </w:r>
          </w:p>
        </w:tc>
        <w:tc>
          <w:tcPr>
            <w:tcW w:w="861" w:type="dxa"/>
            <w:noWrap w:val="0"/>
            <w:vAlign w:val="center"/>
          </w:tcPr>
          <w:p w14:paraId="4A686288">
            <w:pPr>
              <w:spacing w:line="360" w:lineRule="auto"/>
              <w:jc w:val="center"/>
              <w:rPr>
                <w:rFonts w:hint="eastAsia" w:ascii="宋体" w:hAnsi="宋体"/>
                <w:highlight w:val="none"/>
              </w:rPr>
            </w:pPr>
            <w:r>
              <w:rPr>
                <w:rFonts w:hint="eastAsia" w:ascii="宋体" w:hAnsi="宋体"/>
                <w:highlight w:val="none"/>
              </w:rPr>
              <w:t>/</w:t>
            </w:r>
          </w:p>
        </w:tc>
      </w:tr>
      <w:tr w14:paraId="3C7EA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jc w:val="center"/>
        </w:trPr>
        <w:tc>
          <w:tcPr>
            <w:tcW w:w="605" w:type="dxa"/>
            <w:noWrap w:val="0"/>
            <w:vAlign w:val="center"/>
          </w:tcPr>
          <w:p w14:paraId="72DB1444">
            <w:pPr>
              <w:spacing w:line="360" w:lineRule="auto"/>
              <w:jc w:val="center"/>
              <w:rPr>
                <w:rFonts w:hint="eastAsia" w:ascii="宋体" w:hAnsi="宋体" w:eastAsia="宋体"/>
                <w:highlight w:val="none"/>
                <w:lang w:val="en-US" w:eastAsia="zh-CN"/>
              </w:rPr>
            </w:pPr>
            <w:r>
              <w:rPr>
                <w:rFonts w:hint="eastAsia" w:ascii="宋体" w:hAnsi="宋体"/>
                <w:highlight w:val="none"/>
                <w:lang w:val="en-US" w:eastAsia="zh-CN"/>
              </w:rPr>
              <w:t>2</w:t>
            </w:r>
          </w:p>
        </w:tc>
        <w:tc>
          <w:tcPr>
            <w:tcW w:w="1913" w:type="dxa"/>
            <w:noWrap w:val="0"/>
            <w:vAlign w:val="center"/>
          </w:tcPr>
          <w:p w14:paraId="68635456">
            <w:pPr>
              <w:spacing w:line="360" w:lineRule="auto"/>
              <w:jc w:val="center"/>
              <w:rPr>
                <w:rFonts w:hint="eastAsia" w:ascii="宋体" w:hAnsi="宋体"/>
                <w:highlight w:val="none"/>
                <w:lang w:val="en-US" w:eastAsia="zh-CN"/>
              </w:rPr>
            </w:pPr>
            <w:r>
              <w:rPr>
                <w:rFonts w:hint="eastAsia" w:ascii="宋体" w:hAnsi="宋体"/>
                <w:highlight w:val="none"/>
                <w:lang w:val="en-US" w:eastAsia="zh-CN"/>
              </w:rPr>
              <w:t>车床轴向测量装置</w:t>
            </w:r>
          </w:p>
        </w:tc>
        <w:tc>
          <w:tcPr>
            <w:tcW w:w="1010" w:type="dxa"/>
            <w:noWrap w:val="0"/>
            <w:vAlign w:val="center"/>
          </w:tcPr>
          <w:p w14:paraId="20F20DA7">
            <w:pPr>
              <w:spacing w:line="360" w:lineRule="auto"/>
              <w:jc w:val="center"/>
              <w:rPr>
                <w:rFonts w:hint="eastAsia" w:ascii="宋体" w:hAnsi="宋体"/>
                <w:kern w:val="2"/>
                <w:sz w:val="24"/>
                <w:szCs w:val="24"/>
                <w:highlight w:val="none"/>
                <w:lang w:val="en-US" w:eastAsia="zh-CN" w:bidi="ar-SA"/>
              </w:rPr>
            </w:pPr>
            <w:r>
              <w:rPr>
                <w:rFonts w:ascii="宋体" w:hAnsi="宋体"/>
                <w:highlight w:val="none"/>
              </w:rPr>
              <w:t>/</w:t>
            </w:r>
          </w:p>
        </w:tc>
        <w:tc>
          <w:tcPr>
            <w:tcW w:w="690" w:type="dxa"/>
            <w:noWrap w:val="0"/>
            <w:vAlign w:val="center"/>
          </w:tcPr>
          <w:p w14:paraId="3D0C32C9">
            <w:pPr>
              <w:spacing w:line="360" w:lineRule="auto"/>
              <w:jc w:val="center"/>
              <w:rPr>
                <w:rFonts w:hint="eastAsia" w:ascii="宋体" w:hAnsi="宋体"/>
                <w:kern w:val="2"/>
                <w:sz w:val="24"/>
                <w:szCs w:val="24"/>
                <w:highlight w:val="none"/>
                <w:lang w:val="en-US" w:eastAsia="zh-CN" w:bidi="ar-SA"/>
              </w:rPr>
            </w:pPr>
            <w:r>
              <w:rPr>
                <w:rFonts w:hint="eastAsia" w:ascii="宋体" w:hAnsi="宋体"/>
                <w:highlight w:val="none"/>
              </w:rPr>
              <w:t>套</w:t>
            </w:r>
          </w:p>
        </w:tc>
        <w:tc>
          <w:tcPr>
            <w:tcW w:w="667" w:type="dxa"/>
            <w:noWrap w:val="0"/>
            <w:vAlign w:val="center"/>
          </w:tcPr>
          <w:p w14:paraId="4592EE94">
            <w:pPr>
              <w:spacing w:line="360" w:lineRule="auto"/>
              <w:jc w:val="center"/>
              <w:rPr>
                <w:rFonts w:hint="eastAsia" w:ascii="宋体" w:hAnsi="宋体"/>
                <w:kern w:val="2"/>
                <w:sz w:val="24"/>
                <w:szCs w:val="24"/>
                <w:highlight w:val="none"/>
                <w:lang w:val="en-US" w:eastAsia="zh-CN" w:bidi="ar-SA"/>
              </w:rPr>
            </w:pPr>
            <w:r>
              <w:rPr>
                <w:rFonts w:hint="eastAsia" w:ascii="宋体" w:hAnsi="宋体"/>
                <w:highlight w:val="none"/>
              </w:rPr>
              <w:t>1</w:t>
            </w:r>
          </w:p>
        </w:tc>
        <w:tc>
          <w:tcPr>
            <w:tcW w:w="2250" w:type="dxa"/>
            <w:noWrap w:val="0"/>
            <w:vAlign w:val="center"/>
          </w:tcPr>
          <w:p w14:paraId="2EFBDAB4">
            <w:pPr>
              <w:spacing w:line="360" w:lineRule="auto"/>
              <w:jc w:val="center"/>
              <w:rPr>
                <w:rFonts w:hint="eastAsia" w:ascii="宋体" w:hAnsi="宋体"/>
                <w:kern w:val="2"/>
                <w:sz w:val="24"/>
                <w:szCs w:val="24"/>
                <w:highlight w:val="none"/>
                <w:lang w:val="en-US" w:eastAsia="zh-CN" w:bidi="ar-SA"/>
              </w:rPr>
            </w:pPr>
            <w:r>
              <w:rPr>
                <w:rFonts w:hint="eastAsia" w:ascii="宋体" w:hAnsi="宋体"/>
                <w:highlight w:val="none"/>
              </w:rPr>
              <w:t>中国重汽集团济南动力有限公司济南发动机厂</w:t>
            </w:r>
          </w:p>
        </w:tc>
        <w:tc>
          <w:tcPr>
            <w:tcW w:w="1007" w:type="dxa"/>
            <w:noWrap w:val="0"/>
            <w:vAlign w:val="center"/>
          </w:tcPr>
          <w:p w14:paraId="0375B193">
            <w:pPr>
              <w:spacing w:line="360" w:lineRule="auto"/>
              <w:jc w:val="center"/>
              <w:rPr>
                <w:rFonts w:hint="eastAsia" w:ascii="宋体" w:hAnsi="宋体"/>
                <w:kern w:val="2"/>
                <w:sz w:val="24"/>
                <w:szCs w:val="24"/>
                <w:highlight w:val="none"/>
                <w:lang w:val="en-US" w:eastAsia="zh-CN" w:bidi="ar-SA"/>
              </w:rPr>
            </w:pPr>
            <w:r>
              <w:rPr>
                <w:rFonts w:hint="eastAsia" w:ascii="宋体" w:hAnsi="宋体"/>
                <w:highlight w:val="none"/>
              </w:rPr>
              <w:t>交钥匙</w:t>
            </w:r>
          </w:p>
        </w:tc>
        <w:tc>
          <w:tcPr>
            <w:tcW w:w="861" w:type="dxa"/>
            <w:noWrap w:val="0"/>
            <w:vAlign w:val="center"/>
          </w:tcPr>
          <w:p w14:paraId="7C641BE5">
            <w:pPr>
              <w:spacing w:line="360" w:lineRule="auto"/>
              <w:jc w:val="center"/>
              <w:rPr>
                <w:rFonts w:hint="eastAsia" w:ascii="宋体" w:hAnsi="宋体"/>
                <w:kern w:val="2"/>
                <w:sz w:val="24"/>
                <w:szCs w:val="24"/>
                <w:highlight w:val="none"/>
                <w:lang w:val="en-US" w:eastAsia="zh-CN" w:bidi="ar-SA"/>
              </w:rPr>
            </w:pPr>
            <w:r>
              <w:rPr>
                <w:rFonts w:hint="eastAsia" w:ascii="宋体" w:hAnsi="宋体"/>
                <w:highlight w:val="none"/>
              </w:rPr>
              <w:t>/</w:t>
            </w:r>
          </w:p>
        </w:tc>
      </w:tr>
    </w:tbl>
    <w:p w14:paraId="246AAF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p w14:paraId="7EBCFA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①.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14:paraId="737E70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sz w:val="21"/>
          <w:szCs w:val="21"/>
          <w:highlight w:val="none"/>
        </w:rPr>
      </w:pPr>
      <w:r>
        <w:rPr>
          <w:rFonts w:hint="eastAsia" w:ascii="宋体" w:hAnsi="宋体" w:eastAsia="宋体" w:cs="宋体"/>
          <w:sz w:val="24"/>
          <w:szCs w:val="24"/>
          <w:highlight w:val="none"/>
        </w:rPr>
        <w:t>②.本表“供货方式”指：交钥匙方式——包括设计、制造、运输、安装、调试和验收直到交付使用以及培训等。</w:t>
      </w:r>
    </w:p>
    <w:p w14:paraId="27271F53">
      <w:pPr>
        <w:pStyle w:val="2"/>
        <w:spacing w:before="120" w:after="120"/>
        <w:jc w:val="center"/>
        <w:rPr>
          <w:rFonts w:hint="eastAsia" w:ascii="宋体" w:hAnsi="宋体" w:eastAsia="宋体" w:cs="宋体"/>
          <w:sz w:val="28"/>
          <w:szCs w:val="28"/>
          <w:highlight w:val="none"/>
        </w:rPr>
      </w:pPr>
      <w:bookmarkStart w:id="53" w:name="_Toc32262"/>
      <w:bookmarkStart w:id="54" w:name="_Toc17328"/>
      <w:r>
        <w:rPr>
          <w:rFonts w:hint="eastAsia" w:ascii="宋体" w:hAnsi="宋体" w:eastAsia="宋体" w:cs="宋体"/>
          <w:sz w:val="28"/>
          <w:szCs w:val="28"/>
          <w:highlight w:val="none"/>
        </w:rPr>
        <w:t>第二章  技术要求</w:t>
      </w:r>
      <w:bookmarkEnd w:id="53"/>
      <w:bookmarkEnd w:id="54"/>
    </w:p>
    <w:p w14:paraId="72A64F7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一、基本要求</w:t>
      </w:r>
    </w:p>
    <w:p w14:paraId="2289E8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投标方所供的货物（或生产线），符合中国最新版的法律、法规和相关标准、规范的要求，符合项目所在地政府有关特殊要求。</w:t>
      </w:r>
    </w:p>
    <w:p w14:paraId="5DB994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投标方所供货物（或生产线）涉及的专利权技术以及知识产权保护的其它技术等，应保证招标方不因此受到任何侵权指控以及实际损失。</w:t>
      </w:r>
    </w:p>
    <w:p w14:paraId="49EBBC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投标方应保证所供货物（或生产线）的先进性、可靠性、经济性和实用性，并为全新货物（或设备）。</w:t>
      </w:r>
    </w:p>
    <w:p w14:paraId="5B2938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投标方应满足招标方提出的各项技术要求，必要时应当免费提供技术承诺或担保。</w:t>
      </w:r>
    </w:p>
    <w:p w14:paraId="5C89D5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投标方应保证所供货物（或设备）为中国公布的非淘汰货物（或设备），并为中国指定或规定的主管部门认可的环保型和节能型货物（或设备）。</w:t>
      </w:r>
    </w:p>
    <w:p w14:paraId="7FE7B6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投标方应保证所供货物（或生产线）的完整性和成套性，能保证货物（或生产线）的正常运行、使用。</w:t>
      </w:r>
    </w:p>
    <w:p w14:paraId="096609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投标方应对招标方采购的货物（或生产线）所涉及的技术、产能等信息负有保密义务，招标方拥有追究投标方泄密责任的权利；招标方如有需要，投标方应无条件签署保密协议。</w:t>
      </w:r>
    </w:p>
    <w:p w14:paraId="13A243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8、投标方需提供近三年内项目业绩证明。</w:t>
      </w:r>
    </w:p>
    <w:p w14:paraId="45A5FF5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二、执行标准</w:t>
      </w:r>
    </w:p>
    <w:p w14:paraId="66F2D4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1、招标方此处所列标准仅为涉及的主要标准，而且不保证其为最新版执行标准；投标方应当在投标文件中认真予以填写、补充和修改完善。</w:t>
      </w:r>
    </w:p>
    <w:p w14:paraId="7EF855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2、投标方需要执行的标准，应当以所供设备通过招标方将来组织的最终验收之日开始执行的最新标准。</w:t>
      </w:r>
    </w:p>
    <w:p w14:paraId="40AC87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14:paraId="63B815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4、如果有采用国际标准的货物，其执行标准由投标方提供、招标方确认。</w:t>
      </w:r>
    </w:p>
    <w:p w14:paraId="705D5C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5、涉及的主要标准：</w:t>
      </w:r>
    </w:p>
    <w:tbl>
      <w:tblPr>
        <w:tblStyle w:val="3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640"/>
        <w:gridCol w:w="6353"/>
        <w:gridCol w:w="2173"/>
      </w:tblGrid>
      <w:tr w14:paraId="6E68F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49" w:type="pct"/>
            <w:noWrap w:val="0"/>
            <w:vAlign w:val="center"/>
          </w:tcPr>
          <w:p w14:paraId="42D17003">
            <w:pPr>
              <w:keepNext w:val="0"/>
              <w:keepLines w:val="0"/>
              <w:pageBreakBefore w:val="0"/>
              <w:widowControl w:val="0"/>
              <w:kinsoku/>
              <w:wordWrap/>
              <w:overflowPunct w:val="0"/>
              <w:topLinePunct w:val="0"/>
              <w:autoSpaceDE/>
              <w:autoSpaceDN/>
              <w:bidi w:val="0"/>
              <w:adjustRightInd/>
              <w:snapToGrid/>
              <w:spacing w:beforeAutospacing="0" w:afterAutospacing="0" w:line="240" w:lineRule="auto"/>
              <w:ind w:right="0" w:rightChars="0" w:firstLine="0" w:firstLineChars="0"/>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3465" w:type="pct"/>
            <w:noWrap w:val="0"/>
            <w:vAlign w:val="center"/>
          </w:tcPr>
          <w:p w14:paraId="76D824CF">
            <w:pPr>
              <w:overflowPunct w:val="0"/>
              <w:autoSpaceDE w:val="0"/>
              <w:autoSpaceDN w:val="0"/>
              <w:spacing w:beforeLines="0" w:afterLines="0" w:line="24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标准名称</w:t>
            </w:r>
          </w:p>
        </w:tc>
        <w:tc>
          <w:tcPr>
            <w:tcW w:w="1185" w:type="pct"/>
            <w:noWrap w:val="0"/>
            <w:vAlign w:val="center"/>
          </w:tcPr>
          <w:p w14:paraId="5B1D5CD9">
            <w:pPr>
              <w:keepNext w:val="0"/>
              <w:keepLines w:val="0"/>
              <w:pageBreakBefore w:val="0"/>
              <w:widowControl w:val="0"/>
              <w:kinsoku/>
              <w:wordWrap/>
              <w:overflowPunct w:val="0"/>
              <w:topLinePunct w:val="0"/>
              <w:autoSpaceDE/>
              <w:autoSpaceDN/>
              <w:bidi w:val="0"/>
              <w:adjustRightInd/>
              <w:snapToGrid/>
              <w:spacing w:beforeAutospacing="0" w:afterAutospacing="0" w:line="240" w:lineRule="auto"/>
              <w:ind w:right="0" w:rightChars="0" w:firstLine="0" w:firstLineChars="0"/>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标准编号</w:t>
            </w:r>
          </w:p>
        </w:tc>
      </w:tr>
      <w:tr w14:paraId="0C568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49" w:type="pct"/>
            <w:noWrap w:val="0"/>
            <w:vAlign w:val="center"/>
          </w:tcPr>
          <w:p w14:paraId="36C84733">
            <w:pPr>
              <w:keepNext w:val="0"/>
              <w:keepLines w:val="0"/>
              <w:pageBreakBefore w:val="0"/>
              <w:widowControl w:val="0"/>
              <w:kinsoku/>
              <w:wordWrap/>
              <w:overflowPunct w:val="0"/>
              <w:topLinePunct w:val="0"/>
              <w:autoSpaceDE/>
              <w:autoSpaceDN/>
              <w:bidi w:val="0"/>
              <w:adjustRightInd/>
              <w:snapToGrid/>
              <w:spacing w:beforeAutospacing="0" w:afterAutospacing="0" w:line="240" w:lineRule="auto"/>
              <w:ind w:right="0" w:rightChars="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1</w:t>
            </w:r>
          </w:p>
        </w:tc>
        <w:tc>
          <w:tcPr>
            <w:tcW w:w="3465" w:type="pct"/>
            <w:noWrap w:val="0"/>
            <w:vAlign w:val="center"/>
          </w:tcPr>
          <w:p w14:paraId="2622AA02">
            <w:pPr>
              <w:overflowPunct w:val="0"/>
              <w:autoSpaceDE w:val="0"/>
              <w:autoSpaceDN w:val="0"/>
              <w:spacing w:beforeLines="0" w:afterLines="0" w:line="240" w:lineRule="auto"/>
              <w:jc w:val="center"/>
              <w:rPr>
                <w:rFonts w:hint="eastAsia" w:ascii="宋体" w:hAnsi="宋体" w:eastAsia="宋体" w:cs="宋体"/>
                <w:color w:val="auto"/>
                <w:sz w:val="21"/>
                <w:szCs w:val="21"/>
                <w:highlight w:val="none"/>
              </w:rPr>
            </w:pPr>
          </w:p>
        </w:tc>
        <w:tc>
          <w:tcPr>
            <w:tcW w:w="1185" w:type="pct"/>
            <w:noWrap w:val="0"/>
            <w:vAlign w:val="center"/>
          </w:tcPr>
          <w:p w14:paraId="4D8CA9A2">
            <w:pPr>
              <w:overflowPunct w:val="0"/>
              <w:autoSpaceDE w:val="0"/>
              <w:autoSpaceDN w:val="0"/>
              <w:spacing w:beforeLines="0" w:afterLines="0" w:line="240" w:lineRule="auto"/>
              <w:jc w:val="center"/>
              <w:rPr>
                <w:rFonts w:hint="eastAsia" w:ascii="宋体" w:hAnsi="宋体" w:eastAsia="宋体" w:cs="宋体"/>
                <w:color w:val="auto"/>
                <w:sz w:val="21"/>
                <w:szCs w:val="21"/>
                <w:highlight w:val="none"/>
              </w:rPr>
            </w:pPr>
          </w:p>
        </w:tc>
      </w:tr>
      <w:tr w14:paraId="6DD76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49" w:type="pct"/>
            <w:noWrap w:val="0"/>
            <w:vAlign w:val="center"/>
          </w:tcPr>
          <w:p w14:paraId="22AC1588">
            <w:pPr>
              <w:keepNext w:val="0"/>
              <w:keepLines w:val="0"/>
              <w:pageBreakBefore w:val="0"/>
              <w:widowControl w:val="0"/>
              <w:kinsoku/>
              <w:wordWrap/>
              <w:overflowPunct w:val="0"/>
              <w:topLinePunct w:val="0"/>
              <w:autoSpaceDE/>
              <w:autoSpaceDN/>
              <w:bidi w:val="0"/>
              <w:adjustRightInd/>
              <w:snapToGrid/>
              <w:spacing w:beforeAutospacing="0" w:afterAutospacing="0" w:line="240" w:lineRule="auto"/>
              <w:ind w:right="0" w:rightChars="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p>
        </w:tc>
        <w:tc>
          <w:tcPr>
            <w:tcW w:w="3465" w:type="pct"/>
            <w:noWrap w:val="0"/>
            <w:vAlign w:val="center"/>
          </w:tcPr>
          <w:p w14:paraId="0657DDB6">
            <w:pPr>
              <w:overflowPunct w:val="0"/>
              <w:autoSpaceDE w:val="0"/>
              <w:autoSpaceDN w:val="0"/>
              <w:spacing w:beforeLines="0" w:afterLines="0" w:line="240" w:lineRule="auto"/>
              <w:jc w:val="center"/>
              <w:rPr>
                <w:rFonts w:hint="eastAsia" w:ascii="宋体" w:hAnsi="宋体" w:eastAsia="宋体" w:cs="宋体"/>
                <w:color w:val="auto"/>
                <w:sz w:val="21"/>
                <w:szCs w:val="21"/>
                <w:highlight w:val="none"/>
              </w:rPr>
            </w:pPr>
          </w:p>
        </w:tc>
        <w:tc>
          <w:tcPr>
            <w:tcW w:w="1185" w:type="pct"/>
            <w:noWrap w:val="0"/>
            <w:vAlign w:val="center"/>
          </w:tcPr>
          <w:p w14:paraId="685113E1">
            <w:pPr>
              <w:overflowPunct w:val="0"/>
              <w:autoSpaceDE w:val="0"/>
              <w:autoSpaceDN w:val="0"/>
              <w:spacing w:beforeLines="0" w:afterLines="0" w:line="240" w:lineRule="auto"/>
              <w:jc w:val="center"/>
              <w:rPr>
                <w:rFonts w:hint="eastAsia" w:ascii="宋体" w:hAnsi="宋体" w:eastAsia="宋体" w:cs="宋体"/>
                <w:color w:val="auto"/>
                <w:sz w:val="21"/>
                <w:szCs w:val="21"/>
                <w:highlight w:val="none"/>
                <w:lang w:eastAsia="zh-CN"/>
              </w:rPr>
            </w:pPr>
          </w:p>
        </w:tc>
      </w:tr>
    </w:tbl>
    <w:p w14:paraId="36D18386">
      <w:pPr>
        <w:spacing w:line="360" w:lineRule="exact"/>
        <w:rPr>
          <w:rFonts w:hint="eastAsia" w:ascii="宋体" w:hAnsi="宋体"/>
          <w:highlight w:val="none"/>
        </w:rPr>
      </w:pPr>
    </w:p>
    <w:p w14:paraId="50B50B0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none"/>
        </w:rPr>
      </w:pPr>
      <w:bookmarkStart w:id="55" w:name="_Toc227726372"/>
      <w:bookmarkStart w:id="56" w:name="_Toc227726577"/>
      <w:bookmarkStart w:id="57" w:name="_Toc257037883"/>
      <w:bookmarkStart w:id="58" w:name="_Toc127880411"/>
      <w:bookmarkStart w:id="59" w:name="_Toc257033755"/>
      <w:r>
        <w:rPr>
          <w:rFonts w:hint="eastAsia" w:ascii="宋体" w:hAnsi="宋体" w:eastAsia="宋体" w:cs="宋体"/>
          <w:b/>
          <w:bCs/>
          <w:sz w:val="24"/>
          <w:szCs w:val="24"/>
          <w:highlight w:val="none"/>
          <w:lang w:val="en-US" w:eastAsia="zh-CN"/>
        </w:rPr>
        <w:t>三、</w:t>
      </w:r>
      <w:r>
        <w:rPr>
          <w:rFonts w:hint="eastAsia" w:ascii="宋体" w:hAnsi="宋体" w:eastAsia="宋体" w:cs="宋体"/>
          <w:b/>
          <w:bCs/>
          <w:sz w:val="24"/>
          <w:szCs w:val="24"/>
          <w:highlight w:val="none"/>
        </w:rPr>
        <w:t>技术</w:t>
      </w:r>
      <w:bookmarkEnd w:id="55"/>
      <w:bookmarkEnd w:id="56"/>
      <w:r>
        <w:rPr>
          <w:rFonts w:hint="eastAsia" w:ascii="宋体" w:hAnsi="宋体" w:eastAsia="宋体" w:cs="宋体"/>
          <w:b/>
          <w:bCs/>
          <w:sz w:val="24"/>
          <w:szCs w:val="24"/>
          <w:highlight w:val="none"/>
        </w:rPr>
        <w:t>要求概况</w:t>
      </w:r>
      <w:bookmarkEnd w:id="57"/>
      <w:bookmarkEnd w:id="58"/>
      <w:bookmarkEnd w:id="59"/>
      <w:bookmarkStart w:id="60" w:name="_Toc31871"/>
      <w:bookmarkStart w:id="61" w:name="_Toc492889968"/>
    </w:p>
    <w:bookmarkEnd w:id="60"/>
    <w:bookmarkEnd w:id="61"/>
    <w:p w14:paraId="4616C029">
      <w:pPr>
        <w:pageBreakBefore w:val="0"/>
        <w:widowControl w:val="0"/>
        <w:numPr>
          <w:ilvl w:val="0"/>
          <w:numId w:val="0"/>
        </w:numPr>
        <w:tabs>
          <w:tab w:val="left" w:pos="0"/>
        </w:tabs>
        <w:kinsoku/>
        <w:wordWrap/>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 加工产品： 202V04400-6081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202V04400-6092</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AZ100005000051、AZ100005000052</w:t>
      </w:r>
      <w:r>
        <w:rPr>
          <w:rFonts w:hint="eastAsia" w:ascii="宋体" w:hAnsi="宋体" w:eastAsia="宋体" w:cs="宋体"/>
          <w:sz w:val="24"/>
          <w:szCs w:val="24"/>
          <w:highlight w:val="none"/>
        </w:rPr>
        <w:t>；参考图纸见附</w:t>
      </w:r>
      <w:r>
        <w:rPr>
          <w:rFonts w:hint="eastAsia" w:ascii="宋体" w:hAnsi="宋体" w:eastAsia="宋体" w:cs="宋体"/>
          <w:sz w:val="24"/>
          <w:szCs w:val="24"/>
          <w:highlight w:val="none"/>
          <w:lang w:val="en-US" w:eastAsia="zh-CN"/>
        </w:rPr>
        <w:t>图</w:t>
      </w: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铣两端面、钻两端面各孔</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附图2《车止推端面及退刀槽》</w:t>
      </w:r>
      <w:r>
        <w:rPr>
          <w:rFonts w:hint="eastAsia" w:ascii="宋体" w:hAnsi="宋体" w:eastAsia="宋体" w:cs="宋体"/>
          <w:sz w:val="24"/>
          <w:szCs w:val="24"/>
          <w:highlight w:val="none"/>
        </w:rPr>
        <w:t>。</w:t>
      </w:r>
    </w:p>
    <w:p w14:paraId="066D4F02">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2. </w:t>
      </w:r>
      <w:r>
        <w:rPr>
          <w:rFonts w:hint="eastAsia" w:ascii="宋体" w:hAnsi="宋体" w:eastAsia="宋体" w:cs="宋体"/>
          <w:sz w:val="24"/>
          <w:szCs w:val="24"/>
          <w:highlight w:val="none"/>
          <w:lang w:val="en-US" w:eastAsia="zh-CN"/>
        </w:rPr>
        <w:t>实施</w:t>
      </w:r>
      <w:r>
        <w:rPr>
          <w:rFonts w:hint="eastAsia" w:ascii="宋体" w:hAnsi="宋体" w:eastAsia="宋体" w:cs="宋体"/>
          <w:sz w:val="24"/>
          <w:szCs w:val="24"/>
          <w:highlight w:val="none"/>
        </w:rPr>
        <w:t>内容：</w:t>
      </w:r>
    </w:p>
    <w:p w14:paraId="3120BEF0">
      <w:pPr>
        <w:pStyle w:val="17"/>
        <w:spacing w:line="360" w:lineRule="auto"/>
        <w:ind w:firstLine="480" w:firstLineChars="200"/>
        <w:jc w:val="left"/>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 OP30拉鲁两端面加工定位装置：设计1套钢管定位装置，并完成V型夹紧块的改造和V型夹紧液控制压力的调整，实现带堵头钢管的定位和装夹；匹配相应的NC程序，实现系统轴向坐标系标定，完成铣两端面和钻两端面各孔。</w:t>
      </w:r>
    </w:p>
    <w:p w14:paraId="37ED2818">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2.2 OP50车床轴向测量装置：增加一套车床专用轴向红外测量装置（含测头），同时配置一套接收器与机床进行对接，用于加工中工件测量并自动修正偏置值，将补偿值反馈车削刀具，实现精准余量去除；匹配相应的程序和刀具，完成止推面和退刀槽的车削。</w:t>
      </w:r>
    </w:p>
    <w:p w14:paraId="3EDDCFDD">
      <w:pPr>
        <w:pStyle w:val="17"/>
        <w:pageBreakBefore w:val="0"/>
        <w:widowControl w:val="0"/>
        <w:kinsoku/>
        <w:wordWrap/>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 xml:space="preserve">3. </w:t>
      </w:r>
      <w:r>
        <w:rPr>
          <w:rFonts w:hint="eastAsia" w:ascii="宋体" w:hAnsi="宋体" w:eastAsia="宋体" w:cs="宋体"/>
          <w:sz w:val="24"/>
          <w:szCs w:val="24"/>
          <w:highlight w:val="none"/>
          <w:lang w:val="en-US" w:eastAsia="zh-CN"/>
        </w:rPr>
        <w:t>质量</w:t>
      </w:r>
      <w:r>
        <w:rPr>
          <w:rFonts w:hint="eastAsia" w:ascii="宋体" w:hAnsi="宋体" w:eastAsia="宋体" w:cs="宋体"/>
          <w:sz w:val="24"/>
          <w:szCs w:val="24"/>
          <w:highlight w:val="none"/>
        </w:rPr>
        <w:t>要求：</w:t>
      </w:r>
      <w:r>
        <w:rPr>
          <w:rFonts w:hint="eastAsia" w:ascii="宋体" w:hAnsi="宋体" w:eastAsia="宋体" w:cs="宋体"/>
          <w:sz w:val="24"/>
          <w:szCs w:val="24"/>
          <w:highlight w:val="none"/>
          <w:lang w:val="en-US" w:eastAsia="zh-CN"/>
        </w:rPr>
        <w:t>OP30钻孔</w:t>
      </w:r>
      <w:bookmarkStart w:id="62" w:name="OLE_LINK4"/>
      <w:r>
        <w:rPr>
          <w:rFonts w:hint="eastAsia" w:ascii="宋体" w:hAnsi="宋体" w:eastAsia="宋体" w:cs="宋体"/>
          <w:sz w:val="24"/>
          <w:szCs w:val="24"/>
          <w:highlight w:val="none"/>
          <w:lang w:val="en-US" w:eastAsia="zh-CN"/>
        </w:rPr>
        <w:t>后钢管跳动≤0.</w:t>
      </w:r>
      <w:r>
        <w:rPr>
          <w:rFonts w:hint="eastAsia" w:hAnsi="宋体" w:eastAsia="宋体" w:cs="宋体"/>
          <w:sz w:val="24"/>
          <w:szCs w:val="24"/>
          <w:highlight w:val="none"/>
          <w:lang w:val="en-US" w:eastAsia="zh-CN"/>
        </w:rPr>
        <w:t>3</w:t>
      </w:r>
      <w:r>
        <w:rPr>
          <w:rFonts w:hint="eastAsia" w:ascii="宋体" w:hAnsi="宋体" w:eastAsia="宋体" w:cs="宋体"/>
          <w:sz w:val="24"/>
          <w:szCs w:val="24"/>
          <w:highlight w:val="none"/>
          <w:lang w:val="en-US" w:eastAsia="zh-CN"/>
        </w:rPr>
        <w:t>5mm</w:t>
      </w:r>
      <w:bookmarkEnd w:id="62"/>
      <w:r>
        <w:rPr>
          <w:rFonts w:hint="eastAsia" w:ascii="宋体" w:hAnsi="宋体" w:eastAsia="宋体" w:cs="宋体"/>
          <w:sz w:val="24"/>
          <w:szCs w:val="24"/>
          <w:highlight w:val="none"/>
          <w:lang w:val="en-US" w:eastAsia="zh-CN"/>
        </w:rPr>
        <w:t>，钢管外径不允许发生变形</w:t>
      </w:r>
      <w:r>
        <w:rPr>
          <w:rFonts w:hint="eastAsia" w:hAnsi="宋体" w:eastAsia="宋体" w:cs="宋体"/>
          <w:sz w:val="24"/>
          <w:szCs w:val="24"/>
          <w:highlight w:val="none"/>
          <w:lang w:val="en-US" w:eastAsia="zh-CN"/>
        </w:rPr>
        <w:t>和划伤</w:t>
      </w:r>
      <w:r>
        <w:rPr>
          <w:rFonts w:hint="eastAsia" w:ascii="宋体" w:hAnsi="宋体" w:eastAsia="宋体" w:cs="宋体"/>
          <w:sz w:val="24"/>
          <w:szCs w:val="24"/>
          <w:highlight w:val="none"/>
          <w:lang w:val="en-US" w:eastAsia="zh-CN"/>
        </w:rPr>
        <w:t>。</w:t>
      </w:r>
    </w:p>
    <w:p w14:paraId="3E2AC6E9">
      <w:pPr>
        <w:pStyle w:val="17"/>
        <w:pageBreakBefore w:val="0"/>
        <w:widowControl w:val="0"/>
        <w:numPr>
          <w:ilvl w:val="0"/>
          <w:numId w:val="10"/>
        </w:numPr>
        <w:kinsoku/>
        <w:wordWrap/>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hAnsi="宋体" w:eastAsia="宋体" w:cs="宋体"/>
          <w:sz w:val="24"/>
          <w:szCs w:val="24"/>
          <w:highlight w:val="none"/>
          <w:lang w:val="en-US" w:eastAsia="zh-CN"/>
        </w:rPr>
        <w:t>OP30/OP50</w:t>
      </w:r>
      <w:r>
        <w:rPr>
          <w:rFonts w:hint="eastAsia" w:ascii="宋体" w:hAnsi="宋体" w:eastAsia="宋体" w:cs="宋体"/>
          <w:sz w:val="24"/>
          <w:szCs w:val="24"/>
          <w:highlight w:val="none"/>
        </w:rPr>
        <w:t>生产节拍：节拍≤</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分钟/件（含</w:t>
      </w:r>
      <w:r>
        <w:rPr>
          <w:rFonts w:hint="eastAsia" w:ascii="宋体" w:hAnsi="宋体" w:eastAsia="宋体" w:cs="宋体"/>
          <w:sz w:val="24"/>
          <w:szCs w:val="24"/>
          <w:highlight w:val="none"/>
          <w:lang w:val="en-US" w:eastAsia="zh-CN"/>
        </w:rPr>
        <w:t>自动</w:t>
      </w:r>
      <w:r>
        <w:rPr>
          <w:rFonts w:hint="eastAsia" w:ascii="宋体" w:hAnsi="宋体" w:eastAsia="宋体" w:cs="宋体"/>
          <w:sz w:val="24"/>
          <w:szCs w:val="24"/>
          <w:highlight w:val="none"/>
        </w:rPr>
        <w:t>上下料等所有辅助时间）。</w:t>
      </w:r>
    </w:p>
    <w:p w14:paraId="5490C5ED">
      <w:pPr>
        <w:pStyle w:val="17"/>
        <w:pageBreakBefore w:val="0"/>
        <w:widowControl w:val="0"/>
        <w:numPr>
          <w:ilvl w:val="0"/>
          <w:numId w:val="10"/>
        </w:numPr>
        <w:kinsoku/>
        <w:wordWrap/>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自动化要求：</w:t>
      </w:r>
      <w:r>
        <w:rPr>
          <w:rFonts w:hint="eastAsia" w:ascii="宋体" w:hAnsi="宋体" w:eastAsia="宋体" w:cs="宋体"/>
          <w:sz w:val="24"/>
          <w:szCs w:val="24"/>
          <w:highlight w:val="none"/>
          <w:lang w:val="en-US" w:eastAsia="zh-CN"/>
        </w:rPr>
        <w:t>利用现有桁架机械手上下料，实现自动上下料和抽检功能。</w:t>
      </w:r>
    </w:p>
    <w:p w14:paraId="55A468DA">
      <w:pPr>
        <w:pageBreakBefore w:val="0"/>
        <w:widowControl w:val="0"/>
        <w:numPr>
          <w:ilvl w:val="0"/>
          <w:numId w:val="10"/>
        </w:numPr>
        <w:tabs>
          <w:tab w:val="left" w:pos="0"/>
        </w:tabs>
        <w:kinsoku/>
        <w:wordWrap/>
        <w:topLinePunct w:val="0"/>
        <w:autoSpaceDE/>
        <w:autoSpaceDN/>
        <w:bidi w:val="0"/>
        <w:spacing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换型要求：</w:t>
      </w:r>
      <w:r>
        <w:rPr>
          <w:rFonts w:hint="eastAsia" w:ascii="宋体" w:hAnsi="宋体" w:eastAsia="宋体" w:cs="宋体"/>
          <w:sz w:val="24"/>
          <w:szCs w:val="24"/>
          <w:highlight w:val="none"/>
          <w:lang w:val="en-US" w:eastAsia="zh-CN"/>
        </w:rPr>
        <w:t>现有夹具为整体式凸轮轴夹具，招标项目为组合式凸轮轴夹具改造，改造后需保证整体式和组合式夹具方便换型（换型时间≤8h）</w:t>
      </w:r>
      <w:r>
        <w:rPr>
          <w:rFonts w:hint="eastAsia" w:ascii="宋体" w:hAnsi="宋体" w:eastAsia="宋体" w:cs="宋体"/>
          <w:sz w:val="24"/>
          <w:szCs w:val="24"/>
          <w:highlight w:val="none"/>
        </w:rPr>
        <w:t>。</w:t>
      </w:r>
    </w:p>
    <w:p w14:paraId="01E696F6">
      <w:pPr>
        <w:numPr>
          <w:ilvl w:val="0"/>
          <w:numId w:val="10"/>
        </w:numPr>
        <w:tabs>
          <w:tab w:val="left" w:pos="0"/>
        </w:tabs>
        <w:spacing w:line="360" w:lineRule="auto"/>
        <w:ind w:left="0" w:leftChars="0"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附图1：铣两端面、钻两端面各孔</w:t>
      </w:r>
    </w:p>
    <w:p w14:paraId="4577DACF">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7.1前序输入</w:t>
      </w:r>
    </w:p>
    <w:p w14:paraId="6102CB5D">
      <w:pPr>
        <w:pageBreakBefore w:val="0"/>
        <w:widowControl w:val="0"/>
        <w:numPr>
          <w:ilvl w:val="0"/>
          <w:numId w:val="0"/>
        </w:numPr>
        <w:tabs>
          <w:tab w:val="left" w:pos="0"/>
        </w:tabs>
        <w:kinsoku/>
        <w:wordWrap/>
        <w:topLinePunct w:val="0"/>
        <w:autoSpaceDE/>
        <w:autoSpaceDN/>
        <w:bidi w:val="0"/>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前序输入在制品：长度993mm、907mm两种（6081、6092为993mm，0051和0052为907mm），两侧堵头凸出量0</w:t>
      </w:r>
      <w:r>
        <w:rPr>
          <w:rFonts w:hint="eastAsia" w:ascii="微软雅黑" w:hAnsi="微软雅黑" w:eastAsia="微软雅黑" w:cs="微软雅黑"/>
          <w:sz w:val="24"/>
          <w:szCs w:val="24"/>
          <w:highlight w:val="none"/>
          <w:lang w:val="en-US" w:eastAsia="zh-CN"/>
        </w:rPr>
        <w:t>~</w:t>
      </w:r>
      <w:r>
        <w:rPr>
          <w:rFonts w:hint="eastAsia" w:ascii="宋体" w:hAnsi="宋体" w:eastAsia="宋体" w:cs="宋体"/>
          <w:sz w:val="24"/>
          <w:szCs w:val="24"/>
          <w:highlight w:val="none"/>
          <w:lang w:val="en-US" w:eastAsia="zh-CN"/>
        </w:rPr>
        <w:t>0.2mm，堵头直径Φ30.95（+0.006/+0.004）。</w:t>
      </w:r>
    </w:p>
    <w:p w14:paraId="05E2903A">
      <w:pPr>
        <w:pageBreakBefore w:val="0"/>
        <w:widowControl w:val="0"/>
        <w:numPr>
          <w:ilvl w:val="0"/>
          <w:numId w:val="0"/>
        </w:numPr>
        <w:tabs>
          <w:tab w:val="left" w:pos="0"/>
        </w:tabs>
        <w:kinsoku/>
        <w:wordWrap/>
        <w:topLinePunct w:val="0"/>
        <w:autoSpaceDE/>
        <w:autoSpaceDN/>
        <w:bidi w:val="0"/>
        <w:spacing w:line="360" w:lineRule="auto"/>
        <w:ind w:firstLine="480" w:firstLineChars="200"/>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钢管：材质E355+C，堵头：材质CF53。示意图如下图：</w:t>
      </w:r>
    </w:p>
    <w:p w14:paraId="4B859E58">
      <w:pPr>
        <w:numPr>
          <w:ilvl w:val="0"/>
          <w:numId w:val="0"/>
        </w:numPr>
        <w:tabs>
          <w:tab w:val="left" w:pos="0"/>
        </w:tabs>
        <w:spacing w:line="360" w:lineRule="auto"/>
        <w:ind w:leftChars="200"/>
        <w:jc w:val="center"/>
        <w:rPr>
          <w:rFonts w:hint="eastAsia" w:ascii="宋体" w:hAnsi="宋体" w:eastAsia="宋体" w:cs="宋体"/>
          <w:sz w:val="24"/>
          <w:szCs w:val="24"/>
          <w:highlight w:val="none"/>
          <w:lang w:val="en-US" w:eastAsia="zh-CN"/>
        </w:rPr>
      </w:pPr>
      <w:r>
        <w:rPr>
          <w:rFonts w:hint="eastAsia"/>
          <w:highlight w:val="none"/>
          <w:lang w:val="en-US" w:eastAsia="zh-CN"/>
        </w:rPr>
        <w:t xml:space="preserve">      </w:t>
      </w:r>
      <w:r>
        <w:rPr>
          <w:highlight w:val="none"/>
        </w:rPr>
        <w:drawing>
          <wp:inline distT="0" distB="0" distL="114300" distR="114300">
            <wp:extent cx="4879975" cy="1310640"/>
            <wp:effectExtent l="0" t="0" r="15875" b="3810"/>
            <wp:docPr id="4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
                    <pic:cNvPicPr>
                      <a:picLocks noChangeAspect="1"/>
                    </pic:cNvPicPr>
                  </pic:nvPicPr>
                  <pic:blipFill>
                    <a:blip r:embed="rId42"/>
                    <a:stretch>
                      <a:fillRect/>
                    </a:stretch>
                  </pic:blipFill>
                  <pic:spPr>
                    <a:xfrm>
                      <a:off x="0" y="0"/>
                      <a:ext cx="4879975" cy="1310640"/>
                    </a:xfrm>
                    <a:prstGeom prst="rect">
                      <a:avLst/>
                    </a:prstGeom>
                    <a:noFill/>
                    <a:ln>
                      <a:noFill/>
                    </a:ln>
                  </pic:spPr>
                </pic:pic>
              </a:graphicData>
            </a:graphic>
          </wp:inline>
        </w:drawing>
      </w:r>
    </w:p>
    <w:p w14:paraId="3157E226">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 OP30加工内容</w:t>
      </w:r>
    </w:p>
    <w:p w14:paraId="7A20F3AA">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leftChars="200" w:firstLine="480" w:firstLineChars="200"/>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铣两端面、钻两端面各孔（中心孔、Φ6N7孔、Φ5.9孔、2-Φ6孔）、套车两端轴径。</w:t>
      </w:r>
    </w:p>
    <w:p w14:paraId="7A2378C7">
      <w:pPr>
        <w:numPr>
          <w:ilvl w:val="0"/>
          <w:numId w:val="0"/>
        </w:numPr>
        <w:tabs>
          <w:tab w:val="left" w:pos="0"/>
        </w:tabs>
        <w:spacing w:line="360" w:lineRule="auto"/>
        <w:ind w:leftChars="200"/>
        <w:jc w:val="center"/>
        <w:rPr>
          <w:rFonts w:hint="eastAsia" w:ascii="宋体" w:hAnsi="宋体" w:eastAsia="宋体" w:cs="宋体"/>
          <w:sz w:val="24"/>
          <w:szCs w:val="24"/>
          <w:highlight w:val="none"/>
          <w:lang w:val="en-US" w:eastAsia="zh-CN"/>
        </w:rPr>
      </w:pPr>
      <w:r>
        <w:rPr>
          <w:highlight w:val="none"/>
        </w:rPr>
        <w:drawing>
          <wp:inline distT="0" distB="0" distL="114300" distR="114300">
            <wp:extent cx="5958205" cy="1576070"/>
            <wp:effectExtent l="0" t="0" r="4445" b="508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43"/>
                    <a:stretch>
                      <a:fillRect/>
                    </a:stretch>
                  </pic:blipFill>
                  <pic:spPr>
                    <a:xfrm>
                      <a:off x="0" y="0"/>
                      <a:ext cx="5958205" cy="1576070"/>
                    </a:xfrm>
                    <a:prstGeom prst="rect">
                      <a:avLst/>
                    </a:prstGeom>
                    <a:noFill/>
                    <a:ln>
                      <a:noFill/>
                    </a:ln>
                  </pic:spPr>
                </pic:pic>
              </a:graphicData>
            </a:graphic>
          </wp:inline>
        </w:drawing>
      </w:r>
    </w:p>
    <w:p w14:paraId="679245A9">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p>
    <w:p w14:paraId="73D4F288">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r>
        <w:rPr>
          <w:highlight w:val="none"/>
        </w:rPr>
        <w:drawing>
          <wp:inline distT="0" distB="0" distL="114300" distR="114300">
            <wp:extent cx="1554480" cy="1405890"/>
            <wp:effectExtent l="0" t="0" r="7620" b="381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44"/>
                    <a:stretch>
                      <a:fillRect/>
                    </a:stretch>
                  </pic:blipFill>
                  <pic:spPr>
                    <a:xfrm>
                      <a:off x="0" y="0"/>
                      <a:ext cx="1554480" cy="1405890"/>
                    </a:xfrm>
                    <a:prstGeom prst="rect">
                      <a:avLst/>
                    </a:prstGeom>
                    <a:noFill/>
                    <a:ln>
                      <a:noFill/>
                    </a:ln>
                  </pic:spPr>
                </pic:pic>
              </a:graphicData>
            </a:graphic>
          </wp:inline>
        </w:drawing>
      </w:r>
      <w:r>
        <w:rPr>
          <w:rFonts w:hint="eastAsia"/>
          <w:highlight w:val="none"/>
          <w:lang w:val="en-US" w:eastAsia="zh-CN"/>
        </w:rPr>
        <w:t xml:space="preserve">  </w:t>
      </w:r>
      <w:r>
        <w:rPr>
          <w:highlight w:val="none"/>
        </w:rPr>
        <w:drawing>
          <wp:inline distT="0" distB="0" distL="114300" distR="114300">
            <wp:extent cx="1710055" cy="1375410"/>
            <wp:effectExtent l="0" t="0" r="4445" b="15240"/>
            <wp:docPr id="3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
                    <pic:cNvPicPr>
                      <a:picLocks noChangeAspect="1"/>
                    </pic:cNvPicPr>
                  </pic:nvPicPr>
                  <pic:blipFill>
                    <a:blip r:embed="rId45"/>
                    <a:stretch>
                      <a:fillRect/>
                    </a:stretch>
                  </pic:blipFill>
                  <pic:spPr>
                    <a:xfrm>
                      <a:off x="0" y="0"/>
                      <a:ext cx="1710055" cy="1375410"/>
                    </a:xfrm>
                    <a:prstGeom prst="rect">
                      <a:avLst/>
                    </a:prstGeom>
                    <a:noFill/>
                    <a:ln>
                      <a:noFill/>
                    </a:ln>
                  </pic:spPr>
                </pic:pic>
              </a:graphicData>
            </a:graphic>
          </wp:inline>
        </w:drawing>
      </w:r>
      <w:r>
        <w:rPr>
          <w:rFonts w:hint="eastAsia"/>
          <w:highlight w:val="none"/>
          <w:lang w:val="en-US" w:eastAsia="zh-CN"/>
        </w:rPr>
        <w:t xml:space="preserve">  </w:t>
      </w:r>
      <w:r>
        <w:rPr>
          <w:highlight w:val="none"/>
        </w:rPr>
        <w:drawing>
          <wp:inline distT="0" distB="0" distL="114300" distR="114300">
            <wp:extent cx="1935480" cy="1162685"/>
            <wp:effectExtent l="0" t="0" r="7620" b="18415"/>
            <wp:docPr id="3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4"/>
                    <pic:cNvPicPr>
                      <a:picLocks noChangeAspect="1"/>
                    </pic:cNvPicPr>
                  </pic:nvPicPr>
                  <pic:blipFill>
                    <a:blip r:embed="rId46"/>
                    <a:stretch>
                      <a:fillRect/>
                    </a:stretch>
                  </pic:blipFill>
                  <pic:spPr>
                    <a:xfrm>
                      <a:off x="0" y="0"/>
                      <a:ext cx="1935480" cy="1162685"/>
                    </a:xfrm>
                    <a:prstGeom prst="rect">
                      <a:avLst/>
                    </a:prstGeom>
                    <a:noFill/>
                    <a:ln>
                      <a:noFill/>
                    </a:ln>
                  </pic:spPr>
                </pic:pic>
              </a:graphicData>
            </a:graphic>
          </wp:inline>
        </w:drawing>
      </w:r>
    </w:p>
    <w:p w14:paraId="2E82AC66">
      <w:pPr>
        <w:numPr>
          <w:ilvl w:val="0"/>
          <w:numId w:val="0"/>
        </w:numPr>
        <w:tabs>
          <w:tab w:val="left" w:pos="0"/>
        </w:tabs>
        <w:spacing w:line="360" w:lineRule="auto"/>
        <w:ind w:leftChars="200"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V向放大            Y向放大（两侧中心孔）           B-B放大</w:t>
      </w:r>
    </w:p>
    <w:p w14:paraId="347D2F6D">
      <w:pPr>
        <w:numPr>
          <w:ilvl w:val="0"/>
          <w:numId w:val="0"/>
        </w:numPr>
        <w:tabs>
          <w:tab w:val="left" w:pos="0"/>
        </w:tabs>
        <w:spacing w:line="360" w:lineRule="auto"/>
        <w:rPr>
          <w:rFonts w:hint="default" w:ascii="宋体" w:hAnsi="宋体" w:eastAsia="宋体" w:cs="宋体"/>
          <w:sz w:val="24"/>
          <w:szCs w:val="24"/>
          <w:highlight w:val="none"/>
          <w:lang w:val="en-US" w:eastAsia="zh-CN"/>
        </w:rPr>
      </w:pPr>
    </w:p>
    <w:p w14:paraId="7E072F3A">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r>
        <w:rPr>
          <w:rFonts w:hint="eastAsia"/>
          <w:highlight w:val="none"/>
          <w:lang w:val="en-US" w:eastAsia="zh-CN"/>
        </w:rPr>
        <w:t xml:space="preserve">       </w:t>
      </w:r>
      <w:r>
        <w:rPr>
          <w:highlight w:val="none"/>
        </w:rPr>
        <w:drawing>
          <wp:inline distT="0" distB="0" distL="114300" distR="114300">
            <wp:extent cx="2151380" cy="1713230"/>
            <wp:effectExtent l="0" t="0" r="1270" b="1270"/>
            <wp:docPr id="3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5"/>
                    <pic:cNvPicPr>
                      <a:picLocks noChangeAspect="1"/>
                    </pic:cNvPicPr>
                  </pic:nvPicPr>
                  <pic:blipFill>
                    <a:blip r:embed="rId47"/>
                    <a:stretch>
                      <a:fillRect/>
                    </a:stretch>
                  </pic:blipFill>
                  <pic:spPr>
                    <a:xfrm>
                      <a:off x="0" y="0"/>
                      <a:ext cx="2151380" cy="1713230"/>
                    </a:xfrm>
                    <a:prstGeom prst="rect">
                      <a:avLst/>
                    </a:prstGeom>
                    <a:noFill/>
                    <a:ln>
                      <a:noFill/>
                    </a:ln>
                  </pic:spPr>
                </pic:pic>
              </a:graphicData>
            </a:graphic>
          </wp:inline>
        </w:drawing>
      </w:r>
      <w:r>
        <w:rPr>
          <w:rFonts w:hint="eastAsia"/>
          <w:highlight w:val="none"/>
          <w:lang w:val="en-US" w:eastAsia="zh-CN"/>
        </w:rPr>
        <w:t xml:space="preserve">         </w:t>
      </w:r>
      <w:r>
        <w:rPr>
          <w:highlight w:val="none"/>
        </w:rPr>
        <w:drawing>
          <wp:inline distT="0" distB="0" distL="114300" distR="114300">
            <wp:extent cx="1630680" cy="1945005"/>
            <wp:effectExtent l="0" t="0" r="7620" b="17145"/>
            <wp:docPr id="3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6"/>
                    <pic:cNvPicPr>
                      <a:picLocks noChangeAspect="1"/>
                    </pic:cNvPicPr>
                  </pic:nvPicPr>
                  <pic:blipFill>
                    <a:blip r:embed="rId48"/>
                    <a:stretch>
                      <a:fillRect/>
                    </a:stretch>
                  </pic:blipFill>
                  <pic:spPr>
                    <a:xfrm>
                      <a:off x="0" y="0"/>
                      <a:ext cx="1630680" cy="1945005"/>
                    </a:xfrm>
                    <a:prstGeom prst="rect">
                      <a:avLst/>
                    </a:prstGeom>
                    <a:noFill/>
                    <a:ln>
                      <a:noFill/>
                    </a:ln>
                  </pic:spPr>
                </pic:pic>
              </a:graphicData>
            </a:graphic>
          </wp:inline>
        </w:drawing>
      </w:r>
    </w:p>
    <w:p w14:paraId="1BA0C071">
      <w:pPr>
        <w:numPr>
          <w:ilvl w:val="0"/>
          <w:numId w:val="0"/>
        </w:numPr>
        <w:tabs>
          <w:tab w:val="left" w:pos="0"/>
        </w:tabs>
        <w:spacing w:line="360" w:lineRule="auto"/>
        <w:ind w:leftChars="200" w:firstLine="1680" w:firstLineChars="7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W向放大                            A-A放大</w:t>
      </w:r>
    </w:p>
    <w:p w14:paraId="31B8A88E">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p>
    <w:p w14:paraId="5C229878">
      <w:pPr>
        <w:numPr>
          <w:ilvl w:val="0"/>
          <w:numId w:val="10"/>
        </w:numPr>
        <w:tabs>
          <w:tab w:val="left" w:pos="0"/>
        </w:tabs>
        <w:spacing w:line="360" w:lineRule="auto"/>
        <w:ind w:left="0" w:leftChars="0"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附图2：车止推端面及退刀槽（6081/6092不同）</w:t>
      </w:r>
    </w:p>
    <w:p w14:paraId="65BC7EBE">
      <w:pPr>
        <w:numPr>
          <w:ilvl w:val="0"/>
          <w:numId w:val="0"/>
        </w:numPr>
        <w:tabs>
          <w:tab w:val="left" w:pos="0"/>
        </w:tabs>
        <w:spacing w:line="360" w:lineRule="auto"/>
        <w:ind w:left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8.1前序输入：钢管为OP30加工完尺寸，止推片材质：55，加工余量0.5mm。</w:t>
      </w:r>
    </w:p>
    <w:p w14:paraId="0FD51200">
      <w:pPr>
        <w:numPr>
          <w:ilvl w:val="0"/>
          <w:numId w:val="0"/>
        </w:numPr>
        <w:tabs>
          <w:tab w:val="left" w:pos="0"/>
        </w:tabs>
        <w:spacing w:line="360" w:lineRule="auto"/>
        <w:ind w:left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8.2 OP50加工内容</w:t>
      </w:r>
    </w:p>
    <w:p w14:paraId="4DF66784">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360" w:lineRule="auto"/>
        <w:ind w:leftChars="200" w:firstLine="480" w:firstLineChars="200"/>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车止推端面及止推倒角、退刀槽、齿轮轴径倒角（止推面粗糙度Rz10、其余槽粗糙度Rz16）</w:t>
      </w:r>
    </w:p>
    <w:p w14:paraId="5C0BC457">
      <w:pPr>
        <w:numPr>
          <w:ilvl w:val="0"/>
          <w:numId w:val="0"/>
        </w:numPr>
        <w:tabs>
          <w:tab w:val="left" w:pos="0"/>
        </w:tabs>
        <w:spacing w:line="360" w:lineRule="auto"/>
        <w:ind w:leftChars="0"/>
        <w:jc w:val="center"/>
        <w:rPr>
          <w:rFonts w:hint="default" w:ascii="宋体" w:hAnsi="宋体" w:eastAsia="宋体" w:cs="宋体"/>
          <w:sz w:val="24"/>
          <w:szCs w:val="24"/>
          <w:highlight w:val="none"/>
          <w:lang w:val="en-US" w:eastAsia="zh-CN"/>
        </w:rPr>
      </w:pPr>
      <w:r>
        <w:rPr>
          <w:highlight w:val="none"/>
        </w:rPr>
        <w:drawing>
          <wp:inline distT="0" distB="0" distL="114300" distR="114300">
            <wp:extent cx="6184265" cy="1516380"/>
            <wp:effectExtent l="0" t="0" r="6985" b="762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49"/>
                    <a:stretch>
                      <a:fillRect/>
                    </a:stretch>
                  </pic:blipFill>
                  <pic:spPr>
                    <a:xfrm>
                      <a:off x="0" y="0"/>
                      <a:ext cx="6184265" cy="1516380"/>
                    </a:xfrm>
                    <a:prstGeom prst="rect">
                      <a:avLst/>
                    </a:prstGeom>
                    <a:noFill/>
                    <a:ln>
                      <a:noFill/>
                    </a:ln>
                  </pic:spPr>
                </pic:pic>
              </a:graphicData>
            </a:graphic>
          </wp:inline>
        </w:drawing>
      </w:r>
    </w:p>
    <w:p w14:paraId="00ADC78A">
      <w:pPr>
        <w:numPr>
          <w:ilvl w:val="0"/>
          <w:numId w:val="0"/>
        </w:numPr>
        <w:tabs>
          <w:tab w:val="left" w:pos="0"/>
        </w:tabs>
        <w:spacing w:line="360" w:lineRule="auto"/>
        <w:ind w:leftChars="0"/>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202V04400-6081示意图</w:t>
      </w:r>
    </w:p>
    <w:p w14:paraId="45845680">
      <w:pPr>
        <w:numPr>
          <w:ilvl w:val="0"/>
          <w:numId w:val="0"/>
        </w:numPr>
        <w:tabs>
          <w:tab w:val="left" w:pos="0"/>
        </w:tabs>
        <w:spacing w:line="360" w:lineRule="auto"/>
        <w:ind w:leftChars="0"/>
        <w:rPr>
          <w:highlight w:val="none"/>
        </w:rPr>
      </w:pPr>
      <w:r>
        <w:rPr>
          <w:highlight w:val="none"/>
        </w:rPr>
        <w:drawing>
          <wp:inline distT="0" distB="0" distL="114300" distR="114300">
            <wp:extent cx="6085840" cy="1904365"/>
            <wp:effectExtent l="0" t="0" r="10160" b="635"/>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50"/>
                    <a:stretch>
                      <a:fillRect/>
                    </a:stretch>
                  </pic:blipFill>
                  <pic:spPr>
                    <a:xfrm>
                      <a:off x="0" y="0"/>
                      <a:ext cx="6085840" cy="1904365"/>
                    </a:xfrm>
                    <a:prstGeom prst="rect">
                      <a:avLst/>
                    </a:prstGeom>
                    <a:noFill/>
                    <a:ln>
                      <a:noFill/>
                    </a:ln>
                  </pic:spPr>
                </pic:pic>
              </a:graphicData>
            </a:graphic>
          </wp:inline>
        </w:drawing>
      </w:r>
    </w:p>
    <w:p w14:paraId="3AA53376">
      <w:pPr>
        <w:numPr>
          <w:ilvl w:val="0"/>
          <w:numId w:val="0"/>
        </w:numPr>
        <w:tabs>
          <w:tab w:val="left" w:pos="0"/>
        </w:tabs>
        <w:spacing w:line="360" w:lineRule="auto"/>
        <w:ind w:leftChars="0"/>
        <w:jc w:val="center"/>
        <w:rPr>
          <w:rFonts w:hint="default"/>
          <w:highlight w:val="none"/>
          <w:lang w:val="en-US" w:eastAsia="zh-CN"/>
        </w:rPr>
      </w:pPr>
      <w:r>
        <w:rPr>
          <w:rFonts w:hint="eastAsia" w:ascii="宋体" w:hAnsi="宋体" w:eastAsia="宋体" w:cs="宋体"/>
          <w:sz w:val="24"/>
          <w:szCs w:val="24"/>
          <w:highlight w:val="none"/>
          <w:lang w:val="en-US" w:eastAsia="zh-CN"/>
        </w:rPr>
        <w:t>202V04400-6092示意图</w:t>
      </w:r>
    </w:p>
    <w:p w14:paraId="6628F4F1">
      <w:pPr>
        <w:numPr>
          <w:ilvl w:val="0"/>
          <w:numId w:val="0"/>
        </w:numPr>
        <w:tabs>
          <w:tab w:val="left" w:pos="0"/>
        </w:tabs>
        <w:spacing w:line="360" w:lineRule="auto"/>
        <w:ind w:leftChars="0"/>
        <w:rPr>
          <w:rFonts w:hint="default" w:ascii="宋体" w:hAnsi="宋体" w:eastAsia="宋体" w:cs="宋体"/>
          <w:sz w:val="24"/>
          <w:szCs w:val="24"/>
          <w:highlight w:val="none"/>
          <w:lang w:val="en-US" w:eastAsia="zh-CN"/>
        </w:rPr>
      </w:pPr>
      <w:r>
        <w:rPr>
          <w:highlight w:val="none"/>
        </w:rPr>
        <w:drawing>
          <wp:inline distT="0" distB="0" distL="114300" distR="114300">
            <wp:extent cx="2886710" cy="1757045"/>
            <wp:effectExtent l="0" t="0" r="8890" b="14605"/>
            <wp:docPr id="3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8"/>
                    <pic:cNvPicPr>
                      <a:picLocks noChangeAspect="1"/>
                    </pic:cNvPicPr>
                  </pic:nvPicPr>
                  <pic:blipFill>
                    <a:blip r:embed="rId51"/>
                    <a:stretch>
                      <a:fillRect/>
                    </a:stretch>
                  </pic:blipFill>
                  <pic:spPr>
                    <a:xfrm>
                      <a:off x="0" y="0"/>
                      <a:ext cx="2886710" cy="1757045"/>
                    </a:xfrm>
                    <a:prstGeom prst="rect">
                      <a:avLst/>
                    </a:prstGeom>
                    <a:noFill/>
                    <a:ln>
                      <a:noFill/>
                    </a:ln>
                  </pic:spPr>
                </pic:pic>
              </a:graphicData>
            </a:graphic>
          </wp:inline>
        </w:drawing>
      </w:r>
      <w:r>
        <w:rPr>
          <w:rFonts w:hint="eastAsia"/>
          <w:highlight w:val="none"/>
          <w:lang w:val="en-US" w:eastAsia="zh-CN"/>
        </w:rPr>
        <w:t xml:space="preserve"> </w:t>
      </w:r>
      <w:r>
        <w:rPr>
          <w:highlight w:val="none"/>
        </w:rPr>
        <w:drawing>
          <wp:inline distT="0" distB="0" distL="114300" distR="114300">
            <wp:extent cx="2656840" cy="1727835"/>
            <wp:effectExtent l="0" t="0" r="10160" b="5715"/>
            <wp:docPr id="3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9"/>
                    <pic:cNvPicPr>
                      <a:picLocks noChangeAspect="1"/>
                    </pic:cNvPicPr>
                  </pic:nvPicPr>
                  <pic:blipFill>
                    <a:blip r:embed="rId52"/>
                    <a:stretch>
                      <a:fillRect/>
                    </a:stretch>
                  </pic:blipFill>
                  <pic:spPr>
                    <a:xfrm>
                      <a:off x="0" y="0"/>
                      <a:ext cx="2656840" cy="1727835"/>
                    </a:xfrm>
                    <a:prstGeom prst="rect">
                      <a:avLst/>
                    </a:prstGeom>
                    <a:noFill/>
                    <a:ln>
                      <a:noFill/>
                    </a:ln>
                  </pic:spPr>
                </pic:pic>
              </a:graphicData>
            </a:graphic>
          </wp:inline>
        </w:drawing>
      </w:r>
    </w:p>
    <w:p w14:paraId="4E0F7F0A">
      <w:pPr>
        <w:numPr>
          <w:ilvl w:val="0"/>
          <w:numId w:val="0"/>
        </w:numPr>
        <w:tabs>
          <w:tab w:val="left" w:pos="0"/>
        </w:tabs>
        <w:spacing w:line="360" w:lineRule="auto"/>
        <w:ind w:leftChars="0"/>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202V04400-6081/6092退刀槽示意图</w:t>
      </w:r>
    </w:p>
    <w:p w14:paraId="710DF0DD">
      <w:pPr>
        <w:numPr>
          <w:ilvl w:val="0"/>
          <w:numId w:val="11"/>
        </w:numPr>
        <w:tabs>
          <w:tab w:val="left" w:pos="1080"/>
        </w:tabs>
        <w:spacing w:before="156" w:beforeLines="50" w:after="156" w:afterLines="50"/>
        <w:outlineLvl w:val="1"/>
        <w:rPr>
          <w:rFonts w:hint="eastAsia" w:ascii="宋体" w:hAnsi="宋体" w:eastAsia="宋体" w:cs="宋体"/>
          <w:b/>
          <w:sz w:val="24"/>
          <w:szCs w:val="24"/>
          <w:highlight w:val="none"/>
        </w:rPr>
      </w:pPr>
      <w:bookmarkStart w:id="63" w:name="_Toc127880412"/>
      <w:r>
        <w:rPr>
          <w:rFonts w:hint="eastAsia" w:ascii="宋体" w:hAnsi="宋体" w:eastAsia="宋体" w:cs="宋体"/>
          <w:b/>
          <w:sz w:val="24"/>
          <w:szCs w:val="24"/>
          <w:highlight w:val="none"/>
        </w:rPr>
        <w:t>方案及主要技术规格</w:t>
      </w:r>
      <w:bookmarkEnd w:id="63"/>
    </w:p>
    <w:p w14:paraId="6DCFE6FE">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1.技术方案要求</w:t>
      </w:r>
    </w:p>
    <w:p w14:paraId="615730E8">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一</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OP30铣两端面、加工两端面各孔（拉鲁：EHZ 01/1200 R-S）</w:t>
      </w:r>
    </w:p>
    <w:p w14:paraId="6175A190">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1.1</w:t>
      </w:r>
      <w:r>
        <w:rPr>
          <w:rFonts w:hint="eastAsia" w:ascii="宋体" w:hAnsi="宋体" w:eastAsia="宋体" w:cs="宋体"/>
          <w:sz w:val="24"/>
          <w:szCs w:val="24"/>
          <w:highlight w:val="none"/>
          <w:lang w:val="en-US" w:eastAsia="zh-CN"/>
        </w:rPr>
        <w:t xml:space="preserve"> 钢管定位装置，可实现带堵头钢管的轴向定位功能，满足不同长度钢管的定位要求，单边行程≥50mm；气缸两侧同时夹紧，保证两端面铣削后±0.4的精度要求。轴向定位完成后，需摆动避让钢管两端面加工部位，同时防止与现有刀具干涉。</w:t>
      </w:r>
    </w:p>
    <w:p w14:paraId="4C43586D">
      <w:pPr>
        <w:pStyle w:val="17"/>
        <w:spacing w:line="360" w:lineRule="auto"/>
        <w:ind w:firstLine="480" w:firstLineChars="200"/>
        <w:jc w:val="left"/>
        <w:rPr>
          <w:rFonts w:hint="eastAsia" w:ascii="宋体" w:hAnsi="宋体" w:eastAsia="宋体" w:cs="宋体"/>
          <w:strike w:val="0"/>
          <w:dstrike w:val="0"/>
          <w:sz w:val="24"/>
          <w:szCs w:val="24"/>
          <w:highlight w:val="none"/>
          <w:lang w:val="en-US" w:eastAsia="zh-CN"/>
        </w:rPr>
      </w:pPr>
      <w:r>
        <w:rPr>
          <w:rFonts w:hint="eastAsia" w:ascii="宋体" w:hAnsi="宋体" w:eastAsia="宋体" w:cs="宋体"/>
          <w:sz w:val="24"/>
          <w:szCs w:val="24"/>
          <w:highlight w:val="none"/>
          <w:lang w:val="en-US" w:eastAsia="zh-CN"/>
        </w:rPr>
        <w:t>1.2 V型夹紧块，装夹牢靠、兼顾耐用，V型材质采用铜合金，可满足E355+C钢管</w:t>
      </w:r>
      <w:r>
        <w:rPr>
          <w:rFonts w:hint="eastAsia" w:ascii="宋体" w:hAnsi="宋体" w:eastAsia="宋体" w:cs="宋体"/>
          <w:strike w:val="0"/>
          <w:dstrike w:val="0"/>
          <w:sz w:val="24"/>
          <w:szCs w:val="24"/>
          <w:highlight w:val="none"/>
          <w:lang w:val="en-US" w:eastAsia="zh-CN"/>
        </w:rPr>
        <w:t>装夹要求，配备调压阀，压力可调。</w:t>
      </w:r>
    </w:p>
    <w:p w14:paraId="64AF94B3">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hAnsi="宋体" w:eastAsia="宋体" w:cs="宋体"/>
          <w:sz w:val="24"/>
          <w:szCs w:val="24"/>
          <w:highlight w:val="none"/>
          <w:lang w:val="en-US" w:eastAsia="zh-CN"/>
        </w:rPr>
        <w:t>3</w:t>
      </w:r>
      <w:r>
        <w:rPr>
          <w:rFonts w:hint="eastAsia" w:ascii="宋体" w:hAnsi="宋体" w:eastAsia="宋体" w:cs="宋体"/>
          <w:sz w:val="24"/>
          <w:szCs w:val="24"/>
          <w:highlight w:val="none"/>
        </w:rPr>
        <w:t xml:space="preserve"> </w:t>
      </w:r>
      <w:r>
        <w:rPr>
          <w:rFonts w:hint="eastAsia" w:ascii="宋体" w:hAnsi="宋体" w:eastAsia="宋体" w:cs="宋体"/>
          <w:strike w:val="0"/>
          <w:dstrike w:val="0"/>
          <w:sz w:val="24"/>
          <w:szCs w:val="24"/>
          <w:highlight w:val="none"/>
          <w:lang w:val="en-US" w:eastAsia="zh-CN"/>
        </w:rPr>
        <w:t>可利用现有设备控制模块，实现与现有桁架机械手的对接，完成自动上下料，</w:t>
      </w:r>
      <w:r>
        <w:rPr>
          <w:rFonts w:hint="eastAsia" w:ascii="宋体" w:hAnsi="宋体" w:eastAsia="宋体" w:cs="宋体"/>
          <w:sz w:val="24"/>
          <w:szCs w:val="24"/>
          <w:highlight w:val="none"/>
          <w:lang w:val="en-US" w:eastAsia="zh-CN"/>
        </w:rPr>
        <w:t>并实现抽检工件的下料和回线功能。</w:t>
      </w:r>
      <w:r>
        <w:rPr>
          <w:rFonts w:hint="eastAsia" w:ascii="宋体" w:hAnsi="宋体" w:eastAsia="宋体" w:cs="宋体"/>
          <w:strike w:val="0"/>
          <w:dstrike w:val="0"/>
          <w:sz w:val="24"/>
          <w:szCs w:val="24"/>
          <w:highlight w:val="none"/>
          <w:lang w:val="en-US" w:eastAsia="zh-CN"/>
        </w:rPr>
        <w:t>根据钢管结构，匹配上料支撑，方便桁架机械手自动上料</w:t>
      </w:r>
      <w:r>
        <w:rPr>
          <w:rFonts w:hint="eastAsia" w:ascii="宋体" w:hAnsi="宋体" w:eastAsia="宋体" w:cs="宋体"/>
          <w:strike w:val="0"/>
          <w:dstrike w:val="0"/>
          <w:sz w:val="24"/>
          <w:szCs w:val="24"/>
          <w:highlight w:val="none"/>
        </w:rPr>
        <w:t>。</w:t>
      </w:r>
    </w:p>
    <w:p w14:paraId="52862A39">
      <w:pPr>
        <w:pStyle w:val="17"/>
        <w:spacing w:line="360" w:lineRule="auto"/>
        <w:ind w:firstLine="480" w:firstLineChars="200"/>
        <w:jc w:val="left"/>
        <w:rPr>
          <w:rFonts w:hint="eastAsia"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r>
        <w:rPr>
          <w:rFonts w:hint="eastAsia" w:hAnsi="宋体" w:eastAsia="宋体" w:cs="宋体"/>
          <w:sz w:val="24"/>
          <w:szCs w:val="24"/>
          <w:highlight w:val="none"/>
          <w:lang w:val="en-US" w:eastAsia="zh-CN"/>
        </w:rPr>
        <w:t>4</w:t>
      </w:r>
      <w:r>
        <w:rPr>
          <w:rFonts w:hint="eastAsia" w:ascii="宋体" w:hAnsi="宋体" w:eastAsia="宋体" w:cs="宋体"/>
          <w:sz w:val="24"/>
          <w:szCs w:val="24"/>
          <w:highlight w:val="none"/>
          <w:lang w:val="en-US" w:eastAsia="zh-CN"/>
        </w:rPr>
        <w:t xml:space="preserve"> 根据加工内容（见附图1），设计NC程序，并根据不同钢管长度，增加HMI产品型号选项，预留不少于5个选型端口，增加现有两种凸轮轴配套NC程序</w:t>
      </w:r>
      <w:r>
        <w:rPr>
          <w:rFonts w:hint="eastAsia" w:hAnsi="宋体" w:eastAsia="宋体" w:cs="宋体"/>
          <w:sz w:val="24"/>
          <w:szCs w:val="24"/>
          <w:highlight w:val="none"/>
          <w:lang w:val="en-US" w:eastAsia="zh-CN"/>
        </w:rPr>
        <w:t>及</w:t>
      </w:r>
      <w:r>
        <w:rPr>
          <w:rFonts w:hint="eastAsia" w:ascii="宋体" w:hAnsi="宋体" w:eastAsia="宋体" w:cs="宋体"/>
          <w:sz w:val="24"/>
          <w:szCs w:val="24"/>
          <w:highlight w:val="none"/>
          <w:lang w:val="en-US" w:eastAsia="zh-CN"/>
        </w:rPr>
        <w:t>配备2-Φ6孔复合钻头（实现钻孔加倒角功能）。</w:t>
      </w:r>
      <w:r>
        <w:rPr>
          <w:rFonts w:hint="eastAsia" w:hAnsi="宋体" w:eastAsia="宋体" w:cs="宋体"/>
          <w:sz w:val="24"/>
          <w:szCs w:val="24"/>
          <w:highlight w:val="none"/>
          <w:lang w:val="en-US" w:eastAsia="zh-CN"/>
        </w:rPr>
        <w:t>实现NC程序和机械手程序的对接。</w:t>
      </w:r>
    </w:p>
    <w:p w14:paraId="614289B4">
      <w:pPr>
        <w:pStyle w:val="17"/>
        <w:spacing w:line="360" w:lineRule="auto"/>
        <w:ind w:firstLine="480" w:firstLineChars="200"/>
        <w:jc w:val="left"/>
        <w:rPr>
          <w:rFonts w:hint="eastAsia" w:hAnsi="宋体" w:eastAsia="宋体" w:cs="宋体"/>
          <w:sz w:val="24"/>
          <w:szCs w:val="24"/>
          <w:highlight w:val="none"/>
          <w:lang w:val="en-US" w:eastAsia="zh-CN"/>
        </w:rPr>
      </w:pPr>
      <w:r>
        <w:rPr>
          <w:rFonts w:hint="eastAsia" w:hAnsi="宋体" w:eastAsia="宋体" w:cs="宋体"/>
          <w:sz w:val="24"/>
          <w:szCs w:val="24"/>
          <w:highlight w:val="none"/>
          <w:lang w:val="en-US" w:eastAsia="zh-CN"/>
        </w:rPr>
        <w:t>1.5设计1套钢管跳动检测工装，实现本序加工前钢管跳动检测，兼容单个凸轮外形轮廓检测,同步用于hommel综合测量机。</w:t>
      </w:r>
    </w:p>
    <w:p w14:paraId="7FD8679D">
      <w:pPr>
        <w:pStyle w:val="17"/>
        <w:spacing w:line="360" w:lineRule="auto"/>
        <w:ind w:firstLine="480" w:firstLineChars="200"/>
        <w:jc w:val="left"/>
        <w:rPr>
          <w:rFonts w:hint="eastAsia" w:hAnsi="宋体" w:eastAsia="宋体" w:cs="宋体"/>
          <w:sz w:val="24"/>
          <w:szCs w:val="24"/>
          <w:highlight w:val="none"/>
          <w:lang w:val="en-US" w:eastAsia="zh-CN"/>
        </w:rPr>
      </w:pPr>
      <w:r>
        <w:rPr>
          <w:rFonts w:hint="eastAsia" w:hAnsi="宋体" w:eastAsia="宋体" w:cs="宋体"/>
          <w:sz w:val="24"/>
          <w:szCs w:val="24"/>
          <w:highlight w:val="none"/>
          <w:lang w:val="en-US" w:eastAsia="zh-CN"/>
        </w:rPr>
        <w:t>1.6增加旋转工作台传感器各1套，方便现有工作台整体旋转，型号：BIC0009/BIC000A传感器各1件、BCC06UL/BCC088U传感器线缆各1件，品牌均为巴鲁夫。</w:t>
      </w:r>
    </w:p>
    <w:p w14:paraId="5C9FE5FA">
      <w:pPr>
        <w:pStyle w:val="17"/>
        <w:spacing w:line="360" w:lineRule="auto"/>
        <w:ind w:firstLine="480" w:firstLineChars="200"/>
        <w:jc w:val="left"/>
        <w:rPr>
          <w:rFonts w:hint="default"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hAnsi="宋体" w:eastAsia="宋体" w:cs="宋体"/>
          <w:sz w:val="24"/>
          <w:szCs w:val="24"/>
          <w:highlight w:val="none"/>
          <w:lang w:val="en-US" w:eastAsia="zh-CN"/>
        </w:rPr>
        <w:t>7</w:t>
      </w: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val="en-US" w:eastAsia="zh-CN"/>
        </w:rPr>
        <w:t>拉鲁两端面加工定位装置</w:t>
      </w:r>
      <w:r>
        <w:rPr>
          <w:rFonts w:hint="eastAsia" w:ascii="宋体" w:hAnsi="宋体" w:eastAsia="宋体" w:cs="宋体"/>
          <w:sz w:val="24"/>
          <w:szCs w:val="24"/>
          <w:highlight w:val="none"/>
        </w:rPr>
        <w:t>的技术特性、结构布置、控制原理、加工方案等必须成熟可靠、先进合理</w:t>
      </w:r>
      <w:r>
        <w:rPr>
          <w:rFonts w:hint="eastAsia" w:hAnsi="宋体" w:eastAsia="宋体" w:cs="宋体"/>
          <w:sz w:val="24"/>
          <w:szCs w:val="24"/>
          <w:highlight w:val="none"/>
          <w:lang w:eastAsia="zh-CN"/>
        </w:rPr>
        <w:t>。</w:t>
      </w:r>
      <w:r>
        <w:rPr>
          <w:rFonts w:hint="eastAsia" w:ascii="宋体" w:hAnsi="宋体" w:eastAsia="宋体" w:cs="宋体"/>
          <w:sz w:val="24"/>
          <w:szCs w:val="24"/>
          <w:highlight w:val="none"/>
        </w:rPr>
        <w:t>投标方应根据各自技术优势提出系统工艺方案，并作详细的分析描述和分项报价，其中分项报价单中应明细标准件品牌、规格，非标件应提供相关图纸。</w:t>
      </w:r>
    </w:p>
    <w:p w14:paraId="7C001FB0">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（二）OP50车止推端面及退刀槽（设备：台中精机Vturn-36/125）</w:t>
      </w:r>
    </w:p>
    <w:p w14:paraId="2119AD9B">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轴向测量装置、接收器：测头固定与现有刀盘上，接收器固定与设备上；轴向测量装置测量精度/单项重复精度≤1μm，可实现多向探测（如X/Y/Z），具备自动偏置补偿功能，具备高强度与稳定性。接收器采用无线传输，传输距离可达5米以上，具备抗干扰能力，接口与输出信号：支持多种输入/输出信号，宽电压输入</w:t>
      </w:r>
      <w:r>
        <w:rPr>
          <w:rFonts w:hint="eastAsia" w:hAnsi="宋体" w:eastAsia="宋体" w:cs="宋体"/>
          <w:sz w:val="24"/>
          <w:szCs w:val="24"/>
          <w:highlight w:val="none"/>
          <w:lang w:val="en-US" w:eastAsia="zh-CN"/>
        </w:rPr>
        <w:t>，接口和电压输入与现有车床和系统进行匹配</w:t>
      </w:r>
      <w:r>
        <w:rPr>
          <w:rFonts w:hint="eastAsia" w:ascii="宋体" w:hAnsi="宋体" w:eastAsia="宋体" w:cs="宋体"/>
          <w:sz w:val="24"/>
          <w:szCs w:val="24"/>
          <w:highlight w:val="none"/>
          <w:lang w:val="en-US" w:eastAsia="zh-CN"/>
        </w:rPr>
        <w:t>。防护等级至少IP68。</w:t>
      </w:r>
    </w:p>
    <w:p w14:paraId="7CFC4953">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1.2刀具：止推面车削需粗、精车分开；根据退刀槽形状和尺寸匹配合适刀具；刀具断屑良好，车削面无明显痕迹。</w:t>
      </w:r>
    </w:p>
    <w:p w14:paraId="4DDC2005">
      <w:pPr>
        <w:pStyle w:val="17"/>
        <w:spacing w:line="360" w:lineRule="auto"/>
        <w:ind w:firstLine="480" w:firstLineChars="200"/>
        <w:jc w:val="left"/>
        <w:rPr>
          <w:rFonts w:hint="eastAsia" w:ascii="宋体" w:hAnsi="宋体" w:eastAsia="宋体" w:cs="宋体"/>
          <w:strike w:val="0"/>
          <w:dstrike w:val="0"/>
          <w:sz w:val="24"/>
          <w:szCs w:val="24"/>
          <w:highlight w:val="none"/>
        </w:rPr>
      </w:pPr>
      <w:r>
        <w:rPr>
          <w:rFonts w:hint="eastAsia" w:ascii="宋体" w:hAnsi="宋体" w:eastAsia="宋体" w:cs="宋体"/>
          <w:sz w:val="24"/>
          <w:szCs w:val="24"/>
          <w:highlight w:val="none"/>
          <w:lang w:val="en-US" w:eastAsia="zh-CN"/>
        </w:rPr>
        <w:t>1.3</w:t>
      </w:r>
      <w:r>
        <w:rPr>
          <w:rFonts w:hint="eastAsia" w:ascii="宋体" w:hAnsi="宋体" w:eastAsia="宋体" w:cs="宋体"/>
          <w:sz w:val="24"/>
          <w:szCs w:val="24"/>
          <w:highlight w:val="none"/>
        </w:rPr>
        <w:t xml:space="preserve"> </w:t>
      </w:r>
      <w:r>
        <w:rPr>
          <w:rFonts w:hint="eastAsia" w:ascii="宋体" w:hAnsi="宋体" w:eastAsia="宋体" w:cs="宋体"/>
          <w:strike w:val="0"/>
          <w:dstrike w:val="0"/>
          <w:sz w:val="24"/>
          <w:szCs w:val="24"/>
          <w:highlight w:val="none"/>
          <w:lang w:val="en-US" w:eastAsia="zh-CN"/>
        </w:rPr>
        <w:t>可利用现有设备控制模块，实现与现有桁架机械手的对接，完成自动上下料，</w:t>
      </w:r>
      <w:r>
        <w:rPr>
          <w:rFonts w:hint="eastAsia" w:ascii="宋体" w:hAnsi="宋体" w:eastAsia="宋体" w:cs="宋体"/>
          <w:sz w:val="24"/>
          <w:szCs w:val="24"/>
          <w:highlight w:val="none"/>
          <w:lang w:val="en-US" w:eastAsia="zh-CN"/>
        </w:rPr>
        <w:t>并实现抽检工件的下料和回线功能。</w:t>
      </w:r>
      <w:r>
        <w:rPr>
          <w:rFonts w:hint="eastAsia" w:ascii="宋体" w:hAnsi="宋体" w:eastAsia="宋体" w:cs="宋体"/>
          <w:strike w:val="0"/>
          <w:dstrike w:val="0"/>
          <w:sz w:val="24"/>
          <w:szCs w:val="24"/>
          <w:highlight w:val="none"/>
          <w:lang w:val="en-US" w:eastAsia="zh-CN"/>
        </w:rPr>
        <w:t>根据钢管结构，匹配上料支撑，方便桁架机械手自动上料</w:t>
      </w:r>
      <w:r>
        <w:rPr>
          <w:rFonts w:hint="eastAsia" w:ascii="宋体" w:hAnsi="宋体" w:eastAsia="宋体" w:cs="宋体"/>
          <w:strike w:val="0"/>
          <w:dstrike w:val="0"/>
          <w:sz w:val="24"/>
          <w:szCs w:val="24"/>
          <w:highlight w:val="none"/>
        </w:rPr>
        <w:t>。</w:t>
      </w:r>
    </w:p>
    <w:p w14:paraId="754030B4">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trike w:val="0"/>
          <w:dstrike w:val="0"/>
          <w:sz w:val="24"/>
          <w:szCs w:val="24"/>
          <w:highlight w:val="none"/>
          <w:lang w:val="en-US" w:eastAsia="zh-CN"/>
        </w:rPr>
        <w:t>1.4根据加工内容（见附图2），设计NC程序。</w:t>
      </w:r>
      <w:r>
        <w:rPr>
          <w:rFonts w:hint="eastAsia" w:hAnsi="宋体" w:eastAsia="宋体" w:cs="宋体"/>
          <w:sz w:val="24"/>
          <w:szCs w:val="24"/>
          <w:highlight w:val="none"/>
          <w:lang w:val="en-US" w:eastAsia="zh-CN"/>
        </w:rPr>
        <w:t>实现NC程序和机械手程序的对接。</w:t>
      </w:r>
    </w:p>
    <w:p w14:paraId="54AD781A">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 xml:space="preserve"> </w:t>
      </w:r>
      <w:r>
        <w:rPr>
          <w:rFonts w:hint="eastAsia" w:ascii="宋体" w:hAnsi="宋体" w:eastAsia="宋体" w:cs="宋体"/>
          <w:sz w:val="24"/>
          <w:szCs w:val="24"/>
          <w:highlight w:val="none"/>
          <w:lang w:val="en-US" w:eastAsia="zh-CN"/>
        </w:rPr>
        <w:t>车床轴向测量装置</w:t>
      </w:r>
      <w:r>
        <w:rPr>
          <w:rFonts w:hint="eastAsia" w:ascii="宋体" w:hAnsi="宋体" w:eastAsia="宋体" w:cs="宋体"/>
          <w:sz w:val="24"/>
          <w:szCs w:val="24"/>
          <w:highlight w:val="none"/>
        </w:rPr>
        <w:t>的技术特性、结构布置、控制原理、加工方案等必须成熟可靠、先进合理</w:t>
      </w:r>
      <w:r>
        <w:rPr>
          <w:rFonts w:hint="eastAsia" w:hAnsi="宋体" w:eastAsia="宋体" w:cs="宋体"/>
          <w:sz w:val="24"/>
          <w:szCs w:val="24"/>
          <w:highlight w:val="none"/>
          <w:lang w:eastAsia="zh-CN"/>
        </w:rPr>
        <w:t>。</w:t>
      </w:r>
      <w:r>
        <w:rPr>
          <w:rFonts w:hint="eastAsia" w:ascii="宋体" w:hAnsi="宋体" w:eastAsia="宋体" w:cs="宋体"/>
          <w:sz w:val="24"/>
          <w:szCs w:val="24"/>
          <w:highlight w:val="none"/>
        </w:rPr>
        <w:t>投标方应根据各自技术优势提出系统工艺方案，并作详细的分析描述和分项报价，其中分项报价单中应明细标准件品牌、规格，非标件应提供相关图纸。</w:t>
      </w:r>
    </w:p>
    <w:p w14:paraId="008FE671">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2.主要供货范围</w:t>
      </w:r>
    </w:p>
    <w:p w14:paraId="5206533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2.1负责提供</w:t>
      </w:r>
      <w:r>
        <w:rPr>
          <w:rFonts w:hint="eastAsia" w:ascii="宋体" w:hAnsi="宋体" w:eastAsia="宋体" w:cs="宋体"/>
          <w:sz w:val="24"/>
          <w:szCs w:val="24"/>
          <w:highlight w:val="none"/>
          <w:lang w:val="en-US" w:eastAsia="zh-CN"/>
        </w:rPr>
        <w:t>拉鲁两端面加工定位装置</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车床轴向测量装置</w:t>
      </w:r>
      <w:r>
        <w:rPr>
          <w:rFonts w:hint="eastAsia" w:ascii="宋体" w:hAnsi="宋体" w:eastAsia="宋体" w:cs="宋体"/>
          <w:sz w:val="24"/>
          <w:szCs w:val="24"/>
          <w:highlight w:val="none"/>
        </w:rPr>
        <w:t>的货物、图纸等；</w:t>
      </w:r>
    </w:p>
    <w:p w14:paraId="2FE4E924">
      <w:pPr>
        <w:pStyle w:val="17"/>
        <w:spacing w:line="360" w:lineRule="auto"/>
        <w:ind w:firstLine="480" w:firstLineChars="200"/>
        <w:jc w:val="left"/>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2.2负责两端面加工装置、轴向测量装置软硬件的准备及安装。</w:t>
      </w:r>
    </w:p>
    <w:p w14:paraId="52B1C6AD">
      <w:pPr>
        <w:pStyle w:val="17"/>
        <w:spacing w:line="360" w:lineRule="auto"/>
        <w:ind w:firstLine="480" w:firstLineChars="200"/>
        <w:jc w:val="left"/>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2.3 控制模块，招标方负责软硬件的准备，能实现与现有桁架机械手的对接。</w:t>
      </w:r>
    </w:p>
    <w:p w14:paraId="400473BE">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 </w:t>
      </w:r>
      <w:r>
        <w:rPr>
          <w:rFonts w:hint="eastAsia" w:ascii="宋体" w:hAnsi="宋体" w:eastAsia="宋体" w:cs="宋体"/>
          <w:sz w:val="24"/>
          <w:szCs w:val="24"/>
          <w:highlight w:val="none"/>
          <w:lang w:eastAsia="zh-CN"/>
        </w:rPr>
        <w:t>两端面加工装置、轴向测量装置</w:t>
      </w:r>
      <w:r>
        <w:rPr>
          <w:rFonts w:hint="eastAsia" w:ascii="宋体" w:hAnsi="宋体" w:eastAsia="宋体" w:cs="宋体"/>
          <w:sz w:val="24"/>
          <w:szCs w:val="24"/>
          <w:highlight w:val="none"/>
        </w:rPr>
        <w:t>配置要求</w:t>
      </w:r>
    </w:p>
    <w:p w14:paraId="7FEE22AE">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3.1工装</w:t>
      </w:r>
    </w:p>
    <w:p w14:paraId="358D0A72">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工装设计合理，承载安全系数高；液压气动动作平稳，方便维护。定位机构与工件接触部分要防止对工件表面产生损伤。在满足参数和工艺要求的前提下，应该具有良好的可靠性、稳定性和便于维修性，并具有尽可能高的效率。</w:t>
      </w:r>
    </w:p>
    <w:p w14:paraId="61E675D2">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3.2</w:t>
      </w:r>
      <w:r>
        <w:rPr>
          <w:rFonts w:hint="eastAsia" w:ascii="宋体" w:hAnsi="宋体" w:eastAsia="宋体" w:cs="宋体"/>
          <w:sz w:val="24"/>
          <w:szCs w:val="24"/>
          <w:highlight w:val="none"/>
          <w:lang w:val="en-US" w:eastAsia="zh-CN"/>
        </w:rPr>
        <w:t>轴向测量装置</w:t>
      </w:r>
    </w:p>
    <w:p w14:paraId="2E67ADDD">
      <w:pPr>
        <w:pStyle w:val="17"/>
        <w:spacing w:line="360" w:lineRule="auto"/>
        <w:ind w:firstLine="480" w:firstLineChars="200"/>
        <w:jc w:val="left"/>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轴向测头和接收器采用雷尼绍品牌，</w:t>
      </w:r>
      <w:r>
        <w:rPr>
          <w:rFonts w:hint="eastAsia" w:ascii="宋体" w:hAnsi="宋体" w:eastAsia="宋体" w:cs="宋体"/>
          <w:color w:val="000000"/>
          <w:sz w:val="24"/>
          <w:szCs w:val="24"/>
          <w:highlight w:val="none"/>
        </w:rPr>
        <w:t>并在投标文件中予以标明</w:t>
      </w:r>
      <w:r>
        <w:rPr>
          <w:rFonts w:hint="eastAsia" w:ascii="宋体" w:hAnsi="宋体" w:eastAsia="宋体" w:cs="宋体"/>
          <w:color w:val="000000"/>
          <w:sz w:val="24"/>
          <w:szCs w:val="24"/>
          <w:highlight w:val="none"/>
          <w:lang w:eastAsia="zh-CN"/>
        </w:rPr>
        <w:t>。</w:t>
      </w:r>
    </w:p>
    <w:p w14:paraId="6307BD90">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3.3钻头、刀具</w:t>
      </w:r>
    </w:p>
    <w:p w14:paraId="1CD7C5F7">
      <w:pPr>
        <w:pStyle w:val="17"/>
        <w:spacing w:line="360" w:lineRule="auto"/>
        <w:ind w:firstLine="480" w:firstLineChars="200"/>
        <w:jc w:val="left"/>
        <w:rPr>
          <w:rFonts w:hint="default"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钻头和刀具采用钴领、肯纳、伊斯卡、英格索尔、山特等品牌。</w:t>
      </w:r>
    </w:p>
    <w:p w14:paraId="0DC6CFE3">
      <w:pPr>
        <w:pStyle w:val="17"/>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3.</w:t>
      </w:r>
      <w:r>
        <w:rPr>
          <w:rFonts w:hint="eastAsia" w:hAnsi="宋体" w:eastAsia="宋体" w:cs="宋体"/>
          <w:sz w:val="24"/>
          <w:szCs w:val="24"/>
          <w:highlight w:val="none"/>
          <w:lang w:val="en-US" w:eastAsia="zh-CN"/>
        </w:rPr>
        <w:t>4</w:t>
      </w:r>
      <w:r>
        <w:rPr>
          <w:rFonts w:hint="eastAsia" w:ascii="宋体" w:hAnsi="宋体" w:eastAsia="宋体" w:cs="宋体"/>
          <w:sz w:val="24"/>
          <w:szCs w:val="24"/>
          <w:highlight w:val="none"/>
        </w:rPr>
        <w:t>导轨、丝杠</w:t>
      </w:r>
    </w:p>
    <w:p w14:paraId="777A8F14">
      <w:pPr>
        <w:pStyle w:val="17"/>
        <w:spacing w:line="360" w:lineRule="auto"/>
        <w:ind w:firstLine="480" w:firstLineChars="200"/>
        <w:jc w:val="left"/>
        <w:rPr>
          <w:rFonts w:hint="eastAsia" w:ascii="宋体" w:hAnsi="宋体" w:eastAsia="宋体" w:cs="宋体"/>
          <w:sz w:val="24"/>
          <w:szCs w:val="24"/>
          <w:highlight w:val="none"/>
          <w:lang w:eastAsia="zh-CN"/>
        </w:rPr>
      </w:pPr>
      <w:r>
        <w:rPr>
          <w:rFonts w:hint="eastAsia" w:ascii="宋体" w:hAnsi="宋体" w:eastAsia="宋体" w:cs="宋体"/>
          <w:color w:val="000000"/>
          <w:sz w:val="24"/>
          <w:szCs w:val="24"/>
          <w:highlight w:val="none"/>
        </w:rPr>
        <w:t>导轨（线轨）</w:t>
      </w:r>
      <w:r>
        <w:rPr>
          <w:rFonts w:hint="eastAsia" w:ascii="宋体" w:hAnsi="宋体" w:eastAsia="宋体" w:cs="宋体"/>
          <w:sz w:val="24"/>
          <w:szCs w:val="24"/>
          <w:highlight w:val="none"/>
        </w:rPr>
        <w:t>采用</w:t>
      </w:r>
      <w:r>
        <w:rPr>
          <w:rFonts w:hint="eastAsia" w:ascii="宋体" w:hAnsi="宋体" w:eastAsia="宋体" w:cs="宋体"/>
          <w:color w:val="000000"/>
          <w:sz w:val="24"/>
          <w:szCs w:val="24"/>
          <w:highlight w:val="none"/>
        </w:rPr>
        <w:t>THK、Thomson、NSK</w:t>
      </w:r>
      <w:r>
        <w:rPr>
          <w:rFonts w:hint="eastAsia" w:ascii="宋体" w:hAnsi="宋体" w:eastAsia="宋体" w:cs="宋体"/>
          <w:color w:val="000000"/>
          <w:sz w:val="24"/>
          <w:szCs w:val="24"/>
          <w:highlight w:val="none"/>
          <w:lang w:eastAsia="zh-CN"/>
        </w:rPr>
        <w:t>等品牌</w:t>
      </w:r>
      <w:r>
        <w:rPr>
          <w:rFonts w:hint="eastAsia" w:ascii="宋体" w:hAnsi="宋体" w:eastAsia="宋体" w:cs="宋体"/>
          <w:color w:val="000000"/>
          <w:sz w:val="24"/>
          <w:szCs w:val="24"/>
          <w:highlight w:val="none"/>
        </w:rPr>
        <w:t>，丝杠等运动部件采用THK、NSK、力士乐</w:t>
      </w:r>
      <w:r>
        <w:rPr>
          <w:rFonts w:hint="eastAsia" w:ascii="宋体" w:hAnsi="宋体" w:eastAsia="宋体" w:cs="宋体"/>
          <w:color w:val="000000"/>
          <w:sz w:val="24"/>
          <w:szCs w:val="24"/>
          <w:highlight w:val="none"/>
          <w:lang w:eastAsia="zh-CN"/>
        </w:rPr>
        <w:t>等品牌</w:t>
      </w:r>
      <w:r>
        <w:rPr>
          <w:rFonts w:hint="eastAsia" w:ascii="宋体" w:hAnsi="宋体" w:eastAsia="宋体" w:cs="宋体"/>
          <w:color w:val="000000"/>
          <w:sz w:val="24"/>
          <w:szCs w:val="24"/>
          <w:highlight w:val="none"/>
        </w:rPr>
        <w:t>，并在投标文件中予以标明</w:t>
      </w:r>
      <w:r>
        <w:rPr>
          <w:rFonts w:hint="eastAsia" w:ascii="宋体" w:hAnsi="宋体" w:eastAsia="宋体" w:cs="宋体"/>
          <w:color w:val="000000"/>
          <w:sz w:val="24"/>
          <w:szCs w:val="24"/>
          <w:highlight w:val="none"/>
          <w:lang w:eastAsia="zh-CN"/>
        </w:rPr>
        <w:t>。</w:t>
      </w:r>
    </w:p>
    <w:p w14:paraId="1295C6CB">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hAnsi="宋体" w:eastAsia="宋体" w:cs="宋体"/>
          <w:sz w:val="24"/>
          <w:szCs w:val="24"/>
          <w:highlight w:val="none"/>
          <w:lang w:val="en-US" w:eastAsia="zh-CN"/>
        </w:rPr>
        <w:t>5</w:t>
      </w:r>
      <w:r>
        <w:rPr>
          <w:rFonts w:hint="eastAsia" w:ascii="宋体" w:hAnsi="宋体" w:eastAsia="宋体" w:cs="宋体"/>
          <w:sz w:val="24"/>
          <w:szCs w:val="24"/>
          <w:highlight w:val="none"/>
        </w:rPr>
        <w:t>电气系统要求</w:t>
      </w:r>
    </w:p>
    <w:p w14:paraId="72F10F20">
      <w:pPr>
        <w:spacing w:line="360" w:lineRule="auto"/>
        <w:ind w:firstLine="480" w:firstLineChars="200"/>
        <w:rPr>
          <w:rFonts w:hint="eastAsia" w:ascii="宋体" w:hAnsi="宋体" w:eastAsia="宋体" w:cs="宋体"/>
          <w:strike/>
          <w:dstrike w:val="0"/>
          <w:sz w:val="24"/>
          <w:szCs w:val="24"/>
          <w:highlight w:val="none"/>
        </w:rPr>
      </w:pPr>
      <w:r>
        <w:rPr>
          <w:rFonts w:hint="eastAsia" w:ascii="宋体" w:hAnsi="宋体" w:eastAsia="宋体" w:cs="宋体"/>
          <w:sz w:val="24"/>
          <w:szCs w:val="24"/>
          <w:highlight w:val="none"/>
        </w:rPr>
        <w:t>低压电器：采用施耐德、西门子、ABB</w:t>
      </w:r>
      <w:r>
        <w:rPr>
          <w:rFonts w:hint="eastAsia" w:ascii="宋体" w:hAnsi="宋体" w:eastAsia="宋体" w:cs="宋体"/>
          <w:sz w:val="24"/>
          <w:szCs w:val="24"/>
          <w:highlight w:val="none"/>
          <w:lang w:eastAsia="zh-CN"/>
        </w:rPr>
        <w:t>等品牌</w:t>
      </w:r>
      <w:r>
        <w:rPr>
          <w:rFonts w:hint="eastAsia" w:ascii="宋体" w:hAnsi="宋体" w:eastAsia="宋体" w:cs="宋体"/>
          <w:sz w:val="24"/>
          <w:szCs w:val="24"/>
          <w:highlight w:val="none"/>
        </w:rPr>
        <w:t>，并在投标文件中予以分别标明。</w:t>
      </w:r>
    </w:p>
    <w:p w14:paraId="6619F178">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hAnsi="宋体" w:eastAsia="宋体" w:cs="宋体"/>
          <w:sz w:val="24"/>
          <w:szCs w:val="24"/>
          <w:highlight w:val="none"/>
          <w:lang w:val="en-US" w:eastAsia="zh-CN"/>
        </w:rPr>
        <w:t>6</w:t>
      </w:r>
      <w:r>
        <w:rPr>
          <w:rFonts w:hint="eastAsia" w:ascii="宋体" w:hAnsi="宋体" w:eastAsia="宋体" w:cs="宋体"/>
          <w:sz w:val="24"/>
          <w:szCs w:val="24"/>
          <w:highlight w:val="none"/>
        </w:rPr>
        <w:t>液压系统要求</w:t>
      </w:r>
    </w:p>
    <w:p w14:paraId="3BC8AF6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所用液压阀、液压缸采用博世、力士乐、Parker、哈威</w:t>
      </w:r>
      <w:r>
        <w:rPr>
          <w:rFonts w:hint="eastAsia" w:ascii="宋体" w:hAnsi="宋体" w:eastAsia="宋体" w:cs="宋体"/>
          <w:sz w:val="24"/>
          <w:szCs w:val="24"/>
          <w:highlight w:val="none"/>
          <w:lang w:eastAsia="zh-CN"/>
        </w:rPr>
        <w:t>等品牌</w:t>
      </w:r>
      <w:r>
        <w:rPr>
          <w:rFonts w:hint="eastAsia" w:ascii="宋体" w:hAnsi="宋体" w:eastAsia="宋体" w:cs="宋体"/>
          <w:sz w:val="24"/>
          <w:szCs w:val="24"/>
          <w:highlight w:val="none"/>
        </w:rPr>
        <w:t>，并在投标文件中予以标明。</w:t>
      </w:r>
    </w:p>
    <w:p w14:paraId="5E7C545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传感器使用IFM、巴鲁夫、SICK</w:t>
      </w:r>
      <w:r>
        <w:rPr>
          <w:rFonts w:hint="eastAsia" w:ascii="宋体" w:hAnsi="宋体" w:eastAsia="宋体" w:cs="宋体"/>
          <w:sz w:val="24"/>
          <w:szCs w:val="24"/>
          <w:highlight w:val="none"/>
          <w:lang w:eastAsia="zh-CN"/>
        </w:rPr>
        <w:t>等品牌</w:t>
      </w:r>
      <w:r>
        <w:rPr>
          <w:rFonts w:hint="eastAsia" w:ascii="宋体" w:hAnsi="宋体" w:eastAsia="宋体" w:cs="宋体"/>
          <w:sz w:val="24"/>
          <w:szCs w:val="24"/>
          <w:highlight w:val="none"/>
        </w:rPr>
        <w:t>。</w:t>
      </w:r>
    </w:p>
    <w:p w14:paraId="66B42D42">
      <w:pPr>
        <w:pStyle w:val="17"/>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hAnsi="宋体" w:eastAsia="宋体" w:cs="宋体"/>
          <w:sz w:val="24"/>
          <w:szCs w:val="24"/>
          <w:highlight w:val="none"/>
          <w:lang w:val="en-US" w:eastAsia="zh-CN"/>
        </w:rPr>
        <w:t>8</w:t>
      </w:r>
      <w:r>
        <w:rPr>
          <w:rFonts w:hint="eastAsia" w:ascii="宋体" w:hAnsi="宋体" w:eastAsia="宋体" w:cs="宋体"/>
          <w:sz w:val="24"/>
          <w:szCs w:val="24"/>
          <w:highlight w:val="none"/>
        </w:rPr>
        <w:t>气动系统要求</w:t>
      </w:r>
    </w:p>
    <w:p w14:paraId="47944C3B">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所用气管接头选用FESTO卡套式。气动元件（气缸、电磁阀等）采用FESTO、安沃驰、SMC</w:t>
      </w:r>
      <w:r>
        <w:rPr>
          <w:rFonts w:hint="eastAsia" w:ascii="宋体" w:hAnsi="宋体" w:eastAsia="宋体" w:cs="宋体"/>
          <w:sz w:val="24"/>
          <w:szCs w:val="24"/>
          <w:highlight w:val="none"/>
          <w:lang w:eastAsia="zh-CN"/>
        </w:rPr>
        <w:t>等品牌</w:t>
      </w:r>
      <w:r>
        <w:rPr>
          <w:rFonts w:hint="eastAsia" w:ascii="宋体" w:hAnsi="宋体" w:eastAsia="宋体" w:cs="宋体"/>
          <w:sz w:val="24"/>
          <w:szCs w:val="24"/>
          <w:highlight w:val="none"/>
        </w:rPr>
        <w:t>，并在投标文件中予以标明。</w:t>
      </w:r>
    </w:p>
    <w:p w14:paraId="50397734">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val="en-US" w:eastAsia="zh-CN"/>
        </w:rPr>
        <w:t>9</w:t>
      </w:r>
      <w:r>
        <w:rPr>
          <w:rFonts w:hint="eastAsia" w:ascii="宋体" w:hAnsi="宋体" w:eastAsia="宋体" w:cs="宋体"/>
          <w:sz w:val="24"/>
          <w:szCs w:val="24"/>
          <w:highlight w:val="none"/>
        </w:rPr>
        <w:t>布线要求</w:t>
      </w:r>
    </w:p>
    <w:p w14:paraId="37325DF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所有的元件和管线必须有标识；空中走管、走线（高度2200－2500mm）严禁泄漏。布置美观合理并方便工装的维修，空中液压、水管、气管、走线分别以不同的颜色区别。</w:t>
      </w:r>
    </w:p>
    <w:p w14:paraId="59436B01">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kern w:val="0"/>
          <w:sz w:val="24"/>
          <w:szCs w:val="24"/>
          <w:highlight w:val="none"/>
        </w:rPr>
        <w:t>3.</w:t>
      </w:r>
      <w:r>
        <w:rPr>
          <w:rFonts w:hint="eastAsia" w:ascii="宋体" w:hAnsi="宋体" w:eastAsia="宋体" w:cs="宋体"/>
          <w:kern w:val="0"/>
          <w:sz w:val="24"/>
          <w:szCs w:val="24"/>
          <w:highlight w:val="none"/>
          <w:lang w:val="en-US" w:eastAsia="zh-CN"/>
        </w:rPr>
        <w:t>10</w:t>
      </w:r>
      <w:r>
        <w:rPr>
          <w:rFonts w:hint="eastAsia" w:ascii="宋体" w:hAnsi="宋体" w:eastAsia="宋体" w:cs="宋体"/>
          <w:sz w:val="24"/>
          <w:szCs w:val="24"/>
          <w:highlight w:val="none"/>
        </w:rPr>
        <w:t>装置噪音达标要求：常时音不大于80dB，连续音不大于85dB，瞬间音不大于90dB，检测规范按照国家标准噪音测试依据：GBT16769-2008执行。</w:t>
      </w:r>
    </w:p>
    <w:p w14:paraId="136CFCBA">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3.1</w:t>
      </w:r>
      <w:r>
        <w:rPr>
          <w:rFonts w:hint="eastAsia" w:ascii="宋体" w:hAnsi="宋体" w:eastAsia="宋体" w:cs="宋体"/>
          <w:bCs/>
          <w:sz w:val="24"/>
          <w:szCs w:val="24"/>
          <w:highlight w:val="none"/>
          <w:lang w:val="en-US" w:eastAsia="zh-CN"/>
        </w:rPr>
        <w:t>1</w:t>
      </w:r>
      <w:r>
        <w:rPr>
          <w:rFonts w:hint="eastAsia" w:ascii="宋体" w:hAnsi="宋体" w:eastAsia="宋体" w:cs="宋体"/>
          <w:bCs/>
          <w:sz w:val="24"/>
          <w:szCs w:val="24"/>
          <w:highlight w:val="none"/>
        </w:rPr>
        <w:t>测量设备要求</w:t>
      </w:r>
    </w:p>
    <w:p w14:paraId="34A78710">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投标方提供《监视、测量设备清单》，清单应包含所有监视和测量设备，如：压力表、温度计、试漏仪、流量计、传感器等。验收前，需提供清单中工装对应的国家、省、市、县级法定计量检测机构第三方检测机构出具的检定、校准或测试报告。</w:t>
      </w:r>
    </w:p>
    <w:p w14:paraId="203A3B05">
      <w:pPr>
        <w:spacing w:line="360" w:lineRule="auto"/>
        <w:ind w:firstLine="480" w:firstLineChars="200"/>
        <w:rPr>
          <w:rFonts w:hint="eastAsia" w:ascii="宋体" w:hAnsi="宋体" w:eastAsia="宋体" w:cs="宋体"/>
          <w:sz w:val="24"/>
          <w:szCs w:val="24"/>
          <w:highlight w:val="none"/>
        </w:rPr>
      </w:pPr>
      <w:bookmarkStart w:id="64" w:name="_Toc127880413"/>
      <w:bookmarkEnd w:id="64"/>
      <w:bookmarkStart w:id="65" w:name="_Toc127880415"/>
      <w:bookmarkEnd w:id="65"/>
      <w:bookmarkStart w:id="66" w:name="_Toc127880414"/>
      <w:bookmarkEnd w:id="66"/>
      <w:bookmarkStart w:id="67" w:name="_Toc127880416"/>
      <w:r>
        <w:rPr>
          <w:rFonts w:hint="eastAsia" w:ascii="宋体" w:hAnsi="宋体" w:eastAsia="宋体" w:cs="宋体"/>
          <w:sz w:val="24"/>
          <w:szCs w:val="24"/>
          <w:highlight w:val="none"/>
        </w:rPr>
        <w:t>3.1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节能环保要求</w:t>
      </w:r>
    </w:p>
    <w:p w14:paraId="206E36C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所选电机、电气元件能耗要符合国家最新法规要求，选用节能产品。电机功率≥7.5KW时，必须选用一级能效；电机功率＜7.5KW时，优先选用一级能效；对于能源供应类</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及年运行时间≥2000小时工艺</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的电机必须选用一级能效；禁止使用三级及以下能效电机；空调必须选用一级能效；变压器最低选用二级能效。</w:t>
      </w:r>
    </w:p>
    <w:p w14:paraId="516D945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3.1</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防护等级：电气柜、按钮箱、分线盒、防护等级IP65；限位、压力等开关防护等级IP67；</w:t>
      </w:r>
    </w:p>
    <w:p w14:paraId="5F8E8A6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3.1</w:t>
      </w: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 xml:space="preserve"> 所具有的电气系统、液压系统、气动系统、润滑系统应各自独立；此装置要求配备安全运行保护单元和故障报警。</w:t>
      </w:r>
    </w:p>
    <w:p w14:paraId="7D921CD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3.15</w:t>
      </w:r>
      <w:r>
        <w:rPr>
          <w:rFonts w:hint="eastAsia" w:ascii="宋体" w:hAnsi="宋体" w:eastAsia="宋体" w:cs="宋体"/>
          <w:sz w:val="24"/>
          <w:szCs w:val="24"/>
          <w:highlight w:val="none"/>
        </w:rPr>
        <w:t>程序图纸要求：</w:t>
      </w:r>
    </w:p>
    <w:p w14:paraId="7B3FE60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供方必须提供所有</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程序的源代码，包括但不限于PLC程序、HMI程序、机器人程序、视觉程序、伺服等。供方所提供的程序不得设置任何密码、保护等限制手段，PLC不得设置修改下载权限，功能块不得设置密码保护。HMI界面等需要密码保护的程序，供方必须提供所有级别的用户名、密码。供方需在</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入场前提供</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程序源码，HMI界面各级用户名和密码，并保证与现场程序一致。供方需在终验收前提供最新的</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程序源码和电气图纸，图纸要求为可编辑原格式（EPLAN、CAD格式）且与实际接线一致。</w:t>
      </w:r>
    </w:p>
    <w:p w14:paraId="4230ACF4">
      <w:pPr>
        <w:spacing w:line="360" w:lineRule="auto"/>
        <w:ind w:firstLine="480" w:firstLineChars="200"/>
        <w:rPr>
          <w:rFonts w:hint="default" w:hAnsi="宋体" w:cs="宋体"/>
          <w:color w:val="FF0000"/>
          <w:sz w:val="24"/>
          <w:szCs w:val="24"/>
          <w:highlight w:val="none"/>
          <w:lang w:val="en-US" w:eastAsia="zh-CN"/>
        </w:rPr>
      </w:pPr>
      <w:r>
        <w:rPr>
          <w:rFonts w:hint="eastAsia" w:ascii="宋体" w:hAnsi="宋体" w:eastAsia="宋体" w:cs="宋体"/>
          <w:sz w:val="24"/>
          <w:szCs w:val="24"/>
          <w:highlight w:val="none"/>
          <w:lang w:val="en-US" w:eastAsia="zh-CN"/>
        </w:rPr>
        <w:t>3.16</w:t>
      </w:r>
      <w:r>
        <w:rPr>
          <w:rFonts w:hint="eastAsia" w:ascii="宋体" w:hAnsi="宋体" w:eastAsia="宋体" w:cs="宋体"/>
          <w:sz w:val="24"/>
          <w:szCs w:val="24"/>
          <w:highlight w:val="none"/>
        </w:rPr>
        <w:t>接口协议要求：供方免费开放所有通讯接口，包括但不限于以太网、RS232、RS485、PROFIBUS、PROFINET、MODBUS 等常见接口，以及</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特有的专用接口。供方免费提供数据交互功能，交互数据包括但不限于实时数据、历史数据、报警信息等。供方在</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入场前提供接口的技术文档和参数说明，包括 但不限于接口协议、通讯速率、数据格式等。</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使用周期内，供方免费派遣技术人员与甲方调试团队共同进行</w:t>
      </w:r>
      <w:r>
        <w:rPr>
          <w:rFonts w:hint="eastAsia" w:ascii="宋体" w:hAnsi="宋体" w:eastAsia="宋体" w:cs="宋体"/>
          <w:sz w:val="24"/>
          <w:szCs w:val="24"/>
          <w:highlight w:val="none"/>
          <w:lang w:eastAsia="zh-CN"/>
        </w:rPr>
        <w:t>装置</w:t>
      </w:r>
      <w:r>
        <w:rPr>
          <w:rFonts w:hint="eastAsia" w:ascii="宋体" w:hAnsi="宋体" w:eastAsia="宋体" w:cs="宋体"/>
          <w:sz w:val="24"/>
          <w:szCs w:val="24"/>
          <w:highlight w:val="none"/>
        </w:rPr>
        <w:t>通讯接口的调试工作。</w:t>
      </w:r>
      <w:bookmarkEnd w:id="67"/>
    </w:p>
    <w:p w14:paraId="6CB217C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五、</w:t>
      </w:r>
      <w:r>
        <w:rPr>
          <w:rFonts w:hint="eastAsia" w:ascii="宋体" w:hAnsi="宋体" w:eastAsia="宋体" w:cs="宋体"/>
          <w:b/>
          <w:bCs/>
          <w:sz w:val="24"/>
          <w:szCs w:val="24"/>
          <w:highlight w:val="none"/>
        </w:rPr>
        <w:t>安全要求</w:t>
      </w:r>
    </w:p>
    <w:p w14:paraId="62587F9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1．具备工装故障时声光报警的功能；</w:t>
      </w:r>
    </w:p>
    <w:p w14:paraId="32D7DE11">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 安全装置功能安全可靠：合理配备安全防护措施、实时监测、系统报警；</w:t>
      </w:r>
    </w:p>
    <w:p w14:paraId="5911829D">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 安全防护、环境保护、节能要求应满足ISO及国家相关标准；</w:t>
      </w:r>
    </w:p>
    <w:p w14:paraId="169BE31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六、</w:t>
      </w:r>
      <w:r>
        <w:rPr>
          <w:rFonts w:hint="eastAsia" w:ascii="宋体" w:hAnsi="宋体" w:eastAsia="宋体" w:cs="宋体"/>
          <w:b/>
          <w:bCs/>
          <w:sz w:val="24"/>
          <w:szCs w:val="24"/>
          <w:highlight w:val="none"/>
        </w:rPr>
        <w:t>供货要求</w:t>
      </w:r>
    </w:p>
    <w:p w14:paraId="6BD0A61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 供货范围包括货物维护维修所必需的专用工具；</w:t>
      </w:r>
    </w:p>
    <w:p w14:paraId="6DB5635C">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 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14:paraId="5E9CD2A7">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 供货范围包括货物正常运行所必需的全套连线设备、材料等。如货物端连接法兰外端面之内的、电气系统接口压线板（插座等）之内的设备、材料、连接螺栓、垫片等；</w:t>
      </w:r>
    </w:p>
    <w:p w14:paraId="6367EB19">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 供货范围包括货物正常运行、使用所需要的过桥、护栏、防护网、盖板等辅助设施；</w:t>
      </w:r>
    </w:p>
    <w:p w14:paraId="69D1916E">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 备品备件、易损件和专用耗材是招标方为保证货物质保期之后正常运行一年所自备自用的备品备件、易损件和专用耗材。质保期之内正常需要的备品备件、易损件和专用耗材全部包括在供货范围之内而不属于本条款界定的范围（应有明细）；</w:t>
      </w:r>
    </w:p>
    <w:p w14:paraId="2F23515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 供货范围包括易损件和专用耗材的制造图纸及其技术要求等资料；</w:t>
      </w:r>
    </w:p>
    <w:p w14:paraId="1B2EE99E">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 在合同签订后15个日历日内，提供货物基础及相关的设计、制作所需的纸质及电子版资料；电子版文件应当能够使用常用版本软件可以阅读甚至使用，进口货物、设备应有中外文对照；</w:t>
      </w:r>
    </w:p>
    <w:p w14:paraId="1A0CADDA">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 在预验收前，提供货物各部分的功能描述文件、图片、影像等资料（进口、设备应有中外文对照）；</w:t>
      </w:r>
    </w:p>
    <w:p w14:paraId="79FD017C">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9. 在终验收前，提供为保证货物后续正常运行所需的工装、吊（挂）具明细及其图纸、具体技术要求等资料（如果供货范围包含该部分实物）；</w:t>
      </w:r>
    </w:p>
    <w:p w14:paraId="4F62D645">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10. 在终验收前，提供确定的维修所需要且买方可以自行采购的外购件、外协件、电气元件及主要原材料的供货厂家明细表；</w:t>
      </w:r>
    </w:p>
    <w:p w14:paraId="429A6132">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11. 在终验收后、终验收后的第一笔货款支付日之前，提供包括货物的备品备件、易损件和专用耗材的图纸及技术参数、技术要求等资料；</w:t>
      </w:r>
    </w:p>
    <w:p w14:paraId="1A2A61F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12. 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24C0B0CA">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eastAsia="宋体" w:cs="宋体"/>
          <w:sz w:val="24"/>
          <w:szCs w:val="24"/>
          <w:highlight w:val="none"/>
        </w:rPr>
        <w:t>13. 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r>
        <w:rPr>
          <w:rFonts w:hint="eastAsia" w:ascii="宋体" w:hAnsi="宋体" w:eastAsia="宋体" w:cs="宋体"/>
          <w:color w:val="000000"/>
          <w:sz w:val="24"/>
          <w:szCs w:val="24"/>
          <w:highlight w:val="none"/>
          <w:lang w:val="en-US" w:eastAsia="zh-CN"/>
        </w:rPr>
        <w:t>项目所涉及的设备和电气程序需开源不得加密。</w:t>
      </w:r>
    </w:p>
    <w:p w14:paraId="5F095751">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14. 本条款所列的技术资料、图片、影像等，投标方应各提供5套，每份技术文件应装有目录清单；</w:t>
      </w:r>
    </w:p>
    <w:p w14:paraId="1E752775">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15. 全部供货范围内的设备、材料、零配件和工器具等，除合同特别约定外，其质保期均至终验收签字生效之日起12个月；</w:t>
      </w:r>
    </w:p>
    <w:p w14:paraId="147850F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16. 投标货物或涉及的关键总成和零件，如果有更长时间质保期，允许更改并说明，此将有利于投标方；</w:t>
      </w:r>
    </w:p>
    <w:p w14:paraId="5CA0A512">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17. 设计使用寿命短于质保期的易损件除外，但属于易损件的，应当有明确说明；</w:t>
      </w:r>
    </w:p>
    <w:p w14:paraId="03F11FF6">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18. 质保期之内，如果出现设备、总成、关键零部件或者多处一般零部件的更换或维修行为，则质保期自更换或维修行为结束、货物重新正常运行使用之日起重新计算；</w:t>
      </w:r>
    </w:p>
    <w:p w14:paraId="68C17F3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19. 质保期内免费提供零部件和及时有效的服务。质保期内因货物本身缺陷造成的各种故障，卖方应负责免费维修和服务；</w:t>
      </w:r>
    </w:p>
    <w:p w14:paraId="7BB02DF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20. 质保期终止之日起一年内重复出现的质保期之内出现的故障，仍属于质保范围而且应当免费；</w:t>
      </w:r>
    </w:p>
    <w:p w14:paraId="79921EF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21. 本条款所列要求，如招标方认为投标方提供的资料不能满足要求时，有权要求投标方免费补充或增加；</w:t>
      </w:r>
    </w:p>
    <w:p w14:paraId="3A4C4AD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22. 本项目需在</w:t>
      </w:r>
      <w:r>
        <w:rPr>
          <w:rFonts w:hint="eastAsia" w:hAnsi="宋体" w:eastAsia="宋体" w:cs="宋体"/>
          <w:sz w:val="24"/>
          <w:szCs w:val="24"/>
          <w:highlight w:val="none"/>
          <w:lang w:val="en-US" w:eastAsia="zh-CN"/>
        </w:rPr>
        <w:t>发送</w:t>
      </w:r>
      <w:r>
        <w:rPr>
          <w:rFonts w:hint="eastAsia" w:ascii="宋体" w:hAnsi="宋体" w:eastAsia="宋体" w:cs="宋体"/>
          <w:sz w:val="24"/>
          <w:szCs w:val="24"/>
          <w:highlight w:val="none"/>
        </w:rPr>
        <w:t>中标</w:t>
      </w:r>
      <w:r>
        <w:rPr>
          <w:rFonts w:hint="eastAsia" w:hAnsi="宋体" w:eastAsia="宋体" w:cs="宋体"/>
          <w:sz w:val="24"/>
          <w:szCs w:val="24"/>
          <w:highlight w:val="none"/>
          <w:lang w:val="en-US" w:eastAsia="zh-CN"/>
        </w:rPr>
        <w:t>通知</w:t>
      </w:r>
      <w:r>
        <w:rPr>
          <w:rFonts w:hint="eastAsia" w:ascii="宋体" w:hAnsi="宋体" w:eastAsia="宋体" w:cs="宋体"/>
          <w:sz w:val="24"/>
          <w:szCs w:val="24"/>
          <w:highlight w:val="none"/>
        </w:rPr>
        <w:t>后</w:t>
      </w:r>
      <w:r>
        <w:rPr>
          <w:rFonts w:hint="eastAsia" w:hAnsi="宋体" w:eastAsia="宋体" w:cs="宋体"/>
          <w:sz w:val="24"/>
          <w:szCs w:val="24"/>
          <w:highlight w:val="none"/>
          <w:shd w:val="clear" w:color="FFFFFF" w:fill="D9D9D9"/>
          <w:lang w:val="en-US" w:eastAsia="zh-CN"/>
        </w:rPr>
        <w:t>4</w:t>
      </w:r>
      <w:r>
        <w:rPr>
          <w:rFonts w:hint="eastAsia" w:ascii="宋体" w:hAnsi="宋体" w:eastAsia="宋体" w:cs="宋体"/>
          <w:sz w:val="24"/>
          <w:szCs w:val="24"/>
          <w:highlight w:val="none"/>
          <w:shd w:val="clear" w:color="FFFFFF" w:fill="D9D9D9"/>
          <w:lang w:val="en-US" w:eastAsia="zh-CN"/>
        </w:rPr>
        <w:t>0</w:t>
      </w:r>
      <w:r>
        <w:rPr>
          <w:rFonts w:hint="eastAsia" w:ascii="宋体" w:hAnsi="宋体" w:eastAsia="宋体" w:cs="宋体"/>
          <w:sz w:val="24"/>
          <w:szCs w:val="24"/>
          <w:highlight w:val="none"/>
          <w:shd w:val="clear" w:color="auto" w:fill="auto"/>
          <w:lang w:val="en-US" w:eastAsia="zh-CN"/>
        </w:rPr>
        <w:t>个日历</w:t>
      </w:r>
      <w:r>
        <w:rPr>
          <w:rFonts w:hint="eastAsia" w:ascii="宋体" w:hAnsi="宋体" w:eastAsia="宋体" w:cs="宋体"/>
          <w:sz w:val="24"/>
          <w:szCs w:val="24"/>
          <w:highlight w:val="none"/>
        </w:rPr>
        <w:t>日内完成</w:t>
      </w:r>
      <w:r>
        <w:rPr>
          <w:rFonts w:hint="eastAsia" w:ascii="宋体" w:hAnsi="宋体" w:eastAsia="宋体" w:cs="宋体"/>
          <w:sz w:val="24"/>
          <w:szCs w:val="24"/>
          <w:highlight w:val="none"/>
          <w:lang w:val="en-US" w:eastAsia="zh-CN"/>
        </w:rPr>
        <w:t>发货，到货后</w:t>
      </w:r>
      <w:r>
        <w:rPr>
          <w:rFonts w:hint="eastAsia" w:hAnsi="宋体" w:eastAsia="宋体" w:cs="宋体"/>
          <w:sz w:val="24"/>
          <w:szCs w:val="24"/>
          <w:highlight w:val="none"/>
          <w:shd w:val="clear" w:color="FFFFFF" w:fill="D9D9D9"/>
          <w:lang w:val="en-US" w:eastAsia="zh-CN"/>
        </w:rPr>
        <w:t>15</w:t>
      </w:r>
      <w:r>
        <w:rPr>
          <w:rFonts w:hint="eastAsia" w:ascii="宋体" w:hAnsi="宋体" w:eastAsia="宋体" w:cs="宋体"/>
          <w:sz w:val="24"/>
          <w:szCs w:val="24"/>
          <w:highlight w:val="none"/>
          <w:shd w:val="clear" w:color="auto" w:fill="auto"/>
          <w:lang w:val="en-US" w:eastAsia="zh-CN"/>
        </w:rPr>
        <w:t>个日历</w:t>
      </w:r>
      <w:r>
        <w:rPr>
          <w:rFonts w:hint="eastAsia" w:ascii="宋体" w:hAnsi="宋体" w:eastAsia="宋体" w:cs="宋体"/>
          <w:sz w:val="24"/>
          <w:szCs w:val="24"/>
          <w:highlight w:val="none"/>
          <w:lang w:val="en-US" w:eastAsia="zh-CN"/>
        </w:rPr>
        <w:t>日内完成</w:t>
      </w:r>
      <w:r>
        <w:rPr>
          <w:rFonts w:hint="eastAsia" w:ascii="宋体" w:hAnsi="宋体" w:eastAsia="宋体" w:cs="宋体"/>
          <w:sz w:val="24"/>
          <w:szCs w:val="24"/>
          <w:highlight w:val="none"/>
        </w:rPr>
        <w:t>安装。卖方应根据该时间节点制定一个详细的、确保可行的设计制造时间进度表，时间表应着重标出重点时间节点。</w:t>
      </w:r>
    </w:p>
    <w:p w14:paraId="28B30B4C">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23.  全部供货范围内的设备、材料、零配件和工器具等，除合同特别约定外，其质保期均自终验收签字生效之日起</w:t>
      </w:r>
      <w:r>
        <w:rPr>
          <w:rFonts w:hint="eastAsia" w:ascii="宋体" w:hAnsi="宋体" w:eastAsia="宋体" w:cs="宋体"/>
          <w:sz w:val="24"/>
          <w:szCs w:val="24"/>
          <w:highlight w:val="none"/>
          <w:shd w:val="pct10" w:color="auto" w:fill="FFFFFF"/>
        </w:rPr>
        <w:t xml:space="preserve"> 12</w:t>
      </w:r>
      <w:r>
        <w:rPr>
          <w:rFonts w:hint="eastAsia" w:ascii="宋体" w:hAnsi="宋体" w:eastAsia="宋体" w:cs="宋体"/>
          <w:sz w:val="24"/>
          <w:szCs w:val="24"/>
          <w:highlight w:val="none"/>
        </w:rPr>
        <w:t>个月。</w:t>
      </w:r>
    </w:p>
    <w:p w14:paraId="2B4959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24.  质保期之内，如果设备出现设备、总成、关键零部件或者多处一般零部件的更换或维修行为，则质保期自更换或维修行为结束、设备重新正常运行使用之日起重新计算。</w:t>
      </w:r>
    </w:p>
    <w:p w14:paraId="6EB8D2A5">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25.  质保期内免费提供零部件和及时有效的服务。质保期内因货物本身缺陷造成的各种故障，卖方应负责免费维修和服务。</w:t>
      </w:r>
    </w:p>
    <w:p w14:paraId="5DA96D5E">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七、</w:t>
      </w:r>
      <w:r>
        <w:rPr>
          <w:rFonts w:hint="eastAsia" w:ascii="宋体" w:hAnsi="宋体" w:eastAsia="宋体" w:cs="宋体"/>
          <w:b/>
          <w:bCs/>
          <w:sz w:val="24"/>
          <w:szCs w:val="24"/>
          <w:highlight w:val="none"/>
        </w:rPr>
        <w:t>售中售后服务</w:t>
      </w:r>
    </w:p>
    <w:p w14:paraId="1244F1B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 应负责对买方技术、维修和操作人员提供免费的、卖方生产制造现场的理论、技术和操作、维修等方面的技术指导和培训。</w:t>
      </w:r>
    </w:p>
    <w:p w14:paraId="776DEC4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 应负责在买方设备使用现场，进行</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工作日免费的技术指导和培训。</w:t>
      </w:r>
    </w:p>
    <w:p w14:paraId="0B8FB95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 应免费提供培训资料2份。</w:t>
      </w:r>
    </w:p>
    <w:p w14:paraId="7EF3AFB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 应按要求免费积极协助和提供买方以及买方所委托的工程设计单位有关人员所需要的、与设备有关的工程设计资料、技术咨询等</w:t>
      </w:r>
    </w:p>
    <w:p w14:paraId="6E35AC6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 若卖方提供的设备涉及到外购外协货物、而且该货物的技术质量等较为关键时，卖方应能保证得到配套厂家的技术支持，并免费为买方提供技术服务。</w:t>
      </w:r>
    </w:p>
    <w:p w14:paraId="25C5494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 负责制定对买方人员在运行、维修等方面的培训计划，并有专人负责实施培训计划，负责指导买方受培训人员正确理解设计和制造意图，认识设备的特点和特性，掌握在运行、维修和使用管理中应遵守的规则等方面的综合知识。</w:t>
      </w:r>
    </w:p>
    <w:p w14:paraId="45F8713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八、</w:t>
      </w:r>
      <w:r>
        <w:rPr>
          <w:rFonts w:hint="eastAsia" w:ascii="宋体" w:hAnsi="宋体" w:eastAsia="宋体" w:cs="宋体"/>
          <w:b/>
          <w:bCs/>
          <w:sz w:val="24"/>
          <w:szCs w:val="24"/>
          <w:highlight w:val="none"/>
        </w:rPr>
        <w:t>其他</w:t>
      </w:r>
    </w:p>
    <w:p w14:paraId="6240850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 投标人承诺对参与该项目所获得的与招标人产品相关的所有信息都予以保密，并承担与此相关的所有法律责任；</w:t>
      </w:r>
    </w:p>
    <w:p w14:paraId="2FC5A9D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 终验收合格后，质保期一年。在正常运行的情况下，系统出现故障，在接到通知后4小时以内予以答复，并在24小时以内派出服务人员，无偿维修；在质保期满后，投标方在接到通知后4小时以内予以答复，并在24小时以内派出服务人员；</w:t>
      </w:r>
    </w:p>
    <w:p w14:paraId="2DC2494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 其余未尽事宜，投标人应与招标人指派的答疑人员充分沟通，理解认可并接受相关技术规范及服务要求；</w:t>
      </w:r>
    </w:p>
    <w:p w14:paraId="4C2F899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 中标人需安排专人负责本招标项目的联络、检测计划布置、检测现场指导工作，该负责人对于以上问题的响应时间不得超过2小时；</w:t>
      </w:r>
    </w:p>
    <w:p w14:paraId="6DF5B3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 投标人需自备交通工具、各种设备及食宿等必需品；</w:t>
      </w:r>
    </w:p>
    <w:p w14:paraId="5C5977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 中标方需对招标人提供的数据及企业资料进行保密，并不得向第三方扩散，因泄密对招标人造成的损失由中标方承担相应全部责任；</w:t>
      </w:r>
    </w:p>
    <w:p w14:paraId="1E48B899">
      <w:pPr>
        <w:pStyle w:val="13"/>
        <w:rPr>
          <w:rFonts w:hint="eastAsia"/>
          <w:highlight w:val="none"/>
        </w:rPr>
      </w:pPr>
      <w:r>
        <w:rPr>
          <w:rFonts w:hint="eastAsia" w:hAnsi="宋体" w:cs="宋体"/>
          <w:sz w:val="24"/>
          <w:highlight w:val="none"/>
        </w:rPr>
        <w:br w:type="page"/>
      </w:r>
    </w:p>
    <w:p w14:paraId="628EC20A">
      <w:pPr>
        <w:pStyle w:val="2"/>
        <w:spacing w:before="120" w:after="120" w:line="480" w:lineRule="exact"/>
        <w:jc w:val="center"/>
        <w:rPr>
          <w:rFonts w:hint="eastAsia" w:ascii="宋体" w:hAnsi="宋体" w:eastAsia="宋体" w:cs="宋体"/>
          <w:b/>
          <w:bCs w:val="0"/>
          <w:sz w:val="28"/>
          <w:szCs w:val="28"/>
          <w:highlight w:val="none"/>
        </w:rPr>
      </w:pPr>
      <w:bookmarkStart w:id="68" w:name="_Toc5879"/>
      <w:bookmarkStart w:id="69" w:name="_Toc10810"/>
      <w:bookmarkStart w:id="70" w:name="_Toc10963"/>
      <w:bookmarkStart w:id="71" w:name="_Toc9668"/>
      <w:r>
        <w:rPr>
          <w:rFonts w:hint="eastAsia" w:ascii="宋体" w:hAnsi="宋体" w:eastAsia="宋体" w:cs="宋体"/>
          <w:b/>
          <w:bCs w:val="0"/>
          <w:sz w:val="28"/>
          <w:szCs w:val="28"/>
          <w:highlight w:val="none"/>
        </w:rPr>
        <w:t>第三章  供货范围及供货方式</w:t>
      </w:r>
      <w:bookmarkEnd w:id="68"/>
      <w:bookmarkEnd w:id="69"/>
      <w:bookmarkEnd w:id="70"/>
      <w:bookmarkEnd w:id="71"/>
    </w:p>
    <w:p w14:paraId="48DA73F1">
      <w:pPr>
        <w:pStyle w:val="4"/>
        <w:spacing w:before="120" w:after="120" w:line="480" w:lineRule="exact"/>
        <w:jc w:val="center"/>
        <w:rPr>
          <w:rFonts w:hint="eastAsia"/>
          <w:b w:val="0"/>
          <w:sz w:val="24"/>
          <w:szCs w:val="24"/>
          <w:highlight w:val="none"/>
        </w:rPr>
      </w:pPr>
      <w:bookmarkStart w:id="72" w:name="_Toc22761"/>
      <w:bookmarkStart w:id="73" w:name="_Toc19615"/>
      <w:bookmarkStart w:id="74" w:name="_Toc10065"/>
      <w:bookmarkStart w:id="75" w:name="_Toc15892"/>
      <w:r>
        <w:rPr>
          <w:rFonts w:hint="eastAsia"/>
          <w:b w:val="0"/>
          <w:sz w:val="24"/>
          <w:szCs w:val="24"/>
          <w:highlight w:val="none"/>
        </w:rPr>
        <w:t>第一节  供货范围</w:t>
      </w:r>
      <w:bookmarkEnd w:id="72"/>
      <w:bookmarkEnd w:id="73"/>
      <w:bookmarkEnd w:id="74"/>
      <w:bookmarkEnd w:id="75"/>
    </w:p>
    <w:p w14:paraId="7534F46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一、主要货物一般供货范围界定</w:t>
      </w:r>
    </w:p>
    <w:p w14:paraId="6A7588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1、供货范围包括本技术标书“采购货物概况” 所列及所要求的设备。</w:t>
      </w:r>
    </w:p>
    <w:p w14:paraId="1E68F2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2、供货范围包括为保证设备正常安装、调试和验收完成及以前所必需的整套配件、附件及材料、油料、控制软件及程序或指令等。</w:t>
      </w:r>
    </w:p>
    <w:p w14:paraId="4EF3E5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如果终验收完成后，投标方有需要收回的配件、附件、材料、油料等，应当在投标文件的技术偏离条款中，予以详细说明；否则视同包括在供货范围之内。</w:t>
      </w:r>
    </w:p>
    <w:p w14:paraId="0D43F6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3、供货范围包括货物维护维修所必需的专用工具。</w:t>
      </w:r>
    </w:p>
    <w:p w14:paraId="775DF6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16AE7B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如投标方难以提供或无优势提供以及属于选用配置的，则应当在投标文件的技术偏离条款中，予以详细说明并注明投标报价未包含该部分的货值。</w:t>
      </w:r>
    </w:p>
    <w:p w14:paraId="2DDD3F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5、供货范围包括为保证设备自身正常运行所必需的、满足使用地点环境条件的通风、冷却、降温等必需设施。</w:t>
      </w:r>
    </w:p>
    <w:p w14:paraId="768BE4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6、以“交钥匙”方式采购的设备，在满足技术标书本节上述要求之外，供货范围还包括如下界定（货物）：</w:t>
      </w:r>
    </w:p>
    <w:p w14:paraId="475092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14:paraId="7742C8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6.2  供货范围包括设备正常运行所必需的全套连线设备、材料等。如货物端联接法兰外端面之内的、电气系统接口压线板（插座等）之内的设备、材料、联接螺栓、垫片等。</w:t>
      </w:r>
    </w:p>
    <w:p w14:paraId="03E82A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6.3  供货范围包括设备正常运行、使用所需要的过桥、护栏、防护网、盖板等辅助设施。</w:t>
      </w:r>
    </w:p>
    <w:p w14:paraId="7BBA51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6.3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14:paraId="5DFDCEC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二、备品备件、易损件和专用耗材供货范围</w:t>
      </w:r>
    </w:p>
    <w:p w14:paraId="458DCE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p>
    <w:p w14:paraId="3E40E3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2、供货范围包括易损件和专用耗材的制造图纸及其技术要求等资料。</w:t>
      </w:r>
    </w:p>
    <w:p w14:paraId="1B7AAB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3、投标报价需包含投标额5%的备件及易损件。</w:t>
      </w:r>
    </w:p>
    <w:p w14:paraId="1A50373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三、技术资料供货范围</w:t>
      </w:r>
    </w:p>
    <w:p w14:paraId="5C27E0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技术资料供货范围包括：</w:t>
      </w:r>
    </w:p>
    <w:p w14:paraId="205969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sz w:val="24"/>
          <w:szCs w:val="24"/>
          <w:highlight w:val="none"/>
        </w:rPr>
      </w:pPr>
      <w:r>
        <w:rPr>
          <w:rFonts w:hint="eastAsia" w:ascii="宋体" w:hAnsi="宋体" w:eastAsia="宋体" w:cs="宋体"/>
          <w:sz w:val="24"/>
          <w:szCs w:val="24"/>
          <w:highlight w:val="none"/>
        </w:rPr>
        <w:t>1、在</w:t>
      </w:r>
      <w:r>
        <w:rPr>
          <w:rFonts w:hint="eastAsia" w:ascii="宋体" w:hAnsi="宋体" w:eastAsia="宋体" w:cs="宋体"/>
          <w:bCs/>
          <w:sz w:val="24"/>
          <w:szCs w:val="24"/>
          <w:highlight w:val="none"/>
        </w:rPr>
        <w:t>合同签订后</w:t>
      </w:r>
      <w:r>
        <w:rPr>
          <w:rFonts w:hint="eastAsia" w:ascii="宋体" w:hAnsi="宋体" w:eastAsia="宋体" w:cs="宋体"/>
          <w:bCs/>
          <w:sz w:val="24"/>
          <w:szCs w:val="24"/>
          <w:highlight w:val="none"/>
          <w:u w:val="single"/>
          <w:shd w:val="pct10" w:color="auto" w:fill="FFFFFF"/>
        </w:rPr>
        <w:t xml:space="preserve">   </w:t>
      </w:r>
      <w:r>
        <w:rPr>
          <w:rFonts w:hint="eastAsia" w:ascii="宋体" w:hAnsi="宋体" w:eastAsia="宋体" w:cs="宋体"/>
          <w:bCs/>
          <w:sz w:val="24"/>
          <w:szCs w:val="24"/>
          <w:highlight w:val="none"/>
          <w:u w:val="single"/>
          <w:shd w:val="pct10" w:color="auto" w:fill="FFFFFF"/>
          <w:lang w:val="en-US" w:eastAsia="zh-CN"/>
        </w:rPr>
        <w:t>15</w:t>
      </w:r>
      <w:r>
        <w:rPr>
          <w:rFonts w:hint="eastAsia" w:ascii="宋体" w:hAnsi="宋体" w:eastAsia="宋体" w:cs="宋体"/>
          <w:bCs/>
          <w:sz w:val="24"/>
          <w:szCs w:val="24"/>
          <w:highlight w:val="none"/>
          <w:u w:val="single"/>
          <w:shd w:val="pct10" w:color="auto" w:fill="FFFFFF"/>
        </w:rPr>
        <w:t xml:space="preserve">   </w:t>
      </w:r>
      <w:r>
        <w:rPr>
          <w:rFonts w:hint="eastAsia" w:ascii="宋体" w:hAnsi="宋体" w:eastAsia="宋体" w:cs="宋体"/>
          <w:bCs/>
          <w:sz w:val="24"/>
          <w:szCs w:val="24"/>
          <w:highlight w:val="none"/>
        </w:rPr>
        <w:t>个日历日内，提供设备基础及相关的设计、制作所需的纸质及电子版资料；电子版文件应当能够使用常用版本软件可以阅读甚至使用，进口货物、设备应有中外文对照。</w:t>
      </w:r>
    </w:p>
    <w:p w14:paraId="5DD551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2、在预验收前，</w:t>
      </w:r>
      <w:r>
        <w:rPr>
          <w:rFonts w:hint="eastAsia" w:ascii="宋体" w:hAnsi="宋体" w:eastAsia="宋体" w:cs="宋体"/>
          <w:bCs/>
          <w:sz w:val="24"/>
          <w:szCs w:val="24"/>
          <w:highlight w:val="none"/>
        </w:rPr>
        <w:t>提供设备各部分的功能描述文件、图片、影像等资料（进口、设备应有中外文对照）。</w:t>
      </w:r>
    </w:p>
    <w:p w14:paraId="411368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3、在终验收前，提供为保证设备后续正常运行所需的工装、吊（挂）具明细及其图纸、具体技术要求等资料（如果供货范围包含该部分实物）。</w:t>
      </w:r>
    </w:p>
    <w:p w14:paraId="44F5CF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4、在终验收前，提供确定的维修所需要且招标方可以自行采购的外购件、外协件、电气元件及主要原材料的供货厂家明细表。</w:t>
      </w:r>
    </w:p>
    <w:p w14:paraId="6F1F75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5、在终验收后的第一笔货款支付日之前，提供包括设备的备品备件、易损件和专用耗材的图纸及技术参数、技术要求等资料。</w:t>
      </w:r>
    </w:p>
    <w:p w14:paraId="245DFB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6446D0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14:paraId="072D2E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8、本条款所列的技术资料、图片、影像等，投标方应各提供4套，其中2套为电子版光（U）盘；每份技术文件应装有目录清单。</w:t>
      </w:r>
    </w:p>
    <w:p w14:paraId="411CD6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9、本条款所列要求，如招标方认为投标方提供的资料不能满足要求时，有权要求投标方免费补充或增加。</w:t>
      </w:r>
    </w:p>
    <w:p w14:paraId="20D748BE">
      <w:pPr>
        <w:spacing w:line="480" w:lineRule="exact"/>
        <w:ind w:firstLine="420" w:firstLineChars="200"/>
        <w:rPr>
          <w:rFonts w:hint="eastAsia" w:ascii="宋体" w:hAnsi="宋体"/>
          <w:highlight w:val="none"/>
        </w:rPr>
      </w:pPr>
    </w:p>
    <w:p w14:paraId="1BD12EAC">
      <w:pPr>
        <w:pStyle w:val="4"/>
        <w:spacing w:before="120" w:after="120" w:line="480" w:lineRule="exact"/>
        <w:jc w:val="center"/>
        <w:rPr>
          <w:rFonts w:hint="eastAsia"/>
          <w:b w:val="0"/>
          <w:sz w:val="24"/>
          <w:szCs w:val="24"/>
          <w:highlight w:val="none"/>
        </w:rPr>
      </w:pPr>
      <w:bookmarkStart w:id="76" w:name="_Toc26064"/>
      <w:bookmarkStart w:id="77" w:name="_Toc13936"/>
      <w:bookmarkStart w:id="78" w:name="_Toc8159"/>
      <w:bookmarkStart w:id="79" w:name="_Toc9858"/>
      <w:r>
        <w:rPr>
          <w:rFonts w:hint="eastAsia"/>
          <w:b w:val="0"/>
          <w:sz w:val="24"/>
          <w:szCs w:val="24"/>
          <w:highlight w:val="none"/>
        </w:rPr>
        <w:t>第二节  供货方式</w:t>
      </w:r>
      <w:bookmarkEnd w:id="76"/>
      <w:bookmarkEnd w:id="77"/>
      <w:bookmarkEnd w:id="78"/>
      <w:bookmarkEnd w:id="79"/>
    </w:p>
    <w:p w14:paraId="407C1D23">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一、供货地点：</w:t>
      </w:r>
      <w:r>
        <w:rPr>
          <w:rFonts w:hint="eastAsia" w:ascii="宋体" w:hAnsi="宋体" w:eastAsia="宋体" w:cs="宋体"/>
          <w:sz w:val="24"/>
          <w:szCs w:val="24"/>
          <w:highlight w:val="none"/>
        </w:rPr>
        <w:t>本项目建设工地。</w:t>
      </w:r>
    </w:p>
    <w:p w14:paraId="57C3D627">
      <w:pPr>
        <w:keepNext w:val="0"/>
        <w:keepLines w:val="0"/>
        <w:pageBreakBefore w:val="0"/>
        <w:widowControl w:val="0"/>
        <w:kinsoku/>
        <w:wordWrap/>
        <w:overflowPunct/>
        <w:topLinePunct w:val="0"/>
        <w:autoSpaceDE/>
        <w:autoSpaceDN/>
        <w:bidi w:val="0"/>
        <w:spacing w:line="360" w:lineRule="auto"/>
        <w:ind w:firstLine="482" w:firstLineChars="200"/>
        <w:jc w:val="left"/>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二、供货时间</w:t>
      </w:r>
    </w:p>
    <w:p w14:paraId="41721FB2">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1、以交钥匙方式供货的，按照以下时间要求（安装调试工期超过10个日历日的，投标方应当随标书提供详细的工期计划）：</w:t>
      </w:r>
    </w:p>
    <w:p w14:paraId="0B95F628">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1.1  自</w:t>
      </w:r>
      <w:r>
        <w:rPr>
          <w:rFonts w:hint="eastAsia" w:ascii="宋体" w:hAnsi="宋体" w:eastAsia="宋体" w:cs="宋体"/>
          <w:sz w:val="24"/>
          <w:szCs w:val="24"/>
          <w:highlight w:val="none"/>
          <w:lang w:val="en-US" w:eastAsia="zh-CN"/>
        </w:rPr>
        <w:t>接到中标通知</w:t>
      </w:r>
      <w:r>
        <w:rPr>
          <w:rFonts w:hint="eastAsia" w:ascii="宋体" w:hAnsi="宋体" w:eastAsia="宋体" w:cs="宋体"/>
          <w:sz w:val="24"/>
          <w:szCs w:val="24"/>
          <w:highlight w:val="none"/>
        </w:rPr>
        <w:t>之日起，</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lang w:val="en-US" w:eastAsia="zh-CN"/>
        </w:rPr>
        <w:t>4</w:t>
      </w:r>
      <w:r>
        <w:rPr>
          <w:rFonts w:hint="eastAsia" w:ascii="宋体" w:hAnsi="宋体" w:eastAsia="宋体" w:cs="宋体"/>
          <w:sz w:val="24"/>
          <w:szCs w:val="24"/>
          <w:highlight w:val="none"/>
          <w:u w:val="single"/>
          <w:shd w:val="pct10" w:color="auto" w:fill="FFFFFF"/>
        </w:rPr>
        <w:t xml:space="preserve">0 </w:t>
      </w:r>
      <w:r>
        <w:rPr>
          <w:rFonts w:hint="eastAsia" w:ascii="宋体" w:hAnsi="宋体" w:eastAsia="宋体" w:cs="宋体"/>
          <w:sz w:val="24"/>
          <w:szCs w:val="24"/>
          <w:highlight w:val="none"/>
        </w:rPr>
        <w:t>个日历日之内交货至供货地点。</w:t>
      </w:r>
    </w:p>
    <w:p w14:paraId="1317AB27">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1.2  接续</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lang w:val="en-US" w:eastAsia="zh-CN"/>
        </w:rPr>
        <w:t>15</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个日历日之内安装调试完毕。</w:t>
      </w:r>
    </w:p>
    <w:p w14:paraId="7364114C">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1.3  接续</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lang w:val="en-US" w:eastAsia="zh-CN"/>
        </w:rPr>
        <w:t xml:space="preserve">30 </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个日历日之内完成终验收。</w:t>
      </w:r>
    </w:p>
    <w:p w14:paraId="00B06625">
      <w:pPr>
        <w:keepNext w:val="0"/>
        <w:keepLines w:val="0"/>
        <w:pageBreakBefore w:val="0"/>
        <w:widowControl w:val="0"/>
        <w:kinsoku/>
        <w:wordWrap/>
        <w:overflowPunct/>
        <w:topLinePunct w:val="0"/>
        <w:autoSpaceDE/>
        <w:autoSpaceDN/>
        <w:bidi w:val="0"/>
        <w:spacing w:line="360" w:lineRule="auto"/>
        <w:ind w:firstLine="482" w:firstLineChars="200"/>
        <w:jc w:val="left"/>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三、质保期及质保要求</w:t>
      </w:r>
    </w:p>
    <w:p w14:paraId="00316830">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1、全部供货范围内的设备、材料、零配件和工器具等，除合同特别约定外，其质保期均自终验收签字生效之日起</w:t>
      </w:r>
      <w:r>
        <w:rPr>
          <w:rFonts w:hint="eastAsia" w:ascii="宋体" w:hAnsi="宋体" w:eastAsia="宋体" w:cs="宋体"/>
          <w:sz w:val="24"/>
          <w:szCs w:val="24"/>
          <w:highlight w:val="none"/>
          <w:u w:val="single"/>
          <w:shd w:val="pct10" w:color="auto" w:fill="FFFFFF"/>
        </w:rPr>
        <w:t xml:space="preserve">  12   </w:t>
      </w:r>
      <w:r>
        <w:rPr>
          <w:rFonts w:hint="eastAsia" w:ascii="宋体" w:hAnsi="宋体" w:eastAsia="宋体" w:cs="宋体"/>
          <w:sz w:val="24"/>
          <w:szCs w:val="24"/>
          <w:highlight w:val="none"/>
        </w:rPr>
        <w:t>个月。</w:t>
      </w:r>
    </w:p>
    <w:p w14:paraId="252BF26C">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投标货物或涉及的关键总成和零件，如果有更长时间质保期，允许更改并说明，此将有利于投标方。</w:t>
      </w:r>
    </w:p>
    <w:p w14:paraId="0AF53532">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设计使用寿命短于质保期的易损件除外，但属于易损件的，应当有明确说明。</w:t>
      </w:r>
    </w:p>
    <w:p w14:paraId="75AA0BBD">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2、质保期之内，如果设备出现设备、总成、关键零部件或者多处一般零部件的更换或维修行为，则质保期自更换或维修行为结束、设备重新正常运行使用之日起重新计算。</w:t>
      </w:r>
    </w:p>
    <w:p w14:paraId="31ABA0AE">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3、质保期内免费提供零部件和及时有效的服务。质保期内因货物本身缺陷造成的各种故障，投标方应负责免费维修和服务。</w:t>
      </w:r>
    </w:p>
    <w:p w14:paraId="09A9920F">
      <w:pPr>
        <w:keepNext w:val="0"/>
        <w:keepLines w:val="0"/>
        <w:pageBreakBefore w:val="0"/>
        <w:widowControl w:val="0"/>
        <w:kinsoku/>
        <w:wordWrap/>
        <w:overflowPunct/>
        <w:topLinePunct w:val="0"/>
        <w:autoSpaceDE/>
        <w:autoSpaceDN/>
        <w:bidi w:val="0"/>
        <w:spacing w:line="360" w:lineRule="auto"/>
        <w:ind w:firstLine="480" w:firstLineChars="20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4、质保期终止之日起18个月内重复出现的质保期之内出现的故障，仍属质保范围而且应当免费。</w:t>
      </w:r>
    </w:p>
    <w:p w14:paraId="1875F0FB">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四、包装</w:t>
      </w:r>
    </w:p>
    <w:p w14:paraId="4CC63FB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1、所提供设备的包装，应遵照国家标准和有关包装、包皮的技术条件，或按照最好的商业惯例进行包装。</w:t>
      </w:r>
    </w:p>
    <w:p w14:paraId="05DCB09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2、包装应能满足所需要采取的运输方式（船运、汽运或铁路运输）、多次吊装卸装、卸货以及长期露天堆放要求，应能防止雨淋、受潮、生锈、腐蚀、受振、受磁以及机械和化学因素等引起的损坏。</w:t>
      </w:r>
    </w:p>
    <w:p w14:paraId="716C387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3、所提供设备的包装，应能防止其一般性被窃或受外力破坏；一般不得采用有大缝隙的板条包装。</w:t>
      </w:r>
    </w:p>
    <w:p w14:paraId="3617B30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4、应对包装件做必要的加固和固定，以防止运输可能造成的损坏。</w:t>
      </w:r>
    </w:p>
    <w:p w14:paraId="1029391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5、每个包装件应有装箱单，并至少标明名称、型号规格、数量、净重和毛重、投标方（或供货商）名称和制造日期等相关内容。</w:t>
      </w:r>
    </w:p>
    <w:p w14:paraId="6096E34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6、每个包装箱应有明显标志，并具有中文书写的合同号、装运标志、发货和到货地点名称、发货人和收货人名称、设备名称和项目号、箱号和外型尺寸等内容。</w:t>
      </w:r>
    </w:p>
    <w:p w14:paraId="512385C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7、应按照不同的装运要求在包装箱上标明“小心轻放”、“箭头向上”、“防潮”、“防磁”、“不准平放”等标志，以及其它适用的国标通用标志。</w:t>
      </w:r>
    </w:p>
    <w:p w14:paraId="3B314DE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8、包装箱应连续编号，不应出现重复编号。</w:t>
      </w:r>
    </w:p>
    <w:p w14:paraId="2504B7B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9、在不受到外界破坏情况下，包装应保证自交货日起一年内货物（或设备）完好无损。</w:t>
      </w:r>
    </w:p>
    <w:p w14:paraId="22FA47FA">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五、运输</w:t>
      </w:r>
    </w:p>
    <w:p w14:paraId="466486C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1、应负责将设备运到目的地，并必须做到设备在任何运输过程中不受损坏和遗失。</w:t>
      </w:r>
    </w:p>
    <w:p w14:paraId="73C1E2E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2、同批设备应统一包装、编号运输。</w:t>
      </w:r>
    </w:p>
    <w:p w14:paraId="5277516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3、一般情况下，经由铁路、公路运输的包装件尺寸和重量不应超过国家所规定的尺寸限制。特殊情况应予以说明。</w:t>
      </w:r>
    </w:p>
    <w:p w14:paraId="30E3DE7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4、在每批设备发出后，应立即通知招标方；通知中应指明：合同号、货运单号、件数、重量和设备发出日期等相关内容。</w:t>
      </w:r>
    </w:p>
    <w:p w14:paraId="3F4547B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5、设备运抵交货地点后，应负责货物（或设备）的卸货、搬运、保管等事宜；或按照合同约定。</w:t>
      </w:r>
    </w:p>
    <w:p w14:paraId="364C387B">
      <w:pPr>
        <w:pStyle w:val="2"/>
        <w:spacing w:before="120" w:after="120" w:line="480" w:lineRule="exact"/>
        <w:jc w:val="center"/>
        <w:rPr>
          <w:rFonts w:hint="eastAsia" w:ascii="宋体" w:hAnsi="宋体" w:eastAsia="宋体" w:cs="宋体"/>
          <w:b/>
          <w:bCs/>
          <w:sz w:val="28"/>
          <w:szCs w:val="28"/>
          <w:highlight w:val="none"/>
        </w:rPr>
      </w:pPr>
      <w:r>
        <w:rPr>
          <w:rFonts w:ascii="宋体" w:hAnsi="宋体"/>
          <w:highlight w:val="none"/>
        </w:rPr>
        <w:br w:type="page"/>
      </w:r>
      <w:bookmarkStart w:id="80" w:name="_Toc28593"/>
      <w:bookmarkStart w:id="81" w:name="_Toc2931"/>
      <w:bookmarkStart w:id="82" w:name="_Toc30960"/>
      <w:bookmarkStart w:id="83" w:name="_Toc9796"/>
      <w:r>
        <w:rPr>
          <w:rFonts w:hint="eastAsia" w:ascii="宋体" w:hAnsi="宋体" w:eastAsia="宋体" w:cs="宋体"/>
          <w:b/>
          <w:bCs/>
          <w:sz w:val="28"/>
          <w:szCs w:val="28"/>
          <w:highlight w:val="none"/>
        </w:rPr>
        <w:t>第四章  售中售后服务</w:t>
      </w:r>
      <w:bookmarkEnd w:id="80"/>
      <w:bookmarkEnd w:id="81"/>
      <w:bookmarkEnd w:id="82"/>
      <w:bookmarkEnd w:id="83"/>
    </w:p>
    <w:p w14:paraId="3C6E6611">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一、技术及培训服务</w:t>
      </w:r>
    </w:p>
    <w:p w14:paraId="021FC51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1、应负责对招标方</w:t>
      </w:r>
      <w:r>
        <w:rPr>
          <w:rFonts w:hint="eastAsia" w:ascii="宋体" w:hAnsi="宋体" w:eastAsia="宋体" w:cs="宋体"/>
          <w:sz w:val="24"/>
          <w:szCs w:val="24"/>
          <w:highlight w:val="none"/>
          <w:u w:val="single"/>
          <w:shd w:val="pct10" w:color="auto" w:fill="FFFFFF"/>
        </w:rPr>
        <w:t xml:space="preserve">  3-5  </w:t>
      </w:r>
      <w:r>
        <w:rPr>
          <w:rFonts w:hint="eastAsia" w:ascii="宋体" w:hAnsi="宋体" w:eastAsia="宋体" w:cs="宋体"/>
          <w:sz w:val="24"/>
          <w:szCs w:val="24"/>
          <w:highlight w:val="none"/>
        </w:rPr>
        <w:t>名技术、维修和操作人员提供不少于</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lang w:val="en-US" w:eastAsia="zh-CN"/>
        </w:rPr>
        <w:t>3</w:t>
      </w:r>
      <w:r>
        <w:rPr>
          <w:rFonts w:hint="eastAsia"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个日历日的免费的、招标方生产制造现场的理论、技术和操作、维修等方面的技术指导和培训,培训内容包括</w:t>
      </w:r>
      <w:r>
        <w:rPr>
          <w:rFonts w:hint="eastAsia" w:ascii="宋体" w:hAnsi="宋体" w:eastAsia="宋体" w:cs="宋体"/>
          <w:sz w:val="24"/>
          <w:szCs w:val="24"/>
          <w:highlight w:val="none"/>
          <w:lang w:val="en-US" w:eastAsia="zh-CN"/>
        </w:rPr>
        <w:t>PLC</w:t>
      </w:r>
      <w:r>
        <w:rPr>
          <w:rFonts w:hint="eastAsia" w:ascii="宋体" w:hAnsi="宋体" w:eastAsia="宋体" w:cs="宋体"/>
          <w:sz w:val="24"/>
          <w:szCs w:val="24"/>
          <w:highlight w:val="none"/>
          <w:lang w:val="zh-CN"/>
        </w:rPr>
        <w:t>编程、</w:t>
      </w:r>
      <w:r>
        <w:rPr>
          <w:rFonts w:hint="eastAsia" w:ascii="宋体" w:hAnsi="宋体" w:eastAsia="宋体" w:cs="宋体"/>
          <w:sz w:val="24"/>
          <w:szCs w:val="24"/>
          <w:highlight w:val="none"/>
          <w:lang w:val="en-US" w:eastAsia="zh-CN"/>
        </w:rPr>
        <w:t>伺服电缸编程</w:t>
      </w:r>
      <w:r>
        <w:rPr>
          <w:rFonts w:hint="eastAsia" w:ascii="宋体" w:hAnsi="宋体" w:eastAsia="宋体" w:cs="宋体"/>
          <w:sz w:val="24"/>
          <w:szCs w:val="24"/>
          <w:highlight w:val="none"/>
          <w:lang w:val="zh-CN"/>
        </w:rPr>
        <w:t>及简单维护培训、电气培训。</w:t>
      </w:r>
    </w:p>
    <w:p w14:paraId="2164F5C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2、应负责在招标方设备使用现场，进行1～2次免费的技术指导和培训，并接受招标方有关人员的技术咨询。</w:t>
      </w:r>
    </w:p>
    <w:p w14:paraId="79388E8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3、应免费提供一定数量的培训资料。</w:t>
      </w:r>
    </w:p>
    <w:p w14:paraId="2CF885F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4、应按要求免费积极协助和提供招标方以及招标方所委托的工程设计单位有关人员所需要的、与设备有关的工程设计资料、技术咨询等。</w:t>
      </w:r>
    </w:p>
    <w:p w14:paraId="5A0BB10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5、若投标方提供的设备涉及到外购外协货物、而且该货物的技术质量等较为关键时，投标方应能保证得到配套厂家的技术支持，并免费为招标方提供技术服务。</w:t>
      </w:r>
    </w:p>
    <w:p w14:paraId="13B6B42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2C2B46B0">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二、安装调试及验收服务</w:t>
      </w:r>
    </w:p>
    <w:p w14:paraId="4CC17CA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17405B4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2、若投标方提供的设备涉及到外购外协货物、而且该货物的技术质量等较为关键时，应保证能得到供应商的技术支持，并免费为招标方提供安装使用现场的指导与培训。</w:t>
      </w:r>
    </w:p>
    <w:p w14:paraId="3686280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14:paraId="13D7D19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69053FE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5、投标方应当向招标方提供货物试验、验收的有关标准、规范和方法，同时提供货物涉及并使用的软件合法性证明。</w:t>
      </w:r>
    </w:p>
    <w:p w14:paraId="12B87CE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6、服务缺陷视同货物缺陷和履约延期。</w:t>
      </w:r>
    </w:p>
    <w:p w14:paraId="2590D2DB">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三、售后服务</w:t>
      </w:r>
    </w:p>
    <w:p w14:paraId="24DE50F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1、投标方提供的设备涉及的所有售后服务均由投标方负责。如果发生问题并且收到通知，投标方应当在2小时内予以答复。</w:t>
      </w:r>
    </w:p>
    <w:p w14:paraId="2197093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2、如发现所提供的设备存在问题，需要投标方解决或配合解决时：在质保期之内，应在接到通知后</w:t>
      </w:r>
      <w:r>
        <w:rPr>
          <w:rFonts w:hint="eastAsia" w:ascii="宋体" w:hAnsi="宋体" w:eastAsia="宋体" w:cs="宋体"/>
          <w:sz w:val="24"/>
          <w:szCs w:val="24"/>
          <w:highlight w:val="none"/>
          <w:u w:val="single"/>
          <w:shd w:val="pct10" w:color="auto" w:fill="FFFFFF"/>
        </w:rPr>
        <w:t xml:space="preserve">  24    </w:t>
      </w:r>
      <w:r>
        <w:rPr>
          <w:rFonts w:hint="eastAsia" w:ascii="宋体" w:hAnsi="宋体" w:eastAsia="宋体" w:cs="宋体"/>
          <w:sz w:val="24"/>
          <w:szCs w:val="24"/>
          <w:highlight w:val="none"/>
        </w:rPr>
        <w:t>小时内派有关人员到达现场；在质保期之外，应在接到通知后</w:t>
      </w:r>
      <w:r>
        <w:rPr>
          <w:rFonts w:hint="eastAsia" w:ascii="宋体" w:hAnsi="宋体" w:eastAsia="宋体" w:cs="宋体"/>
          <w:sz w:val="24"/>
          <w:szCs w:val="24"/>
          <w:highlight w:val="none"/>
          <w:u w:val="single"/>
          <w:shd w:val="pct10" w:color="auto" w:fill="FFFFFF"/>
        </w:rPr>
        <w:t xml:space="preserve">  24   </w:t>
      </w:r>
      <w:r>
        <w:rPr>
          <w:rFonts w:hint="eastAsia" w:ascii="宋体" w:hAnsi="宋体" w:eastAsia="宋体" w:cs="宋体"/>
          <w:sz w:val="24"/>
          <w:szCs w:val="24"/>
          <w:highlight w:val="none"/>
        </w:rPr>
        <w:t>小时内派有关人员到达现场。</w:t>
      </w:r>
    </w:p>
    <w:p w14:paraId="4F3C433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3、投标方派往招标方使用现场的人员，应具有较高的业务素质；现场解决问题时，不得无故拖延或推迟，应为招标方提供最佳的服务。</w:t>
      </w:r>
    </w:p>
    <w:p w14:paraId="7BB2252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四、其它服务</w:t>
      </w:r>
    </w:p>
    <w:p w14:paraId="0D5905E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1、若投标方所提供设备有需要进口的，投标方一般应自行、自费办理；必要时，买卖双方共同办理。</w:t>
      </w:r>
    </w:p>
    <w:p w14:paraId="2C899B6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2、除招标文件、投标文件、答疑文件、技术协议、合同等约定之外，投标方应免费负责必要的或强制性的设备的检验、试验、化验等直接费用。</w:t>
      </w:r>
    </w:p>
    <w:p w14:paraId="2595E51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3、本章节条款所列“免费”，并非指定不可收费，而是指招标文件、投标文件、答疑文件、技术交流文件、技术协议书和合同等范围之外，投标方不可另行收取的费用。</w:t>
      </w:r>
    </w:p>
    <w:p w14:paraId="33C08DF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p>
    <w:p w14:paraId="29EA28D1">
      <w:pPr>
        <w:pStyle w:val="2"/>
        <w:spacing w:before="120" w:after="120" w:line="480" w:lineRule="exact"/>
        <w:jc w:val="center"/>
        <w:rPr>
          <w:rFonts w:hint="eastAsia" w:ascii="宋体" w:hAnsi="宋体" w:eastAsia="宋体" w:cs="宋体"/>
          <w:b/>
          <w:bCs w:val="0"/>
          <w:sz w:val="28"/>
          <w:szCs w:val="28"/>
          <w:highlight w:val="none"/>
        </w:rPr>
      </w:pPr>
      <w:r>
        <w:rPr>
          <w:rFonts w:ascii="宋体" w:hAnsi="宋体"/>
          <w:highlight w:val="none"/>
        </w:rPr>
        <w:br w:type="page"/>
      </w:r>
      <w:bookmarkStart w:id="84" w:name="_Toc9060"/>
      <w:bookmarkStart w:id="85" w:name="_Toc19419"/>
      <w:bookmarkStart w:id="86" w:name="_Toc23200"/>
      <w:bookmarkStart w:id="87" w:name="_Toc21539"/>
      <w:r>
        <w:rPr>
          <w:rFonts w:hint="eastAsia" w:ascii="宋体" w:hAnsi="宋体" w:eastAsia="宋体" w:cs="宋体"/>
          <w:b/>
          <w:bCs w:val="0"/>
          <w:sz w:val="28"/>
          <w:szCs w:val="28"/>
          <w:highlight w:val="none"/>
        </w:rPr>
        <w:t>第五章  预验收和终验收</w:t>
      </w:r>
      <w:bookmarkEnd w:id="84"/>
      <w:bookmarkEnd w:id="85"/>
      <w:bookmarkEnd w:id="86"/>
      <w:bookmarkEnd w:id="87"/>
    </w:p>
    <w:p w14:paraId="73C99061">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一、验收的一般约定</w:t>
      </w:r>
    </w:p>
    <w:p w14:paraId="5AC0E35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1、验收标准一般以技术协议书和合同规定验收。</w:t>
      </w:r>
    </w:p>
    <w:p w14:paraId="5D68539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2、如果验收过程中，发现招标文件、投标文件、答疑文件、技术交流文件等与技术协议书、合同存在差异，原则上以涉及条款中对招标方最有利条款为验收依据。</w:t>
      </w:r>
    </w:p>
    <w:p w14:paraId="0E45B731">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二、检验</w:t>
      </w:r>
    </w:p>
    <w:p w14:paraId="2BA587E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1、国产货物的检验由买卖双方按照合同要求或在制造现场进行。</w:t>
      </w:r>
    </w:p>
    <w:p w14:paraId="5268D88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2、进口货物的检验，投标方需要按照下述要求进行：</w:t>
      </w:r>
    </w:p>
    <w:p w14:paraId="57F2D9B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2.1  进口货物发货前，应对货物的质量、型号、规格、性能和数量/重量作精密、全面的检验，并出具证明书，证明所供货物符合合同规定。</w:t>
      </w:r>
    </w:p>
    <w:p w14:paraId="5369A18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2.2  应依据合同规定的要求，提供买卖双方达成一致的货物的验收标准和装箱单，作为招标方检验的依据。</w:t>
      </w:r>
    </w:p>
    <w:p w14:paraId="0B2ED00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2.3  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249E2E4C">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三、验收基本条件</w:t>
      </w:r>
    </w:p>
    <w:p w14:paraId="4284591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验收一般分预验收和终验收两部分。预验收一般在投标方现场进行，终验收在安装调试完成及试运行后的招标方现场进行。但是所有的项目，包括不能预验收的项目和预验收通过的项目都在终验收时重新检验，最终只以终验收为准。</w:t>
      </w:r>
    </w:p>
    <w:p w14:paraId="7BECB92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买卖双方按照合同约定执行了合同，同时设备完成了试运行并经检验合格，则具备验收条件。</w:t>
      </w:r>
    </w:p>
    <w:p w14:paraId="24742AF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1、预验收一般条件</w:t>
      </w:r>
    </w:p>
    <w:p w14:paraId="6A9FF6C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1.1  投标方已经按照“供货范围”要求提供了预验收资料，并且资料齐全、完整和有效。</w:t>
      </w:r>
    </w:p>
    <w:p w14:paraId="3D7DA76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1.2  设备应完整且所有的零部件应该安装牢固，外观无损伤，所有的焊缝饱满、无残渣等缺陷。</w:t>
      </w:r>
    </w:p>
    <w:p w14:paraId="0B335FD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1.3  一般情况下，所有的管路和线缆等，接头应完全正确、可靠地联接；应排列有序（正确、牢固、整齐），有必要的防护，无皱褶、收缩和裂缝等不良现象。</w:t>
      </w:r>
    </w:p>
    <w:p w14:paraId="58E67CD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1.4  设备的润滑系统工作正常、可靠，润滑点易于到达。</w:t>
      </w:r>
    </w:p>
    <w:p w14:paraId="288AD78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1.5  使用的压力容器、电气等应具备合格证（如果有压力容器）。</w:t>
      </w:r>
    </w:p>
    <w:p w14:paraId="42774F7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1.6 设备的油漆质量应饱满、有光泽，无掉漆、无色差、无“桔皮”等不良现象（特殊标志除外）。</w:t>
      </w:r>
    </w:p>
    <w:p w14:paraId="1A92508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1.7 设备标牌完整、清晰、明确。</w:t>
      </w:r>
    </w:p>
    <w:p w14:paraId="38A63C2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1.8  地线联接和地极符合国际（ISO/IEC）标准规范。</w:t>
      </w:r>
    </w:p>
    <w:p w14:paraId="71E50A5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1.9  设备的安全要求符合中国最新的相关法律、法规、标准和规范以及合同要求。</w:t>
      </w:r>
    </w:p>
    <w:p w14:paraId="305DEAF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2、终验收一般条件</w:t>
      </w:r>
    </w:p>
    <w:p w14:paraId="73C098B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2.1  经过预验收而且没有出现新的质量问题，或者满足预验收条款。</w:t>
      </w:r>
    </w:p>
    <w:p w14:paraId="12C6382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2.2  设备安装调试完毕，并至少经过了验收要求的负荷试运行。</w:t>
      </w:r>
    </w:p>
    <w:p w14:paraId="7FCFC52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2.3  设备正常运行时，噪声等环境影响因素满足国家和当地环保主管部门规定，安全措施落实、有效。</w:t>
      </w:r>
    </w:p>
    <w:p w14:paraId="608B6B5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2.4  计量仪器、仪表配套合理，采用中国的法定计量单位，计量准确、灵敏可靠。保证设计指标和仪器说明书的参数的实现。</w:t>
      </w:r>
    </w:p>
    <w:p w14:paraId="74845D9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2.5  试运行期间或之后无维修、调整等行为（特殊情况除外）。</w:t>
      </w:r>
    </w:p>
    <w:p w14:paraId="6751C20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2.6 设备质量、技术性能等，达到签定的技术协议书和合同规定的终验收标准。</w:t>
      </w:r>
    </w:p>
    <w:p w14:paraId="736AAF4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3、终验收基本要求</w:t>
      </w:r>
    </w:p>
    <w:p w14:paraId="5A9F226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3.1  </w:t>
      </w:r>
      <w:r>
        <w:rPr>
          <w:rFonts w:hint="eastAsia" w:ascii="宋体" w:hAnsi="宋体" w:eastAsia="宋体" w:cs="宋体"/>
          <w:sz w:val="24"/>
          <w:szCs w:val="24"/>
          <w:highlight w:val="none"/>
          <w:lang w:val="en-US" w:eastAsia="zh-CN"/>
        </w:rPr>
        <w:t>所有供货清单符合合同要求</w:t>
      </w:r>
      <w:r>
        <w:rPr>
          <w:rFonts w:hint="eastAsia" w:ascii="宋体" w:hAnsi="宋体" w:eastAsia="宋体" w:cs="宋体"/>
          <w:sz w:val="24"/>
          <w:szCs w:val="24"/>
          <w:highlight w:val="none"/>
        </w:rPr>
        <w:t>。</w:t>
      </w:r>
    </w:p>
    <w:p w14:paraId="09BCD55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3.2  </w:t>
      </w:r>
      <w:r>
        <w:rPr>
          <w:rFonts w:hint="eastAsia" w:ascii="宋体" w:hAnsi="宋体" w:eastAsia="宋体" w:cs="宋体"/>
          <w:sz w:val="24"/>
          <w:szCs w:val="24"/>
          <w:highlight w:val="none"/>
          <w:lang w:val="en-US" w:eastAsia="zh-CN"/>
        </w:rPr>
        <w:t>设备配置及功能与技术协议无偏离</w:t>
      </w:r>
      <w:r>
        <w:rPr>
          <w:rFonts w:hint="eastAsia" w:ascii="宋体" w:hAnsi="宋体" w:eastAsia="宋体" w:cs="宋体"/>
          <w:sz w:val="24"/>
          <w:szCs w:val="24"/>
          <w:highlight w:val="none"/>
        </w:rPr>
        <w:t>。</w:t>
      </w:r>
    </w:p>
    <w:p w14:paraId="235FBBE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3.3  出现下列问题之一，视作验收失败：</w:t>
      </w:r>
    </w:p>
    <w:p w14:paraId="0798DE3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3.3.1  在整个验收过程中发生关键零部件损坏或重大故障；</w:t>
      </w:r>
    </w:p>
    <w:p w14:paraId="2001311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3.3.2  一般性故障超过</w:t>
      </w:r>
      <w:r>
        <w:rPr>
          <w:rFonts w:hint="eastAsia" w:ascii="宋体" w:hAnsi="宋体" w:eastAsia="宋体" w:cs="宋体"/>
          <w:sz w:val="24"/>
          <w:szCs w:val="24"/>
          <w:highlight w:val="none"/>
          <w:u w:val="single"/>
          <w:shd w:val="pct10" w:color="auto" w:fill="FFFFFF"/>
        </w:rPr>
        <w:t xml:space="preserve">   3    </w:t>
      </w:r>
      <w:r>
        <w:rPr>
          <w:rFonts w:hint="eastAsia" w:ascii="宋体" w:hAnsi="宋体" w:eastAsia="宋体" w:cs="宋体"/>
          <w:sz w:val="24"/>
          <w:szCs w:val="24"/>
          <w:highlight w:val="none"/>
        </w:rPr>
        <w:t>次；</w:t>
      </w:r>
    </w:p>
    <w:p w14:paraId="7A02685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3.3.3  所有出现的维修调整，每次时间均不超过</w:t>
      </w:r>
      <w:r>
        <w:rPr>
          <w:rFonts w:hint="eastAsia" w:ascii="宋体" w:hAnsi="宋体" w:eastAsia="宋体" w:cs="宋体"/>
          <w:sz w:val="24"/>
          <w:szCs w:val="24"/>
          <w:highlight w:val="none"/>
          <w:u w:val="single"/>
          <w:shd w:val="pct10" w:color="auto" w:fill="FFFFFF"/>
        </w:rPr>
        <w:t xml:space="preserve">   30    </w:t>
      </w:r>
      <w:r>
        <w:rPr>
          <w:rFonts w:hint="eastAsia" w:ascii="宋体" w:hAnsi="宋体" w:eastAsia="宋体" w:cs="宋体"/>
          <w:sz w:val="24"/>
          <w:szCs w:val="24"/>
          <w:highlight w:val="none"/>
        </w:rPr>
        <w:t>分钟；所有维修调整时间的总和不超过总运行时间的</w:t>
      </w:r>
      <w:r>
        <w:rPr>
          <w:rFonts w:hint="eastAsia" w:ascii="宋体" w:hAnsi="宋体" w:eastAsia="宋体" w:cs="宋体"/>
          <w:sz w:val="24"/>
          <w:szCs w:val="24"/>
          <w:highlight w:val="none"/>
          <w:u w:val="single"/>
          <w:shd w:val="pct10" w:color="auto" w:fill="FFFFFF"/>
        </w:rPr>
        <w:t xml:space="preserve">   2    </w:t>
      </w:r>
      <w:r>
        <w:rPr>
          <w:rFonts w:hint="eastAsia" w:ascii="宋体" w:hAnsi="宋体" w:eastAsia="宋体" w:cs="宋体"/>
          <w:sz w:val="24"/>
          <w:szCs w:val="24"/>
          <w:highlight w:val="none"/>
        </w:rPr>
        <w:t>%；</w:t>
      </w:r>
    </w:p>
    <w:p w14:paraId="08B37C1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3.3.4  更换的零部件货值不超过总货值的</w:t>
      </w:r>
      <w:r>
        <w:rPr>
          <w:rFonts w:hint="eastAsia" w:ascii="宋体" w:hAnsi="宋体" w:eastAsia="宋体" w:cs="宋体"/>
          <w:sz w:val="24"/>
          <w:szCs w:val="24"/>
          <w:highlight w:val="none"/>
          <w:u w:val="single"/>
          <w:shd w:val="pct10" w:color="auto" w:fill="FFFFFF"/>
        </w:rPr>
        <w:t xml:space="preserve">   2  </w:t>
      </w:r>
      <w:r>
        <w:rPr>
          <w:rFonts w:hint="eastAsia" w:ascii="宋体" w:hAnsi="宋体" w:eastAsia="宋体" w:cs="宋体"/>
          <w:sz w:val="24"/>
          <w:szCs w:val="24"/>
          <w:highlight w:val="none"/>
        </w:rPr>
        <w:t>%；</w:t>
      </w:r>
    </w:p>
    <w:p w14:paraId="434970A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3.4  累计负载运行实际性能达到合同规定；</w:t>
      </w:r>
    </w:p>
    <w:p w14:paraId="14D8655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3.5  终验收内容包括以下内容：</w:t>
      </w:r>
    </w:p>
    <w:p w14:paraId="33632D8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3.5.1终验收在招标方车间进行，验收内容包括但不限于设备资料、培训、设备配置、生产节拍、工期、重复定位精度。</w:t>
      </w:r>
    </w:p>
    <w:p w14:paraId="204313D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3.5.2 投标方在终验收时需提交一份预验收时发现的缺陷和设备故障确认完成整改的汇总表，列入终验收报告。</w:t>
      </w:r>
    </w:p>
    <w:p w14:paraId="77F1420E">
      <w:pPr>
        <w:keepNext w:val="0"/>
        <w:keepLines w:val="0"/>
        <w:pageBreakBefore w:val="0"/>
        <w:widowControl w:val="0"/>
        <w:tabs>
          <w:tab w:val="left" w:pos="1260"/>
        </w:tabs>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3.5.3存在影响节拍、装配质量、安全的缺陷，投标方应及时整改，整改合格后验收和移交。当由于招标方原因影响终验收进度时，则移交日期相应顺延。</w:t>
      </w:r>
    </w:p>
    <w:p w14:paraId="3AD02F1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3.6  终验收原则上要求一次完成。若一次验收不成功，最多允许两次；如果出现第三次验收失败，重新作价或退货；</w:t>
      </w:r>
    </w:p>
    <w:p w14:paraId="10FA162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3.7  终验收通过后买卖双方共同签署终验收报告，并移交、核对全部供货范围内物品。</w:t>
      </w:r>
    </w:p>
    <w:p w14:paraId="448833D0">
      <w:pPr>
        <w:spacing w:line="480" w:lineRule="exact"/>
        <w:ind w:firstLine="420" w:firstLineChars="200"/>
        <w:rPr>
          <w:rFonts w:hint="eastAsia" w:ascii="宋体" w:hAnsi="宋体"/>
          <w:highlight w:val="none"/>
        </w:rPr>
      </w:pPr>
    </w:p>
    <w:p w14:paraId="07F75425">
      <w:pPr>
        <w:pStyle w:val="2"/>
        <w:spacing w:before="120" w:after="120" w:line="480" w:lineRule="exact"/>
        <w:jc w:val="center"/>
        <w:rPr>
          <w:rFonts w:hint="eastAsia" w:ascii="宋体" w:hAnsi="宋体" w:eastAsia="宋体" w:cs="宋体"/>
          <w:b/>
          <w:bCs w:val="0"/>
          <w:sz w:val="28"/>
          <w:szCs w:val="28"/>
          <w:highlight w:val="none"/>
        </w:rPr>
      </w:pPr>
      <w:r>
        <w:rPr>
          <w:rFonts w:ascii="宋体" w:hAnsi="宋体"/>
          <w:highlight w:val="none"/>
        </w:rPr>
        <w:br w:type="page"/>
      </w:r>
      <w:bookmarkStart w:id="88" w:name="_Toc25335"/>
      <w:bookmarkStart w:id="89" w:name="_Toc28978"/>
      <w:bookmarkStart w:id="90" w:name="_Toc12996"/>
      <w:bookmarkStart w:id="91" w:name="_Toc22000"/>
      <w:r>
        <w:rPr>
          <w:rFonts w:hint="eastAsia" w:ascii="宋体" w:hAnsi="宋体" w:eastAsia="宋体" w:cs="宋体"/>
          <w:b/>
          <w:bCs w:val="0"/>
          <w:sz w:val="28"/>
          <w:szCs w:val="28"/>
          <w:highlight w:val="none"/>
        </w:rPr>
        <w:t>第六章  投标技术文件一般要求</w:t>
      </w:r>
      <w:bookmarkEnd w:id="88"/>
      <w:bookmarkEnd w:id="89"/>
      <w:bookmarkEnd w:id="90"/>
      <w:bookmarkEnd w:id="91"/>
    </w:p>
    <w:p w14:paraId="0B50B62F">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一、技术文件一般内容要求</w:t>
      </w:r>
    </w:p>
    <w:p w14:paraId="3E49104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1、投标方应认真阅读招标文件和本技术标书，并按要求编写投标技术文件。</w:t>
      </w:r>
    </w:p>
    <w:p w14:paraId="58AB3DE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2、投标技术文件至少应对投标设备的功能用途、技术性能、质量标准、技术参数等作出详细说明。</w:t>
      </w:r>
    </w:p>
    <w:p w14:paraId="4148D21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3、投标技术文件至少应根据投标设备的关键设备、总成、零部件或系统作出优越性说明。</w:t>
      </w:r>
    </w:p>
    <w:p w14:paraId="42DAC6A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4、投标技术文件至少应按照招标文件要求（或投标方建议）列明备品备件、易损件和专用耗材明细。</w:t>
      </w:r>
    </w:p>
    <w:p w14:paraId="5B9F352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5、投标方应当而且必须分别说明所列备品备件、易损件和专用耗材的使用寿命（以有效工作小时数说明）。</w:t>
      </w:r>
    </w:p>
    <w:p w14:paraId="3822CF6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6、投标的设备，应当根据其配置和备品备件、易损件、专用耗材情况，尽可能详细且分类填入下表：</w:t>
      </w:r>
    </w:p>
    <w:p w14:paraId="6B83433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6.1  投标设备配置一览表：</w:t>
      </w:r>
    </w:p>
    <w:p w14:paraId="3D20A896">
      <w:pPr>
        <w:adjustRightInd w:val="0"/>
        <w:snapToGrid w:val="0"/>
        <w:spacing w:line="460" w:lineRule="exact"/>
        <w:ind w:firstLine="1890" w:firstLineChars="900"/>
        <w:rPr>
          <w:rFonts w:hint="eastAsia" w:ascii="宋体" w:hAnsi="宋体" w:eastAsia="宋体" w:cs="宋体"/>
          <w:highlight w:val="none"/>
        </w:rPr>
      </w:pPr>
      <w:r>
        <w:rPr>
          <w:rFonts w:hint="eastAsia" w:ascii="宋体" w:hAnsi="宋体" w:eastAsia="宋体" w:cs="宋体"/>
          <w:highlight w:val="none"/>
        </w:rPr>
        <w:t xml:space="preserve">投标货物配置一览表          </w:t>
      </w:r>
      <w:r>
        <w:rPr>
          <w:rFonts w:hint="eastAsia" w:ascii="宋体" w:hAnsi="宋体" w:eastAsia="宋体" w:cs="宋体"/>
          <w:sz w:val="21"/>
          <w:highlight w:val="none"/>
        </w:rPr>
        <w:t>单位：元</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5EDC9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816" w:type="dxa"/>
            <w:noWrap w:val="0"/>
            <w:vAlign w:val="top"/>
          </w:tcPr>
          <w:p w14:paraId="156B1F33">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序号</w:t>
            </w:r>
          </w:p>
        </w:tc>
        <w:tc>
          <w:tcPr>
            <w:tcW w:w="1924" w:type="dxa"/>
            <w:noWrap w:val="0"/>
            <w:vAlign w:val="top"/>
          </w:tcPr>
          <w:p w14:paraId="1E3599FE">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名称</w:t>
            </w:r>
          </w:p>
        </w:tc>
        <w:tc>
          <w:tcPr>
            <w:tcW w:w="1236" w:type="dxa"/>
            <w:noWrap w:val="0"/>
            <w:vAlign w:val="top"/>
          </w:tcPr>
          <w:p w14:paraId="3A749B51">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型号规格</w:t>
            </w:r>
          </w:p>
        </w:tc>
        <w:tc>
          <w:tcPr>
            <w:tcW w:w="720" w:type="dxa"/>
            <w:noWrap w:val="0"/>
            <w:vAlign w:val="top"/>
          </w:tcPr>
          <w:p w14:paraId="054F2DF1">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单位</w:t>
            </w:r>
          </w:p>
        </w:tc>
        <w:tc>
          <w:tcPr>
            <w:tcW w:w="720" w:type="dxa"/>
            <w:noWrap w:val="0"/>
            <w:vAlign w:val="top"/>
          </w:tcPr>
          <w:p w14:paraId="5CC45803">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数量</w:t>
            </w:r>
          </w:p>
        </w:tc>
        <w:tc>
          <w:tcPr>
            <w:tcW w:w="720" w:type="dxa"/>
            <w:noWrap w:val="0"/>
            <w:vAlign w:val="top"/>
          </w:tcPr>
          <w:p w14:paraId="342CFB29">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单价</w:t>
            </w:r>
          </w:p>
        </w:tc>
        <w:tc>
          <w:tcPr>
            <w:tcW w:w="720" w:type="dxa"/>
            <w:noWrap w:val="0"/>
            <w:vAlign w:val="top"/>
          </w:tcPr>
          <w:p w14:paraId="46250D60">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总价</w:t>
            </w:r>
          </w:p>
        </w:tc>
        <w:tc>
          <w:tcPr>
            <w:tcW w:w="2235" w:type="dxa"/>
            <w:noWrap w:val="0"/>
            <w:vAlign w:val="top"/>
          </w:tcPr>
          <w:p w14:paraId="2ACD74F6">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制造商</w:t>
            </w:r>
          </w:p>
        </w:tc>
      </w:tr>
      <w:tr w14:paraId="04C21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05C924A2">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74543576">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125F9AF2">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36B9D7F6">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ED61197">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07E0293A">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39F62BF3">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29ABDEA2">
            <w:pPr>
              <w:adjustRightInd w:val="0"/>
              <w:snapToGrid w:val="0"/>
              <w:spacing w:line="360" w:lineRule="exact"/>
              <w:rPr>
                <w:rFonts w:hint="eastAsia" w:ascii="宋体" w:hAnsi="宋体" w:eastAsia="宋体" w:cs="宋体"/>
                <w:sz w:val="21"/>
                <w:highlight w:val="none"/>
              </w:rPr>
            </w:pPr>
          </w:p>
        </w:tc>
      </w:tr>
      <w:tr w14:paraId="7318D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184D6D7D">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17A45E01">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0A9F82F0">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061528DA">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0E4E5062">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7978370">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83627F9">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74091238">
            <w:pPr>
              <w:adjustRightInd w:val="0"/>
              <w:snapToGrid w:val="0"/>
              <w:spacing w:line="360" w:lineRule="exact"/>
              <w:rPr>
                <w:rFonts w:hint="eastAsia" w:ascii="宋体" w:hAnsi="宋体" w:eastAsia="宋体" w:cs="宋体"/>
                <w:sz w:val="21"/>
                <w:highlight w:val="none"/>
              </w:rPr>
            </w:pPr>
          </w:p>
        </w:tc>
      </w:tr>
      <w:tr w14:paraId="7C6A6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7B061D0F">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60FB1DE9">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477DC713">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750A4407">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DB13C71">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362A1FF6">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3ACBFB4A">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79213DAF">
            <w:pPr>
              <w:adjustRightInd w:val="0"/>
              <w:snapToGrid w:val="0"/>
              <w:spacing w:line="360" w:lineRule="exact"/>
              <w:rPr>
                <w:rFonts w:hint="eastAsia" w:ascii="宋体" w:hAnsi="宋体" w:eastAsia="宋体" w:cs="宋体"/>
                <w:sz w:val="21"/>
                <w:highlight w:val="none"/>
              </w:rPr>
            </w:pPr>
          </w:p>
        </w:tc>
      </w:tr>
      <w:tr w14:paraId="53790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59768643">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337D50CE">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7A57709B">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33E759D7">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11CF92D3">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27A1A67">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1C352E52">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4397D3B7">
            <w:pPr>
              <w:adjustRightInd w:val="0"/>
              <w:snapToGrid w:val="0"/>
              <w:spacing w:line="360" w:lineRule="exact"/>
              <w:rPr>
                <w:rFonts w:hint="eastAsia" w:ascii="宋体" w:hAnsi="宋体" w:eastAsia="宋体" w:cs="宋体"/>
                <w:sz w:val="21"/>
                <w:highlight w:val="none"/>
              </w:rPr>
            </w:pPr>
          </w:p>
        </w:tc>
      </w:tr>
      <w:tr w14:paraId="26BC7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1B0BCDA5">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0DE58A95">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34AB2760">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79FD5543">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5A290578">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7AED88C">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0E723E53">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17745A97">
            <w:pPr>
              <w:adjustRightInd w:val="0"/>
              <w:snapToGrid w:val="0"/>
              <w:spacing w:line="360" w:lineRule="exact"/>
              <w:rPr>
                <w:rFonts w:hint="eastAsia" w:ascii="宋体" w:hAnsi="宋体" w:eastAsia="宋体" w:cs="宋体"/>
                <w:sz w:val="21"/>
                <w:highlight w:val="none"/>
              </w:rPr>
            </w:pPr>
          </w:p>
        </w:tc>
      </w:tr>
      <w:tr w14:paraId="096B1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3998B6B0">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599EF7A1">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19D095B9">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1351C4E2">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6687B8C6">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28D679B4">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631E5FE5">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43C4336A">
            <w:pPr>
              <w:adjustRightInd w:val="0"/>
              <w:snapToGrid w:val="0"/>
              <w:spacing w:line="360" w:lineRule="exact"/>
              <w:rPr>
                <w:rFonts w:hint="eastAsia" w:ascii="宋体" w:hAnsi="宋体" w:eastAsia="宋体" w:cs="宋体"/>
                <w:sz w:val="21"/>
                <w:highlight w:val="none"/>
              </w:rPr>
            </w:pPr>
          </w:p>
        </w:tc>
      </w:tr>
    </w:tbl>
    <w:p w14:paraId="7D05F3EA">
      <w:pPr>
        <w:adjustRightInd w:val="0"/>
        <w:snapToGrid w:val="0"/>
        <w:spacing w:line="460" w:lineRule="exact"/>
        <w:ind w:firstLine="480" w:firstLineChars="200"/>
        <w:rPr>
          <w:rFonts w:hint="eastAsia" w:ascii="宋体" w:hAnsi="宋体" w:eastAsia="宋体" w:cs="宋体"/>
          <w:sz w:val="24"/>
          <w:szCs w:val="28"/>
          <w:highlight w:val="none"/>
        </w:rPr>
      </w:pPr>
      <w:r>
        <w:rPr>
          <w:rFonts w:hint="eastAsia" w:ascii="宋体" w:hAnsi="宋体" w:eastAsia="宋体" w:cs="宋体"/>
          <w:sz w:val="24"/>
          <w:szCs w:val="28"/>
          <w:highlight w:val="none"/>
        </w:rPr>
        <w:t>6.2  备品备件、易损件和专用耗材明细表：</w:t>
      </w:r>
    </w:p>
    <w:p w14:paraId="7750D76D">
      <w:pPr>
        <w:adjustRightInd w:val="0"/>
        <w:snapToGrid w:val="0"/>
        <w:spacing w:line="460" w:lineRule="exact"/>
        <w:ind w:firstLine="1890" w:firstLineChars="900"/>
        <w:rPr>
          <w:rFonts w:hint="eastAsia" w:ascii="宋体" w:hAnsi="宋体" w:eastAsia="宋体" w:cs="宋体"/>
          <w:highlight w:val="none"/>
        </w:rPr>
      </w:pPr>
      <w:r>
        <w:rPr>
          <w:rFonts w:hint="eastAsia" w:ascii="宋体" w:hAnsi="宋体" w:eastAsia="宋体" w:cs="宋体"/>
          <w:highlight w:val="none"/>
        </w:rPr>
        <w:t xml:space="preserve">备品备件、易损件和专用耗材明细表             </w:t>
      </w:r>
      <w:r>
        <w:rPr>
          <w:rFonts w:hint="eastAsia" w:ascii="宋体" w:hAnsi="宋体" w:eastAsia="宋体" w:cs="宋体"/>
          <w:sz w:val="21"/>
          <w:highlight w:val="none"/>
        </w:rPr>
        <w:t>单位：元</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F653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6E4D1EE0">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序号</w:t>
            </w:r>
          </w:p>
        </w:tc>
        <w:tc>
          <w:tcPr>
            <w:tcW w:w="1924" w:type="dxa"/>
            <w:noWrap w:val="0"/>
            <w:vAlign w:val="top"/>
          </w:tcPr>
          <w:p w14:paraId="561D6FBB">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名称</w:t>
            </w:r>
          </w:p>
        </w:tc>
        <w:tc>
          <w:tcPr>
            <w:tcW w:w="1236" w:type="dxa"/>
            <w:noWrap w:val="0"/>
            <w:vAlign w:val="top"/>
          </w:tcPr>
          <w:p w14:paraId="19C000A4">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型号规格</w:t>
            </w:r>
          </w:p>
        </w:tc>
        <w:tc>
          <w:tcPr>
            <w:tcW w:w="720" w:type="dxa"/>
            <w:noWrap w:val="0"/>
            <w:vAlign w:val="top"/>
          </w:tcPr>
          <w:p w14:paraId="6B775A62">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单位</w:t>
            </w:r>
          </w:p>
        </w:tc>
        <w:tc>
          <w:tcPr>
            <w:tcW w:w="720" w:type="dxa"/>
            <w:noWrap w:val="0"/>
            <w:vAlign w:val="top"/>
          </w:tcPr>
          <w:p w14:paraId="35E1FC22">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数量</w:t>
            </w:r>
          </w:p>
        </w:tc>
        <w:tc>
          <w:tcPr>
            <w:tcW w:w="720" w:type="dxa"/>
            <w:noWrap w:val="0"/>
            <w:vAlign w:val="top"/>
          </w:tcPr>
          <w:p w14:paraId="3A914363">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单价</w:t>
            </w:r>
          </w:p>
        </w:tc>
        <w:tc>
          <w:tcPr>
            <w:tcW w:w="720" w:type="dxa"/>
            <w:noWrap w:val="0"/>
            <w:vAlign w:val="top"/>
          </w:tcPr>
          <w:p w14:paraId="3561FBCB">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总价</w:t>
            </w:r>
          </w:p>
        </w:tc>
        <w:tc>
          <w:tcPr>
            <w:tcW w:w="2235" w:type="dxa"/>
            <w:noWrap w:val="0"/>
            <w:vAlign w:val="top"/>
          </w:tcPr>
          <w:p w14:paraId="12A6C3DE">
            <w:pPr>
              <w:adjustRightInd w:val="0"/>
              <w:snapToGrid w:val="0"/>
              <w:spacing w:line="360" w:lineRule="exact"/>
              <w:jc w:val="center"/>
              <w:rPr>
                <w:rFonts w:hint="eastAsia" w:ascii="宋体" w:hAnsi="宋体" w:eastAsia="宋体" w:cs="宋体"/>
                <w:sz w:val="21"/>
                <w:highlight w:val="none"/>
              </w:rPr>
            </w:pPr>
            <w:r>
              <w:rPr>
                <w:rFonts w:hint="eastAsia" w:ascii="宋体" w:hAnsi="宋体" w:eastAsia="宋体" w:cs="宋体"/>
                <w:sz w:val="21"/>
                <w:highlight w:val="none"/>
              </w:rPr>
              <w:t>制造商</w:t>
            </w:r>
          </w:p>
        </w:tc>
      </w:tr>
      <w:tr w14:paraId="04F35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57B80AD6">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42EDDE31">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4D8B28BE">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3AE3C283">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7E08B03F">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18807981">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014DCC26">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5A4F422C">
            <w:pPr>
              <w:adjustRightInd w:val="0"/>
              <w:snapToGrid w:val="0"/>
              <w:spacing w:line="360" w:lineRule="exact"/>
              <w:rPr>
                <w:rFonts w:hint="eastAsia" w:ascii="宋体" w:hAnsi="宋体" w:eastAsia="宋体" w:cs="宋体"/>
                <w:sz w:val="21"/>
                <w:highlight w:val="none"/>
              </w:rPr>
            </w:pPr>
          </w:p>
        </w:tc>
      </w:tr>
      <w:tr w14:paraId="4C9F6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591396C9">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6B63A892">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21CF9C02">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1EF7B7B4">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7DE0DF0C">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30AF53B">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210A0394">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6510560C">
            <w:pPr>
              <w:adjustRightInd w:val="0"/>
              <w:snapToGrid w:val="0"/>
              <w:spacing w:line="360" w:lineRule="exact"/>
              <w:rPr>
                <w:rFonts w:hint="eastAsia" w:ascii="宋体" w:hAnsi="宋体" w:eastAsia="宋体" w:cs="宋体"/>
                <w:sz w:val="21"/>
                <w:highlight w:val="none"/>
              </w:rPr>
            </w:pPr>
          </w:p>
        </w:tc>
      </w:tr>
      <w:tr w14:paraId="4FB89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3173E2C7">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1F1ABA7E">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6BBF3932">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50C3509D">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43F3314A">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56898BEE">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706CA54E">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21042ADB">
            <w:pPr>
              <w:adjustRightInd w:val="0"/>
              <w:snapToGrid w:val="0"/>
              <w:spacing w:line="360" w:lineRule="exact"/>
              <w:rPr>
                <w:rFonts w:hint="eastAsia" w:ascii="宋体" w:hAnsi="宋体" w:eastAsia="宋体" w:cs="宋体"/>
                <w:sz w:val="21"/>
                <w:highlight w:val="none"/>
              </w:rPr>
            </w:pPr>
          </w:p>
        </w:tc>
      </w:tr>
      <w:tr w14:paraId="1B9B6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43DD9510">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4A1A2683">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5443C444">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56A76920">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50441188">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70F6C10C">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028D4D1E">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1EBC040A">
            <w:pPr>
              <w:adjustRightInd w:val="0"/>
              <w:snapToGrid w:val="0"/>
              <w:spacing w:line="360" w:lineRule="exact"/>
              <w:rPr>
                <w:rFonts w:hint="eastAsia" w:ascii="宋体" w:hAnsi="宋体" w:eastAsia="宋体" w:cs="宋体"/>
                <w:sz w:val="21"/>
                <w:highlight w:val="none"/>
              </w:rPr>
            </w:pPr>
          </w:p>
        </w:tc>
      </w:tr>
      <w:tr w14:paraId="3F715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137A1CB1">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574D682A">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57787A63">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59B9FDEA">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138E4121">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52B84A9B">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666B3858">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0C6F8C6B">
            <w:pPr>
              <w:adjustRightInd w:val="0"/>
              <w:snapToGrid w:val="0"/>
              <w:spacing w:line="360" w:lineRule="exact"/>
              <w:rPr>
                <w:rFonts w:hint="eastAsia" w:ascii="宋体" w:hAnsi="宋体" w:eastAsia="宋体" w:cs="宋体"/>
                <w:sz w:val="21"/>
                <w:highlight w:val="none"/>
              </w:rPr>
            </w:pPr>
          </w:p>
        </w:tc>
      </w:tr>
      <w:tr w14:paraId="0868E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14:paraId="1E20C75D">
            <w:pPr>
              <w:adjustRightInd w:val="0"/>
              <w:snapToGrid w:val="0"/>
              <w:spacing w:line="360" w:lineRule="exact"/>
              <w:jc w:val="center"/>
              <w:rPr>
                <w:rFonts w:hint="eastAsia" w:ascii="宋体" w:hAnsi="宋体" w:eastAsia="宋体" w:cs="宋体"/>
                <w:sz w:val="21"/>
                <w:highlight w:val="none"/>
              </w:rPr>
            </w:pPr>
          </w:p>
        </w:tc>
        <w:tc>
          <w:tcPr>
            <w:tcW w:w="1924" w:type="dxa"/>
            <w:noWrap w:val="0"/>
            <w:vAlign w:val="top"/>
          </w:tcPr>
          <w:p w14:paraId="0745C64F">
            <w:pPr>
              <w:adjustRightInd w:val="0"/>
              <w:snapToGrid w:val="0"/>
              <w:spacing w:line="360" w:lineRule="exact"/>
              <w:rPr>
                <w:rFonts w:hint="eastAsia" w:ascii="宋体" w:hAnsi="宋体" w:eastAsia="宋体" w:cs="宋体"/>
                <w:sz w:val="21"/>
                <w:highlight w:val="none"/>
              </w:rPr>
            </w:pPr>
          </w:p>
        </w:tc>
        <w:tc>
          <w:tcPr>
            <w:tcW w:w="1236" w:type="dxa"/>
            <w:noWrap w:val="0"/>
            <w:vAlign w:val="top"/>
          </w:tcPr>
          <w:p w14:paraId="0E011F04">
            <w:pPr>
              <w:adjustRightInd w:val="0"/>
              <w:snapToGrid w:val="0"/>
              <w:spacing w:line="360" w:lineRule="exact"/>
              <w:rPr>
                <w:rFonts w:hint="eastAsia" w:ascii="宋体" w:hAnsi="宋体" w:eastAsia="宋体" w:cs="宋体"/>
                <w:sz w:val="21"/>
                <w:highlight w:val="none"/>
              </w:rPr>
            </w:pPr>
          </w:p>
        </w:tc>
        <w:tc>
          <w:tcPr>
            <w:tcW w:w="720" w:type="dxa"/>
            <w:noWrap w:val="0"/>
            <w:vAlign w:val="top"/>
          </w:tcPr>
          <w:p w14:paraId="257BA009">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6FD98B63">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15528623">
            <w:pPr>
              <w:adjustRightInd w:val="0"/>
              <w:snapToGrid w:val="0"/>
              <w:spacing w:line="360" w:lineRule="exact"/>
              <w:jc w:val="center"/>
              <w:rPr>
                <w:rFonts w:hint="eastAsia" w:ascii="宋体" w:hAnsi="宋体" w:eastAsia="宋体" w:cs="宋体"/>
                <w:sz w:val="21"/>
                <w:highlight w:val="none"/>
              </w:rPr>
            </w:pPr>
          </w:p>
        </w:tc>
        <w:tc>
          <w:tcPr>
            <w:tcW w:w="720" w:type="dxa"/>
            <w:noWrap w:val="0"/>
            <w:vAlign w:val="top"/>
          </w:tcPr>
          <w:p w14:paraId="212926E2">
            <w:pPr>
              <w:adjustRightInd w:val="0"/>
              <w:snapToGrid w:val="0"/>
              <w:spacing w:line="360" w:lineRule="exact"/>
              <w:jc w:val="center"/>
              <w:rPr>
                <w:rFonts w:hint="eastAsia" w:ascii="宋体" w:hAnsi="宋体" w:eastAsia="宋体" w:cs="宋体"/>
                <w:sz w:val="21"/>
                <w:highlight w:val="none"/>
              </w:rPr>
            </w:pPr>
          </w:p>
        </w:tc>
        <w:tc>
          <w:tcPr>
            <w:tcW w:w="2235" w:type="dxa"/>
            <w:noWrap w:val="0"/>
            <w:vAlign w:val="top"/>
          </w:tcPr>
          <w:p w14:paraId="0DE9010D">
            <w:pPr>
              <w:adjustRightInd w:val="0"/>
              <w:snapToGrid w:val="0"/>
              <w:spacing w:line="360" w:lineRule="exact"/>
              <w:rPr>
                <w:rFonts w:hint="eastAsia" w:ascii="宋体" w:hAnsi="宋体" w:eastAsia="宋体" w:cs="宋体"/>
                <w:sz w:val="21"/>
                <w:highlight w:val="none"/>
              </w:rPr>
            </w:pPr>
          </w:p>
        </w:tc>
      </w:tr>
    </w:tbl>
    <w:p w14:paraId="7A19CA94">
      <w:pPr>
        <w:adjustRightInd w:val="0"/>
        <w:snapToGrid w:val="0"/>
        <w:spacing w:line="360" w:lineRule="exact"/>
        <w:ind w:firstLine="420" w:firstLineChars="200"/>
        <w:rPr>
          <w:rFonts w:hint="eastAsia" w:ascii="宋体" w:hAnsi="宋体" w:eastAsia="宋体" w:cs="宋体"/>
          <w:sz w:val="21"/>
          <w:highlight w:val="none"/>
        </w:rPr>
      </w:pPr>
    </w:p>
    <w:p w14:paraId="5556123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6.3  “一览表”和“明细表”仅作为投标方编制投标技术文件的一般格式。其中序号编写应当便于招标方了解分类或分项货物之间的所属关系，如1、1.1、1.2。</w:t>
      </w:r>
    </w:p>
    <w:p w14:paraId="27D04762">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6.4  应当尽可能将设备的配置列全、列细，这将有助于投标方胜出。</w:t>
      </w:r>
    </w:p>
    <w:p w14:paraId="57C6A93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6.5  单价与总价之间、总价与分类小计价之间、分类小计价与合计价之间数据应当齐全而且准确。</w:t>
      </w:r>
    </w:p>
    <w:p w14:paraId="4ED0A67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6.6  本条款表格中的制造商，应当为全称或公认的简称。</w:t>
      </w:r>
    </w:p>
    <w:p w14:paraId="5AC3EAB5">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二、技术文件中设备报价格式要求</w:t>
      </w:r>
    </w:p>
    <w:p w14:paraId="11ADDE1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14:paraId="6A8B135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47F95C8F">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3、如果投标总报价与其它价格出现错误或不一致，将有可能导致废标。</w:t>
      </w:r>
    </w:p>
    <w:p w14:paraId="1C0D9D32">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4、投标总报价为自合同签定生效至合同无异议执行完毕涉及的招标方需要支付的全部费用。如投标方认为本招标及投标设备涉及专门的设计，应当列明设计费。</w:t>
      </w:r>
    </w:p>
    <w:p w14:paraId="44A5C8AF">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5、备品备件、易损件和专用耗材，招标方将可能与投标方按照投标价格另行签署供货合同。</w:t>
      </w:r>
    </w:p>
    <w:p w14:paraId="0BB3A0CE">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6、要求投标总报价、分项报价、明细报价之间应当具有相互间对应关系以及填报分项和明细报价，仅为便于评标而不妨碍投标人以最合适的形式签署合同。</w:t>
      </w:r>
    </w:p>
    <w:p w14:paraId="0534B87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三、验收标准及内容要求</w:t>
      </w:r>
    </w:p>
    <w:p w14:paraId="4541955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除招标文件明确的验收标准或内容之外，投标方应当在投标文件中提供预验收（必要时）和终验收的标准以及规程；在合同签定之前，经投标方和招标方双方洽谈确认并签署，以作为验收标准执行。</w:t>
      </w:r>
    </w:p>
    <w:p w14:paraId="5C61AEA1">
      <w:pPr>
        <w:pStyle w:val="2"/>
        <w:spacing w:before="120" w:after="120" w:line="480" w:lineRule="exact"/>
        <w:jc w:val="center"/>
        <w:rPr>
          <w:rFonts w:hint="eastAsia" w:ascii="宋体" w:hAnsi="宋体" w:eastAsia="宋体" w:cs="宋体"/>
          <w:b/>
          <w:bCs w:val="0"/>
          <w:sz w:val="24"/>
          <w:szCs w:val="24"/>
          <w:highlight w:val="none"/>
        </w:rPr>
      </w:pPr>
      <w:r>
        <w:rPr>
          <w:rFonts w:ascii="宋体" w:hAnsi="宋体"/>
          <w:highlight w:val="none"/>
        </w:rPr>
        <w:br w:type="page"/>
      </w:r>
      <w:bookmarkStart w:id="92" w:name="_Toc15099"/>
      <w:bookmarkStart w:id="93" w:name="_Toc31849"/>
      <w:bookmarkStart w:id="94" w:name="_Toc5388"/>
      <w:bookmarkStart w:id="95" w:name="_Toc6037"/>
      <w:r>
        <w:rPr>
          <w:rFonts w:hint="eastAsia" w:ascii="宋体" w:hAnsi="宋体" w:eastAsia="宋体" w:cs="宋体"/>
          <w:b/>
          <w:bCs w:val="0"/>
          <w:sz w:val="24"/>
          <w:szCs w:val="24"/>
          <w:highlight w:val="none"/>
        </w:rPr>
        <w:t>第七章  其它要求及说明</w:t>
      </w:r>
      <w:bookmarkEnd w:id="92"/>
      <w:bookmarkEnd w:id="93"/>
      <w:bookmarkEnd w:id="94"/>
      <w:bookmarkEnd w:id="95"/>
    </w:p>
    <w:p w14:paraId="120B7AC3">
      <w:pPr>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一、要求</w:t>
      </w:r>
    </w:p>
    <w:p w14:paraId="6EA1ED2D">
      <w:pPr>
        <w:pStyle w:val="20"/>
        <w:keepNext w:val="0"/>
        <w:keepLines w:val="0"/>
        <w:pageBreakBefore w:val="0"/>
        <w:widowControl w:val="0"/>
        <w:kinsoku/>
        <w:wordWrap/>
        <w:overflowPunct/>
        <w:topLinePunct w:val="0"/>
        <w:autoSpaceDE/>
        <w:autoSpaceDN/>
        <w:bidi w:val="0"/>
        <w:adjustRightInd/>
        <w:snapToGrid/>
        <w:spacing w:after="0"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为保证本技术标书所列采购设备的质量以及先进性、可靠性、经济性和实用性，要求投标方在投标文件中，至少应具备以下资格证明文件或资料：</w:t>
      </w:r>
    </w:p>
    <w:p w14:paraId="403C8E4F">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1、投标方应是独立法人或得到法人授权的机构。应当在投标文件中提供法人营业执照（复印件）、税务登记证以及组织机构代码证（国外供应商参考该要求提供有效证明文件），并保证其真实性和有效性。</w:t>
      </w:r>
    </w:p>
    <w:p w14:paraId="24C41DEC">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2、投标方应当是通过有关资格认证的法人。应当在投标文件中提供有效期内的资格认证证书，如：ISO9001、VDA6.1、QS9000等。</w:t>
      </w:r>
    </w:p>
    <w:p w14:paraId="7C84A400">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3、国产设备应附有采购设备涉及的由“中国质量认证中心”颁发的《中国国家强制性产品认证证书》（CCC证书）。</w:t>
      </w:r>
    </w:p>
    <w:p w14:paraId="53EB1F96">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4、应附有其它与投标单位、采购货物有关的荣誉证书或资料。</w:t>
      </w:r>
    </w:p>
    <w:p w14:paraId="5739968D">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5、必须附有投标货物涉及产品要求的、国家或行业管理规定要求的、或者投标方认为能够体现其投标货物合法性及先进性的最高级别的证明材料（投标货物不涉及的除外）：</w:t>
      </w:r>
    </w:p>
    <w:p w14:paraId="2CB045DC">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5.1  国家相关机构颁发的有效期之内所必需的《生产许可证》。</w:t>
      </w:r>
    </w:p>
    <w:p w14:paraId="36C69893">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5.2  产品（或技术）鉴定报告/证书、专利证书或专利许可证书、新技术成果证书等。</w:t>
      </w:r>
    </w:p>
    <w:p w14:paraId="72DA6FCB">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5.3  产品相关检验、试验报告，如：型式试验检验报告、安全试验检验报告、电弧效应试验报告、噪声检测报告等</w:t>
      </w:r>
    </w:p>
    <w:p w14:paraId="4D5688A0">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5.4  其它能够证明所供设备的质量水平、技术水平、安全性水平、节能性水平、环保性水平等相关的其它证明文件或资料、报告等。</w:t>
      </w:r>
    </w:p>
    <w:p w14:paraId="20C3E19E">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5.5  该类报告或证明材料对于投标方胜出乃至中标极为重要！</w:t>
      </w:r>
    </w:p>
    <w:p w14:paraId="0B165C60">
      <w:pPr>
        <w:keepNext w:val="0"/>
        <w:keepLines w:val="0"/>
        <w:pageBreakBefore w:val="0"/>
        <w:widowControl w:val="0"/>
        <w:kinsoku/>
        <w:wordWrap/>
        <w:overflowPunct/>
        <w:topLinePunct w:val="0"/>
        <w:autoSpaceDE/>
        <w:autoSpaceDN/>
        <w:bidi w:val="0"/>
        <w:adjustRightInd/>
        <w:snapToGrid/>
        <w:spacing w:line="360" w:lineRule="auto"/>
        <w:ind w:left="0" w:leftChars="0" w:firstLine="477" w:firstLineChars="199"/>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14:paraId="5DE41F33">
      <w:pPr>
        <w:keepNext w:val="0"/>
        <w:keepLines w:val="0"/>
        <w:pageBreakBefore w:val="0"/>
        <w:widowControl w:val="0"/>
        <w:kinsoku/>
        <w:wordWrap/>
        <w:overflowPunct/>
        <w:topLinePunct w:val="0"/>
        <w:autoSpaceDE/>
        <w:autoSpaceDN/>
        <w:bidi w:val="0"/>
        <w:adjustRightInd/>
        <w:snapToGrid/>
        <w:spacing w:line="360" w:lineRule="auto"/>
        <w:ind w:left="0" w:leftChars="0" w:firstLine="479" w:firstLineChars="199"/>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二、说明</w:t>
      </w:r>
    </w:p>
    <w:p w14:paraId="6CA2B84E">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1、投标方可以根据自身的技术、经验等优势以及对招标文件和本技术标书的理解，写明对招标方所采购设备的优化方案或建议意见。投标方的这些努力，招标方表示感谢，并将有助于投标方优先胜出。</w:t>
      </w:r>
    </w:p>
    <w:p w14:paraId="75AD78B8">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2、即使有建议意见或建议方案，仍应依据招标文件和本技术标书要求，编写符合要求的投标文件。建议方案或建议意见，应以单独篇章或文件，予以说明。</w:t>
      </w:r>
    </w:p>
    <w:p w14:paraId="444F8319">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3、请投标方仔细阅读“采购货物概况”章节内说明，针对允许分投分中的设备，招标方有权利选择其中优秀设备或服务，作为投标方合同供货范围中的指定选用设备或服务（替代投标方分投而未中标部分）。</w:t>
      </w:r>
    </w:p>
    <w:p w14:paraId="42364296">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4、招标文件、投标文件、答疑文件、技术交流文件、技术协议书等，在采购过程全部为有效文件，如有差异，以对招标方最有利的条款为准。</w:t>
      </w:r>
    </w:p>
    <w:p w14:paraId="7DDE9F0D">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5、为避免歧异，本技术标书涉及招投标环节的条款，均将潜在的卖方称为投标方、将买方称为招标方；定标后合同签署环节以及后续的合同执行环节条款，招标方称为买方、投标方中的中标方称为卖方。</w:t>
      </w:r>
    </w:p>
    <w:p w14:paraId="08D0AB0C">
      <w:pPr>
        <w:spacing w:line="480" w:lineRule="exact"/>
        <w:rPr>
          <w:rFonts w:hint="eastAsia" w:ascii="宋体" w:hAnsi="宋体"/>
          <w:highlight w:val="none"/>
        </w:rPr>
      </w:pPr>
    </w:p>
    <w:p w14:paraId="155E62FB">
      <w:pPr>
        <w:spacing w:line="480" w:lineRule="exact"/>
        <w:ind w:firstLine="480" w:firstLineChars="200"/>
        <w:rPr>
          <w:rFonts w:hint="eastAsia" w:ascii="宋体" w:hAnsi="宋体" w:eastAsia="宋体" w:cs="宋体"/>
          <w:b w:val="0"/>
          <w:bCs/>
          <w:sz w:val="24"/>
          <w:szCs w:val="28"/>
          <w:highlight w:val="none"/>
        </w:rPr>
      </w:pPr>
      <w:r>
        <w:rPr>
          <w:rFonts w:hint="eastAsia" w:ascii="宋体" w:hAnsi="宋体" w:eastAsia="宋体" w:cs="宋体"/>
          <w:b w:val="0"/>
          <w:bCs/>
          <w:sz w:val="24"/>
          <w:szCs w:val="28"/>
          <w:highlight w:val="none"/>
        </w:rPr>
        <w:t>技术部分答疑人：彭亮（18615275614）</w:t>
      </w:r>
    </w:p>
    <w:p w14:paraId="64AFEAF8">
      <w:pPr>
        <w:spacing w:line="480" w:lineRule="exact"/>
        <w:rPr>
          <w:rFonts w:hint="eastAsia" w:ascii="宋体" w:hAnsi="宋体" w:eastAsia="宋体" w:cs="宋体"/>
          <w:sz w:val="24"/>
          <w:szCs w:val="24"/>
          <w:highlight w:val="none"/>
        </w:rPr>
      </w:pPr>
    </w:p>
    <w:p w14:paraId="15EFA4E7">
      <w:pPr>
        <w:rPr>
          <w:highlight w:val="none"/>
        </w:rPr>
      </w:pPr>
    </w:p>
    <w:p w14:paraId="3A2A348B">
      <w:pPr>
        <w:rPr>
          <w:highlight w:val="none"/>
        </w:rPr>
      </w:pPr>
    </w:p>
    <w:p w14:paraId="491E4207">
      <w:pPr>
        <w:pStyle w:val="2"/>
        <w:pageBreakBefore w:val="0"/>
        <w:widowControl w:val="0"/>
        <w:kinsoku/>
        <w:wordWrap/>
        <w:topLinePunct w:val="0"/>
        <w:autoSpaceDE/>
        <w:autoSpaceDN/>
        <w:bidi w:val="0"/>
        <w:spacing w:before="120" w:after="120" w:line="360" w:lineRule="auto"/>
        <w:jc w:val="center"/>
        <w:textAlignment w:val="auto"/>
        <w:rPr>
          <w:rFonts w:hint="eastAsia"/>
          <w:sz w:val="32"/>
          <w:szCs w:val="32"/>
          <w:highlight w:val="none"/>
        </w:rPr>
      </w:pPr>
    </w:p>
    <w:bookmarkEnd w:id="33"/>
    <w:bookmarkEnd w:id="34"/>
    <w:bookmarkEnd w:id="35"/>
    <w:bookmarkEnd w:id="36"/>
    <w:bookmarkEnd w:id="37"/>
    <w:bookmarkEnd w:id="38"/>
    <w:bookmarkEnd w:id="39"/>
    <w:bookmarkEnd w:id="40"/>
    <w:p w14:paraId="17D2542D">
      <w:pPr>
        <w:rPr>
          <w:rFonts w:hint="eastAsia" w:hAnsi="宋体" w:eastAsia="宋体" w:cs="Times New Roman"/>
          <w:b/>
          <w:color w:val="000000"/>
          <w:sz w:val="24"/>
          <w:szCs w:val="24"/>
          <w:highlight w:val="none"/>
          <w:lang w:val="en-US" w:eastAsia="zh-CN"/>
        </w:rPr>
      </w:pPr>
    </w:p>
    <w:p w14:paraId="40F2B191">
      <w:pPr>
        <w:pStyle w:val="17"/>
        <w:rPr>
          <w:highlight w:val="none"/>
        </w:rPr>
      </w:pPr>
    </w:p>
    <w:p w14:paraId="0C9EDFC5">
      <w:pPr>
        <w:pStyle w:val="17"/>
        <w:rPr>
          <w:highlight w:val="none"/>
        </w:rPr>
      </w:pPr>
    </w:p>
    <w:p w14:paraId="0DC4D09A">
      <w:pPr>
        <w:pStyle w:val="17"/>
        <w:rPr>
          <w:highlight w:val="none"/>
        </w:rPr>
      </w:pPr>
    </w:p>
    <w:p w14:paraId="2CE1DF53">
      <w:pPr>
        <w:pStyle w:val="17"/>
        <w:rPr>
          <w:highlight w:val="none"/>
        </w:rPr>
      </w:pPr>
    </w:p>
    <w:p w14:paraId="6DF2944C">
      <w:pPr>
        <w:pStyle w:val="17"/>
        <w:rPr>
          <w:highlight w:val="none"/>
        </w:rPr>
      </w:pPr>
    </w:p>
    <w:p w14:paraId="1D96EA75">
      <w:pPr>
        <w:pStyle w:val="17"/>
        <w:rPr>
          <w:highlight w:val="none"/>
        </w:rPr>
      </w:pPr>
    </w:p>
    <w:p w14:paraId="75E16182">
      <w:pPr>
        <w:pStyle w:val="17"/>
        <w:rPr>
          <w:highlight w:val="none"/>
        </w:rPr>
      </w:pPr>
    </w:p>
    <w:p w14:paraId="1648170B">
      <w:pPr>
        <w:pStyle w:val="17"/>
        <w:rPr>
          <w:highlight w:val="none"/>
        </w:rPr>
      </w:pPr>
    </w:p>
    <w:p w14:paraId="0BBB901B">
      <w:pPr>
        <w:pStyle w:val="17"/>
        <w:rPr>
          <w:highlight w:val="none"/>
        </w:rPr>
      </w:pPr>
    </w:p>
    <w:p w14:paraId="2FC92954">
      <w:pPr>
        <w:pStyle w:val="17"/>
        <w:rPr>
          <w:highlight w:val="none"/>
        </w:rPr>
      </w:pPr>
    </w:p>
    <w:p w14:paraId="3867FB89">
      <w:pPr>
        <w:pStyle w:val="17"/>
        <w:rPr>
          <w:highlight w:val="none"/>
        </w:rPr>
      </w:pPr>
    </w:p>
    <w:p w14:paraId="16C704D4">
      <w:pPr>
        <w:pStyle w:val="17"/>
        <w:rPr>
          <w:highlight w:val="none"/>
        </w:rPr>
      </w:pPr>
    </w:p>
    <w:p w14:paraId="3C631E95">
      <w:pPr>
        <w:pStyle w:val="17"/>
        <w:rPr>
          <w:highlight w:val="none"/>
        </w:rPr>
      </w:pPr>
    </w:p>
    <w:p w14:paraId="0FC6E77D">
      <w:pPr>
        <w:pStyle w:val="17"/>
        <w:rPr>
          <w:highlight w:val="none"/>
        </w:rPr>
      </w:pPr>
    </w:p>
    <w:p w14:paraId="3B977FA8">
      <w:pPr>
        <w:pStyle w:val="17"/>
        <w:rPr>
          <w:highlight w:val="none"/>
        </w:rPr>
      </w:pPr>
    </w:p>
    <w:p w14:paraId="027F768A">
      <w:pPr>
        <w:pStyle w:val="17"/>
        <w:rPr>
          <w:highlight w:val="none"/>
        </w:rPr>
      </w:pPr>
    </w:p>
    <w:p w14:paraId="4FD9EBDC">
      <w:pPr>
        <w:pStyle w:val="17"/>
        <w:rPr>
          <w:highlight w:val="none"/>
        </w:rPr>
      </w:pPr>
    </w:p>
    <w:p w14:paraId="52A87987">
      <w:pPr>
        <w:pStyle w:val="17"/>
        <w:rPr>
          <w:highlight w:val="none"/>
        </w:rPr>
      </w:pPr>
    </w:p>
    <w:p w14:paraId="7FE9FA10">
      <w:pPr>
        <w:pStyle w:val="17"/>
        <w:rPr>
          <w:highlight w:val="none"/>
        </w:rPr>
      </w:pPr>
    </w:p>
    <w:p w14:paraId="0912F34D">
      <w:pPr>
        <w:pStyle w:val="17"/>
        <w:rPr>
          <w:highlight w:val="none"/>
        </w:rPr>
      </w:pPr>
    </w:p>
    <w:p w14:paraId="4105A452">
      <w:pPr>
        <w:pStyle w:val="17"/>
        <w:rPr>
          <w:highlight w:val="none"/>
        </w:rPr>
      </w:pPr>
    </w:p>
    <w:p w14:paraId="1E8C6FDB">
      <w:pPr>
        <w:spacing w:line="360" w:lineRule="auto"/>
        <w:jc w:val="center"/>
        <w:outlineLvl w:val="0"/>
        <w:rPr>
          <w:rFonts w:ascii="宋体" w:hAnsi="Calibri" w:eastAsia="宋体" w:cs="Times New Roman"/>
          <w:b/>
          <w:sz w:val="36"/>
          <w:szCs w:val="36"/>
          <w:highlight w:val="none"/>
        </w:rPr>
      </w:pPr>
      <w:bookmarkStart w:id="96" w:name="_Toc28859"/>
      <w:r>
        <w:rPr>
          <w:rFonts w:hint="eastAsia" w:ascii="宋体" w:hAnsi="宋体" w:eastAsia="宋体" w:cs="Times New Roman"/>
          <w:b/>
          <w:sz w:val="36"/>
          <w:szCs w:val="36"/>
          <w:highlight w:val="none"/>
        </w:rPr>
        <w:t>第</w:t>
      </w:r>
      <w:r>
        <w:rPr>
          <w:rFonts w:hint="eastAsia" w:ascii="宋体" w:hAnsi="宋体" w:eastAsia="宋体" w:cs="Times New Roman"/>
          <w:b/>
          <w:sz w:val="36"/>
          <w:szCs w:val="36"/>
          <w:highlight w:val="none"/>
          <w:lang w:val="en-US" w:eastAsia="zh-CN"/>
        </w:rPr>
        <w:t>五</w:t>
      </w:r>
      <w:r>
        <w:rPr>
          <w:rFonts w:hint="eastAsia" w:ascii="宋体" w:hAnsi="宋体" w:eastAsia="宋体" w:cs="Times New Roman"/>
          <w:b/>
          <w:sz w:val="36"/>
          <w:szCs w:val="36"/>
          <w:highlight w:val="none"/>
        </w:rPr>
        <w:t>部分</w:t>
      </w:r>
      <w:r>
        <w:rPr>
          <w:rFonts w:ascii="宋体" w:hAnsi="宋体" w:eastAsia="宋体" w:cs="Times New Roman"/>
          <w:b/>
          <w:sz w:val="36"/>
          <w:szCs w:val="36"/>
          <w:highlight w:val="none"/>
        </w:rPr>
        <w:t xml:space="preserve"> </w:t>
      </w:r>
      <w:r>
        <w:rPr>
          <w:rFonts w:hint="eastAsia" w:ascii="宋体" w:hAnsi="宋体" w:eastAsia="宋体" w:cs="Times New Roman"/>
          <w:b/>
          <w:sz w:val="36"/>
          <w:szCs w:val="36"/>
          <w:highlight w:val="none"/>
        </w:rPr>
        <w:t>设备采购合同</w:t>
      </w:r>
      <w:bookmarkEnd w:id="96"/>
    </w:p>
    <w:p w14:paraId="740A4B52">
      <w:pPr>
        <w:adjustRightInd w:val="0"/>
        <w:snapToGrid w:val="0"/>
        <w:spacing w:line="360" w:lineRule="auto"/>
        <w:jc w:val="left"/>
        <w:rPr>
          <w:rFonts w:ascii="宋体" w:hAnsi="宋体"/>
          <w:sz w:val="20"/>
          <w:szCs w:val="20"/>
          <w:highlight w:val="none"/>
        </w:rPr>
      </w:pPr>
      <w:r>
        <w:rPr>
          <w:rFonts w:ascii="宋体" w:hAnsi="宋体"/>
          <w:sz w:val="20"/>
          <w:szCs w:val="20"/>
          <w:highlight w:val="none"/>
        </w:rPr>
        <w:t xml:space="preserve">                                      </w:t>
      </w:r>
      <w:r>
        <w:rPr>
          <w:rFonts w:hint="eastAsia" w:ascii="宋体" w:hAnsi="宋体"/>
          <w:sz w:val="20"/>
          <w:szCs w:val="20"/>
          <w:highlight w:val="none"/>
        </w:rPr>
        <w:t xml:space="preserve">  </w:t>
      </w:r>
    </w:p>
    <w:p w14:paraId="6BE8A112">
      <w:pPr>
        <w:wordWrap w:val="0"/>
        <w:adjustRightInd w:val="0"/>
        <w:snapToGrid w:val="0"/>
        <w:spacing w:line="360" w:lineRule="auto"/>
        <w:jc w:val="right"/>
        <w:rPr>
          <w:rFonts w:ascii="方正小标宋简体" w:hAnsi="宋体" w:eastAsia="方正小标宋简体"/>
          <w:sz w:val="24"/>
          <w:szCs w:val="24"/>
          <w:highlight w:val="none"/>
        </w:rPr>
      </w:pPr>
      <w:r>
        <w:rPr>
          <w:rFonts w:hint="eastAsia" w:ascii="方正小标宋简体" w:hAnsi="宋体" w:eastAsia="方正小标宋简体"/>
          <w:sz w:val="24"/>
          <w:szCs w:val="24"/>
          <w:highlight w:val="none"/>
        </w:rPr>
        <w:t>编号：</w:t>
      </w:r>
      <w:r>
        <w:rPr>
          <w:rFonts w:hint="eastAsia" w:ascii="方正小标宋简体" w:hAnsi="宋体" w:eastAsia="方正小标宋简体"/>
          <w:sz w:val="24"/>
          <w:szCs w:val="24"/>
          <w:highlight w:val="none"/>
          <w:u w:val="thick"/>
        </w:rPr>
        <w:t xml:space="preserve">                  </w:t>
      </w:r>
    </w:p>
    <w:p w14:paraId="13623BC7">
      <w:pPr>
        <w:adjustRightInd w:val="0"/>
        <w:snapToGrid w:val="0"/>
        <w:spacing w:line="360" w:lineRule="auto"/>
        <w:jc w:val="left"/>
        <w:rPr>
          <w:rFonts w:ascii="宋体" w:hAnsi="宋体"/>
          <w:sz w:val="20"/>
          <w:szCs w:val="20"/>
          <w:highlight w:val="none"/>
        </w:rPr>
      </w:pPr>
    </w:p>
    <w:p w14:paraId="577B91E1">
      <w:pPr>
        <w:adjustRightInd w:val="0"/>
        <w:snapToGrid w:val="0"/>
        <w:spacing w:line="360" w:lineRule="auto"/>
        <w:jc w:val="left"/>
        <w:rPr>
          <w:rFonts w:ascii="宋体" w:hAnsi="宋体"/>
          <w:sz w:val="20"/>
          <w:szCs w:val="20"/>
          <w:highlight w:val="none"/>
        </w:rPr>
      </w:pPr>
    </w:p>
    <w:p w14:paraId="42C9CB72">
      <w:pPr>
        <w:adjustRightInd w:val="0"/>
        <w:snapToGrid w:val="0"/>
        <w:spacing w:line="360" w:lineRule="auto"/>
        <w:jc w:val="left"/>
        <w:rPr>
          <w:rFonts w:ascii="宋体" w:hAnsi="宋体"/>
          <w:sz w:val="20"/>
          <w:szCs w:val="20"/>
          <w:highlight w:val="none"/>
        </w:rPr>
      </w:pPr>
    </w:p>
    <w:p w14:paraId="67630F08">
      <w:pPr>
        <w:adjustRightInd w:val="0"/>
        <w:snapToGrid w:val="0"/>
        <w:spacing w:line="360" w:lineRule="auto"/>
        <w:jc w:val="left"/>
        <w:rPr>
          <w:rFonts w:ascii="宋体" w:hAnsi="宋体"/>
          <w:sz w:val="20"/>
          <w:szCs w:val="20"/>
          <w:highlight w:val="none"/>
        </w:rPr>
      </w:pPr>
    </w:p>
    <w:p w14:paraId="46F15F46">
      <w:pPr>
        <w:adjustRightInd w:val="0"/>
        <w:snapToGrid w:val="0"/>
        <w:spacing w:line="360" w:lineRule="auto"/>
        <w:jc w:val="center"/>
        <w:rPr>
          <w:rFonts w:ascii="方正小标宋简体" w:hAnsi="宋体" w:eastAsia="方正小标宋简体"/>
          <w:bCs/>
          <w:sz w:val="52"/>
          <w:szCs w:val="36"/>
          <w:highlight w:val="none"/>
        </w:rPr>
      </w:pPr>
    </w:p>
    <w:p w14:paraId="43F154CD">
      <w:pPr>
        <w:adjustRightInd w:val="0"/>
        <w:snapToGrid w:val="0"/>
        <w:spacing w:line="360" w:lineRule="auto"/>
        <w:jc w:val="center"/>
        <w:rPr>
          <w:rFonts w:ascii="方正小标宋简体" w:hAnsi="宋体" w:eastAsia="方正小标宋简体"/>
          <w:bCs/>
          <w:sz w:val="52"/>
          <w:szCs w:val="36"/>
          <w:highlight w:val="none"/>
        </w:rPr>
      </w:pPr>
    </w:p>
    <w:p w14:paraId="29628ED9">
      <w:pPr>
        <w:adjustRightInd w:val="0"/>
        <w:snapToGrid w:val="0"/>
        <w:spacing w:line="360" w:lineRule="auto"/>
        <w:jc w:val="center"/>
        <w:rPr>
          <w:rFonts w:hint="eastAsia" w:ascii="方正小标宋简体" w:hAnsi="宋体" w:eastAsia="方正小标宋简体"/>
          <w:bCs/>
          <w:sz w:val="52"/>
          <w:szCs w:val="36"/>
          <w:highlight w:val="none"/>
          <w:lang w:eastAsia="zh-CN"/>
        </w:rPr>
      </w:pPr>
      <w:r>
        <w:rPr>
          <w:rFonts w:hint="eastAsia" w:ascii="方正小标宋简体" w:hAnsi="宋体" w:eastAsia="方正小标宋简体"/>
          <w:bCs/>
          <w:sz w:val="52"/>
          <w:szCs w:val="36"/>
          <w:highlight w:val="none"/>
        </w:rPr>
        <w:t>设备采购合同</w:t>
      </w:r>
      <w:r>
        <w:rPr>
          <w:rFonts w:hint="eastAsia" w:ascii="方正小标宋简体" w:hAnsi="宋体" w:eastAsia="方正小标宋简体"/>
          <w:bCs/>
          <w:sz w:val="52"/>
          <w:szCs w:val="36"/>
          <w:highlight w:val="none"/>
          <w:lang w:eastAsia="zh-CN"/>
        </w:rPr>
        <w:t>（</w:t>
      </w:r>
      <w:r>
        <w:rPr>
          <w:rFonts w:hint="eastAsia" w:ascii="方正小标宋简体" w:hAnsi="宋体" w:eastAsia="方正小标宋简体"/>
          <w:bCs/>
          <w:sz w:val="52"/>
          <w:szCs w:val="36"/>
          <w:highlight w:val="none"/>
          <w:lang w:val="en-US" w:eastAsia="zh-CN"/>
        </w:rPr>
        <w:t>模板</w:t>
      </w:r>
      <w:r>
        <w:rPr>
          <w:rFonts w:hint="eastAsia" w:ascii="方正小标宋简体" w:hAnsi="宋体" w:eastAsia="方正小标宋简体"/>
          <w:bCs/>
          <w:sz w:val="52"/>
          <w:szCs w:val="36"/>
          <w:highlight w:val="none"/>
          <w:lang w:eastAsia="zh-CN"/>
        </w:rPr>
        <w:t>）</w:t>
      </w:r>
    </w:p>
    <w:p w14:paraId="2356C25F">
      <w:pPr>
        <w:pStyle w:val="17"/>
        <w:jc w:val="center"/>
        <w:rPr>
          <w:highlight w:val="none"/>
        </w:rPr>
      </w:pPr>
      <w:r>
        <w:rPr>
          <w:rFonts w:hint="eastAsia" w:hAnsi="宋体" w:eastAsia="宋体" w:cs="宋体"/>
          <w:b/>
          <w:sz w:val="24"/>
          <w:szCs w:val="24"/>
          <w:highlight w:val="none"/>
          <w:lang w:val="en-US" w:eastAsia="zh-CN"/>
        </w:rPr>
        <w:t>（</w:t>
      </w:r>
      <w:r>
        <w:rPr>
          <w:rFonts w:hint="eastAsia" w:ascii="宋体" w:hAnsi="宋体" w:eastAsia="宋体" w:cs="宋体"/>
          <w:b/>
          <w:sz w:val="24"/>
          <w:szCs w:val="24"/>
          <w:highlight w:val="none"/>
          <w:lang w:val="en-US" w:eastAsia="zh-CN"/>
        </w:rPr>
        <w:t>合同以双方最终签署的版本为准</w:t>
      </w:r>
      <w:r>
        <w:rPr>
          <w:rFonts w:hint="eastAsia" w:hAnsi="宋体" w:eastAsia="宋体" w:cs="宋体"/>
          <w:b/>
          <w:sz w:val="24"/>
          <w:szCs w:val="24"/>
          <w:highlight w:val="none"/>
          <w:lang w:val="en-US" w:eastAsia="zh-CN"/>
        </w:rPr>
        <w:t>）</w:t>
      </w:r>
    </w:p>
    <w:p w14:paraId="1695B970">
      <w:pPr>
        <w:adjustRightInd w:val="0"/>
        <w:snapToGrid w:val="0"/>
        <w:spacing w:line="360" w:lineRule="auto"/>
        <w:jc w:val="left"/>
        <w:rPr>
          <w:rFonts w:ascii="宋体" w:hAnsi="宋体"/>
          <w:b/>
          <w:sz w:val="36"/>
          <w:szCs w:val="36"/>
          <w:highlight w:val="none"/>
        </w:rPr>
      </w:pPr>
    </w:p>
    <w:p w14:paraId="7353A4B0">
      <w:pPr>
        <w:adjustRightInd w:val="0"/>
        <w:snapToGrid w:val="0"/>
        <w:spacing w:line="360" w:lineRule="auto"/>
        <w:jc w:val="left"/>
        <w:rPr>
          <w:rFonts w:ascii="宋体" w:hAnsi="宋体"/>
          <w:b/>
          <w:sz w:val="36"/>
          <w:szCs w:val="36"/>
          <w:highlight w:val="none"/>
        </w:rPr>
      </w:pPr>
    </w:p>
    <w:p w14:paraId="1482DA9F">
      <w:pPr>
        <w:adjustRightInd w:val="0"/>
        <w:snapToGrid w:val="0"/>
        <w:spacing w:line="360" w:lineRule="auto"/>
        <w:jc w:val="left"/>
        <w:rPr>
          <w:rFonts w:ascii="宋体" w:hAnsi="宋体"/>
          <w:b/>
          <w:sz w:val="36"/>
          <w:szCs w:val="36"/>
          <w:highlight w:val="none"/>
        </w:rPr>
      </w:pPr>
    </w:p>
    <w:p w14:paraId="02B2CB44">
      <w:pPr>
        <w:adjustRightInd w:val="0"/>
        <w:snapToGrid w:val="0"/>
        <w:spacing w:line="360" w:lineRule="auto"/>
        <w:jc w:val="left"/>
        <w:rPr>
          <w:rFonts w:ascii="宋体" w:hAnsi="宋体"/>
          <w:b/>
          <w:sz w:val="36"/>
          <w:szCs w:val="36"/>
          <w:highlight w:val="none"/>
        </w:rPr>
      </w:pPr>
    </w:p>
    <w:p w14:paraId="478D2939">
      <w:pPr>
        <w:adjustRightInd w:val="0"/>
        <w:snapToGrid w:val="0"/>
        <w:spacing w:line="360" w:lineRule="auto"/>
        <w:jc w:val="left"/>
        <w:rPr>
          <w:rFonts w:ascii="宋体" w:hAnsi="宋体"/>
          <w:b/>
          <w:sz w:val="36"/>
          <w:szCs w:val="36"/>
          <w:highlight w:val="none"/>
        </w:rPr>
      </w:pPr>
    </w:p>
    <w:p w14:paraId="77713E88">
      <w:pPr>
        <w:adjustRightInd w:val="0"/>
        <w:snapToGrid w:val="0"/>
        <w:spacing w:line="360" w:lineRule="auto"/>
        <w:jc w:val="left"/>
        <w:rPr>
          <w:rFonts w:ascii="宋体" w:hAnsi="宋体"/>
          <w:b/>
          <w:sz w:val="36"/>
          <w:szCs w:val="36"/>
          <w:highlight w:val="none"/>
        </w:rPr>
      </w:pPr>
    </w:p>
    <w:p w14:paraId="08D9FE9C">
      <w:pPr>
        <w:adjustRightInd w:val="0"/>
        <w:snapToGrid w:val="0"/>
        <w:spacing w:line="360" w:lineRule="auto"/>
        <w:ind w:firstLine="2107" w:firstLineChars="878"/>
        <w:jc w:val="left"/>
        <w:rPr>
          <w:rFonts w:ascii="方正小标宋简体" w:hAnsi="宋体" w:eastAsia="方正小标宋简体" w:cs="Times New Roman"/>
          <w:sz w:val="24"/>
          <w:szCs w:val="24"/>
          <w:highlight w:val="none"/>
          <w:u w:val="thick"/>
        </w:rPr>
      </w:pPr>
      <w:r>
        <w:rPr>
          <w:rFonts w:hint="eastAsia" w:ascii="方正小标宋简体" w:hAnsi="宋体" w:eastAsia="方正小标宋简体" w:cs="Times New Roman"/>
          <w:sz w:val="24"/>
          <w:szCs w:val="24"/>
          <w:highlight w:val="none"/>
        </w:rPr>
        <w:t>甲  方：</w:t>
      </w:r>
      <w:r>
        <w:rPr>
          <w:rFonts w:hint="eastAsia" w:ascii="方正小标宋简体" w:hAnsi="宋体" w:eastAsia="方正小标宋简体" w:cs="Times New Roman"/>
          <w:sz w:val="24"/>
          <w:szCs w:val="24"/>
          <w:highlight w:val="none"/>
          <w:u w:val="thick"/>
        </w:rPr>
        <w:t xml:space="preserve">                           </w:t>
      </w:r>
    </w:p>
    <w:p w14:paraId="1EDDA6C2">
      <w:pPr>
        <w:adjustRightInd w:val="0"/>
        <w:snapToGrid w:val="0"/>
        <w:spacing w:line="360" w:lineRule="auto"/>
        <w:ind w:firstLine="1627" w:firstLineChars="678"/>
        <w:jc w:val="left"/>
        <w:rPr>
          <w:rFonts w:ascii="方正小标宋简体" w:hAnsi="宋体" w:eastAsia="方正小标宋简体"/>
          <w:sz w:val="24"/>
          <w:szCs w:val="24"/>
          <w:highlight w:val="none"/>
        </w:rPr>
      </w:pPr>
      <w:r>
        <w:rPr>
          <w:rFonts w:hint="eastAsia" w:ascii="方正小标宋简体" w:hAnsi="宋体" w:eastAsia="方正小标宋简体"/>
          <w:sz w:val="24"/>
          <w:szCs w:val="24"/>
          <w:highlight w:val="none"/>
        </w:rPr>
        <w:t xml:space="preserve"> </w:t>
      </w:r>
    </w:p>
    <w:p w14:paraId="4E2F6CA8">
      <w:pPr>
        <w:adjustRightInd w:val="0"/>
        <w:snapToGrid w:val="0"/>
        <w:spacing w:line="360" w:lineRule="auto"/>
        <w:ind w:firstLine="2107" w:firstLineChars="878"/>
        <w:jc w:val="left"/>
        <w:rPr>
          <w:rFonts w:ascii="方正小标宋简体" w:hAnsi="宋体" w:eastAsia="方正小标宋简体"/>
          <w:sz w:val="24"/>
          <w:szCs w:val="24"/>
          <w:highlight w:val="none"/>
        </w:rPr>
      </w:pPr>
      <w:r>
        <w:rPr>
          <w:rFonts w:hint="eastAsia" w:ascii="方正小标宋简体" w:hAnsi="宋体" w:eastAsia="方正小标宋简体"/>
          <w:sz w:val="24"/>
          <w:szCs w:val="24"/>
          <w:highlight w:val="none"/>
        </w:rPr>
        <w:t>乙  方：</w:t>
      </w:r>
      <w:r>
        <w:rPr>
          <w:rFonts w:hint="eastAsia" w:ascii="方正小标宋简体" w:hAnsi="宋体" w:eastAsia="方正小标宋简体"/>
          <w:sz w:val="24"/>
          <w:szCs w:val="24"/>
          <w:highlight w:val="none"/>
          <w:u w:val="thick"/>
        </w:rPr>
        <w:t xml:space="preserve">                           </w:t>
      </w:r>
    </w:p>
    <w:p w14:paraId="2AF7568A">
      <w:pPr>
        <w:spacing w:line="360" w:lineRule="auto"/>
        <w:ind w:right="480"/>
        <w:rPr>
          <w:rFonts w:ascii="宋体" w:hAnsi="宋体" w:cs="宋体"/>
          <w:bCs/>
          <w:sz w:val="24"/>
          <w:highlight w:val="none"/>
          <w:u w:val="single"/>
        </w:rPr>
      </w:pPr>
      <w:r>
        <w:rPr>
          <w:rFonts w:hint="eastAsia" w:ascii="宋体" w:hAnsi="宋体" w:cs="宋体"/>
          <w:bCs/>
          <w:sz w:val="24"/>
          <w:highlight w:val="none"/>
        </w:rPr>
        <w:t xml:space="preserve">                                       </w:t>
      </w:r>
    </w:p>
    <w:p w14:paraId="2C29B45D">
      <w:pPr>
        <w:spacing w:line="360" w:lineRule="auto"/>
        <w:rPr>
          <w:rFonts w:ascii="宋体" w:hAnsi="宋体" w:cs="宋体"/>
          <w:bCs/>
          <w:sz w:val="22"/>
          <w:highlight w:val="none"/>
        </w:rPr>
        <w:sectPr>
          <w:headerReference r:id="rId14" w:type="default"/>
          <w:footerReference r:id="rId15" w:type="default"/>
          <w:pgSz w:w="11907" w:h="16840"/>
          <w:pgMar w:top="1304" w:right="1418" w:bottom="1304" w:left="1418" w:header="724" w:footer="851" w:gutter="0"/>
          <w:cols w:space="720" w:num="1"/>
          <w:docGrid w:linePitch="290" w:charSpace="-3931"/>
        </w:sectPr>
      </w:pPr>
    </w:p>
    <w:p w14:paraId="3AC60846">
      <w:pPr>
        <w:spacing w:line="360" w:lineRule="auto"/>
        <w:rPr>
          <w:rFonts w:ascii="仿宋_GB2312" w:hAnsi="宋体" w:eastAsia="仿宋_GB2312" w:cs="宋体"/>
          <w:bCs/>
          <w:sz w:val="24"/>
          <w:szCs w:val="24"/>
          <w:highlight w:val="none"/>
        </w:rPr>
      </w:pPr>
      <w:r>
        <w:rPr>
          <w:rFonts w:hint="eastAsia" w:ascii="宋体" w:hAnsi="宋体" w:cs="宋体"/>
          <w:bCs/>
          <w:sz w:val="22"/>
          <w:highlight w:val="none"/>
        </w:rPr>
        <w:t xml:space="preserve"> </w:t>
      </w:r>
      <w:bookmarkStart w:id="97" w:name="_Toc29691"/>
      <w:r>
        <w:rPr>
          <w:rFonts w:hint="eastAsia" w:ascii="宋体" w:hAnsi="宋体" w:cs="宋体"/>
          <w:bCs/>
          <w:sz w:val="22"/>
          <w:szCs w:val="22"/>
          <w:highlight w:val="none"/>
        </w:rPr>
        <w:t xml:space="preserve"> </w:t>
      </w:r>
      <w:r>
        <w:rPr>
          <w:rFonts w:hint="eastAsia" w:ascii="仿宋_GB2312" w:hAnsi="宋体" w:eastAsia="仿宋_GB2312" w:cs="宋体"/>
          <w:bCs/>
          <w:sz w:val="24"/>
          <w:szCs w:val="24"/>
          <w:highlight w:val="none"/>
        </w:rPr>
        <w:t>甲方（买方）：</w:t>
      </w:r>
      <w:r>
        <w:rPr>
          <w:rFonts w:hint="eastAsia" w:ascii="仿宋_GB2312" w:hAnsi="宋体" w:eastAsia="仿宋_GB2312" w:cs="宋体"/>
          <w:b/>
          <w:bCs/>
          <w:sz w:val="24"/>
          <w:szCs w:val="24"/>
          <w:highlight w:val="none"/>
          <w:u w:val="single"/>
        </w:rPr>
        <w:t xml:space="preserve">            </w:t>
      </w:r>
      <w:r>
        <w:rPr>
          <w:rFonts w:hint="eastAsia" w:ascii="仿宋_GB2312" w:hAnsi="宋体" w:eastAsia="仿宋_GB2312" w:cs="宋体"/>
          <w:bCs/>
          <w:sz w:val="24"/>
          <w:szCs w:val="24"/>
          <w:highlight w:val="none"/>
        </w:rPr>
        <w:t xml:space="preserve">      </w:t>
      </w:r>
    </w:p>
    <w:p w14:paraId="63E4F2C9">
      <w:pPr>
        <w:spacing w:line="360" w:lineRule="auto"/>
        <w:rPr>
          <w:rFonts w:ascii="仿宋_GB2312" w:hAnsi="宋体" w:eastAsia="仿宋_GB2312" w:cs="宋体"/>
          <w:bCs/>
          <w:sz w:val="24"/>
          <w:szCs w:val="24"/>
          <w:highlight w:val="none"/>
        </w:rPr>
      </w:pPr>
      <w:r>
        <w:rPr>
          <w:rFonts w:hint="eastAsia" w:ascii="仿宋_GB2312" w:hAnsi="宋体" w:eastAsia="仿宋_GB2312" w:cs="宋体"/>
          <w:bCs/>
          <w:sz w:val="24"/>
          <w:szCs w:val="24"/>
          <w:highlight w:val="none"/>
        </w:rPr>
        <w:t xml:space="preserve">    </w:t>
      </w:r>
    </w:p>
    <w:p w14:paraId="7B0CF1AF">
      <w:pPr>
        <w:spacing w:line="360" w:lineRule="auto"/>
        <w:ind w:right="-189" w:rightChars="-90" w:firstLine="120" w:firstLineChars="50"/>
        <w:jc w:val="left"/>
        <w:rPr>
          <w:rFonts w:ascii="仿宋_GB2312" w:hAnsi="宋体" w:eastAsia="仿宋_GB2312" w:cs="宋体"/>
          <w:b/>
          <w:bCs/>
          <w:sz w:val="24"/>
          <w:szCs w:val="24"/>
          <w:highlight w:val="none"/>
          <w:u w:val="single"/>
        </w:rPr>
      </w:pPr>
      <w:r>
        <w:rPr>
          <w:rFonts w:hint="eastAsia" w:ascii="仿宋_GB2312" w:hAnsi="宋体" w:eastAsia="仿宋_GB2312" w:cs="宋体"/>
          <w:bCs/>
          <w:sz w:val="24"/>
          <w:szCs w:val="24"/>
          <w:highlight w:val="none"/>
        </w:rPr>
        <w:t>乙方（卖方）：</w:t>
      </w:r>
      <w:r>
        <w:rPr>
          <w:rFonts w:hint="eastAsia" w:ascii="仿宋_GB2312" w:hAnsi="宋体" w:eastAsia="仿宋_GB2312" w:cs="宋体"/>
          <w:b/>
          <w:bCs/>
          <w:sz w:val="24"/>
          <w:szCs w:val="24"/>
          <w:highlight w:val="none"/>
          <w:u w:val="single"/>
        </w:rPr>
        <w:t xml:space="preserve">            </w:t>
      </w:r>
    </w:p>
    <w:p w14:paraId="776EC063">
      <w:pPr>
        <w:spacing w:line="360" w:lineRule="auto"/>
        <w:ind w:right="-189" w:rightChars="-90"/>
        <w:jc w:val="left"/>
        <w:rPr>
          <w:rFonts w:ascii="仿宋_GB2312" w:hAnsi="宋体" w:eastAsia="仿宋_GB2312" w:cs="宋体"/>
          <w:b/>
          <w:bCs/>
          <w:sz w:val="24"/>
          <w:szCs w:val="24"/>
          <w:highlight w:val="none"/>
          <w:u w:val="single"/>
        </w:rPr>
      </w:pPr>
    </w:p>
    <w:p w14:paraId="4EBDC859">
      <w:pPr>
        <w:spacing w:line="360" w:lineRule="auto"/>
        <w:ind w:firstLine="480" w:firstLineChars="200"/>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本设备采购合同由甲乙双方于山东省济南市（</w:t>
      </w:r>
      <w:r>
        <w:rPr>
          <w:rFonts w:hint="eastAsia" w:ascii="仿宋_GB2312" w:hAnsi="等线" w:eastAsia="仿宋_GB2312" w:cs="等线"/>
          <w:i/>
          <w:iCs/>
          <w:sz w:val="24"/>
          <w:highlight w:val="none"/>
          <w:u w:val="single"/>
        </w:rPr>
        <w:t>可根据实际情况调整为甲方/买方所在地</w:t>
      </w:r>
      <w:r>
        <w:rPr>
          <w:rFonts w:hint="eastAsia" w:ascii="仿宋_GB2312" w:eastAsia="仿宋_GB2312" w:hAnsiTheme="minorEastAsia" w:cstheme="minorEastAsia"/>
          <w:sz w:val="24"/>
          <w:szCs w:val="24"/>
          <w:highlight w:val="none"/>
        </w:rPr>
        <w:t>）签订：</w:t>
      </w:r>
    </w:p>
    <w:p w14:paraId="1EB66A60">
      <w:pPr>
        <w:spacing w:line="360" w:lineRule="auto"/>
        <w:ind w:right="-189" w:rightChars="-90" w:firstLine="480" w:firstLineChars="200"/>
        <w:jc w:val="left"/>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鉴于，买方向卖方购买</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项目</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设备</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台（套），就该设备的设计、制造、运输、定点卸货、安装（或指导安装）、调试、验收、培训及售后服务等有关问题，以上所列内容经买卖双方协商自愿达成本合同：</w:t>
      </w:r>
    </w:p>
    <w:p w14:paraId="7F965698">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98" w:name="_Toc16330018"/>
      <w:bookmarkStart w:id="99" w:name="_Toc17619"/>
      <w:bookmarkStart w:id="100" w:name="_Toc11823"/>
      <w:bookmarkStart w:id="101" w:name="_Toc11930"/>
      <w:r>
        <w:rPr>
          <w:rFonts w:hint="eastAsia" w:ascii="黑体" w:hAnsi="黑体" w:eastAsia="黑体" w:cstheme="minorEastAsia"/>
          <w:b w:val="0"/>
          <w:sz w:val="28"/>
          <w:szCs w:val="28"/>
          <w:highlight w:val="none"/>
        </w:rPr>
        <w:t>1 合同设备</w:t>
      </w:r>
      <w:bookmarkEnd w:id="98"/>
      <w:bookmarkEnd w:id="99"/>
      <w:bookmarkEnd w:id="100"/>
      <w:bookmarkEnd w:id="101"/>
    </w:p>
    <w:p w14:paraId="792AC977">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1.1买方向卖方购买的设备信息见附件一：《设备清单明细表》</w:t>
      </w:r>
    </w:p>
    <w:p w14:paraId="1DAA7C18">
      <w:pPr>
        <w:spacing w:line="360" w:lineRule="auto"/>
        <w:ind w:firstLine="453" w:firstLineChars="189"/>
        <w:rPr>
          <w:rFonts w:ascii="仿宋_GB2312" w:eastAsia="仿宋_GB2312" w:hAnsiTheme="minorEastAsia" w:cstheme="minorEastAsia"/>
          <w:sz w:val="24"/>
          <w:szCs w:val="24"/>
          <w:highlight w:val="none"/>
        </w:rPr>
      </w:pPr>
      <w:bookmarkStart w:id="102" w:name="_Toc29026"/>
      <w:bookmarkStart w:id="103" w:name="_Toc32510"/>
      <w:bookmarkStart w:id="104" w:name="_Toc22800"/>
      <w:r>
        <w:rPr>
          <w:rFonts w:hint="eastAsia" w:ascii="仿宋_GB2312" w:eastAsia="仿宋_GB2312" w:hAnsiTheme="minorEastAsia" w:cstheme="minorEastAsia"/>
          <w:sz w:val="24"/>
          <w:szCs w:val="24"/>
          <w:highlight w:val="none"/>
        </w:rPr>
        <w:t>1.2技术规格和标准</w:t>
      </w:r>
    </w:p>
    <w:p w14:paraId="1466F324">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1.2.1本合同约定设备的技术规格详见附件二《技术协议书》。</w:t>
      </w:r>
    </w:p>
    <w:p w14:paraId="7A3C1F66">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41F6DAE1">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1.3在设备所有权转移到买方之前，有关设备的保险由卖方负责办理并承担保险费用。</w:t>
      </w:r>
    </w:p>
    <w:p w14:paraId="4327ECC4">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05" w:name="_Toc16330019"/>
      <w:r>
        <w:rPr>
          <w:rFonts w:hint="eastAsia" w:ascii="黑体" w:hAnsi="黑体" w:eastAsia="黑体" w:cstheme="minorEastAsia"/>
          <w:b w:val="0"/>
          <w:sz w:val="28"/>
          <w:szCs w:val="28"/>
          <w:highlight w:val="none"/>
        </w:rPr>
        <w:t>2 包装</w:t>
      </w:r>
      <w:bookmarkEnd w:id="102"/>
      <w:bookmarkEnd w:id="103"/>
      <w:bookmarkEnd w:id="104"/>
      <w:bookmarkEnd w:id="105"/>
    </w:p>
    <w:p w14:paraId="4FB8FA91">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749E9FB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2.2每件包装应附有详细的装箱单和质量证书各两套，一套在包装箱里，一套在包装箱外。</w:t>
      </w:r>
    </w:p>
    <w:p w14:paraId="694A2FDF">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06" w:name="_Toc16330020"/>
      <w:bookmarkStart w:id="107" w:name="_Toc2833"/>
      <w:bookmarkStart w:id="108" w:name="_Toc27453"/>
      <w:bookmarkStart w:id="109" w:name="_Toc27144"/>
      <w:r>
        <w:rPr>
          <w:rFonts w:hint="eastAsia" w:ascii="黑体" w:hAnsi="黑体" w:eastAsia="黑体" w:cstheme="minorEastAsia"/>
          <w:b w:val="0"/>
          <w:sz w:val="28"/>
          <w:szCs w:val="28"/>
          <w:highlight w:val="none"/>
        </w:rPr>
        <w:t>3 运输标记</w:t>
      </w:r>
      <w:bookmarkEnd w:id="106"/>
      <w:bookmarkEnd w:id="107"/>
      <w:bookmarkEnd w:id="108"/>
      <w:bookmarkEnd w:id="109"/>
    </w:p>
    <w:p w14:paraId="31A1F7C7">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3.1卖方应在每一包装箱邻近的四个侧面用不易褪色的油漆以醒目的中文印刷字体标明以下各项：</w:t>
      </w:r>
    </w:p>
    <w:p w14:paraId="1EB9EB0C">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3.1.1收货人</w:t>
      </w:r>
    </w:p>
    <w:p w14:paraId="2C33C28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3.1.2合同号</w:t>
      </w:r>
    </w:p>
    <w:p w14:paraId="4AA0296C">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3.1.3发货标记（唛头）</w:t>
      </w:r>
    </w:p>
    <w:p w14:paraId="68E6A4B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3.1.4设备的名称、品目号、箱号</w:t>
      </w:r>
    </w:p>
    <w:p w14:paraId="23C1DDF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3.1.5毛重/净重（公斤）</w:t>
      </w:r>
    </w:p>
    <w:p w14:paraId="7A3EF363">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3.1.6尺寸（长×宽×高，以厘米计）</w:t>
      </w:r>
    </w:p>
    <w:p w14:paraId="0F074AB7">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77DA059">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10" w:name="_Toc16133"/>
      <w:bookmarkStart w:id="111" w:name="_Toc7431"/>
      <w:bookmarkStart w:id="112" w:name="_Toc16330021"/>
      <w:bookmarkStart w:id="113" w:name="_Toc10630"/>
      <w:r>
        <w:rPr>
          <w:rFonts w:hint="eastAsia" w:ascii="黑体" w:hAnsi="黑体" w:eastAsia="黑体" w:cstheme="minorEastAsia"/>
          <w:b w:val="0"/>
          <w:sz w:val="28"/>
          <w:szCs w:val="28"/>
          <w:highlight w:val="none"/>
        </w:rPr>
        <w:t>4 检验</w:t>
      </w:r>
      <w:bookmarkEnd w:id="110"/>
      <w:bookmarkEnd w:id="111"/>
      <w:bookmarkEnd w:id="112"/>
      <w:bookmarkEnd w:id="113"/>
    </w:p>
    <w:p w14:paraId="79C46A2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70EE609">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4.2国家强制检验检测的设备，需要经过国家有关部门进行检验检测，卖方保证提供的设备通过其检验并承担费用。</w:t>
      </w:r>
    </w:p>
    <w:p w14:paraId="674BB962">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14" w:name="_Toc19850"/>
      <w:bookmarkStart w:id="115" w:name="_Toc11217"/>
      <w:bookmarkStart w:id="116" w:name="_Toc24467"/>
      <w:bookmarkStart w:id="117" w:name="_Toc16330022"/>
      <w:r>
        <w:rPr>
          <w:rFonts w:hint="eastAsia" w:ascii="黑体" w:hAnsi="黑体" w:eastAsia="黑体" w:cstheme="minorEastAsia"/>
          <w:b w:val="0"/>
          <w:sz w:val="28"/>
          <w:szCs w:val="28"/>
          <w:highlight w:val="none"/>
        </w:rPr>
        <w:t>5 权利担保</w:t>
      </w:r>
      <w:bookmarkEnd w:id="114"/>
      <w:bookmarkEnd w:id="115"/>
      <w:bookmarkEnd w:id="116"/>
      <w:bookmarkEnd w:id="117"/>
    </w:p>
    <w:p w14:paraId="5072E66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5.1卖方所交付的设备，必须是第三方不能提出任何权利或要求的设备，卖方应担保设备不存在订立本合同时不为买方所知的第三方的权利（包括但不限于抵押权、留置权等）或行政、司法查封。</w:t>
      </w:r>
    </w:p>
    <w:p w14:paraId="00CC36A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5.2卖方应保证第三方对其提交的设备不得以侵权或其他类似理由提出合法要求，如侵犯知识产权等。</w:t>
      </w:r>
    </w:p>
    <w:p w14:paraId="6B2DCC17">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5.3任何第三方如果提出侵权指控，卖方应与第三方交涉，并承担由此引起的一切法律责任和费用以及给买方所造成的损失。</w:t>
      </w:r>
    </w:p>
    <w:p w14:paraId="685B9AC1">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5.4买方应在已知道第三方的权利或要求后的一段合理时间内，将此权利或要求的性质通知卖方。</w:t>
      </w:r>
    </w:p>
    <w:p w14:paraId="0718B4F9">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3381363">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18" w:name="_Toc27500"/>
      <w:bookmarkStart w:id="119" w:name="_Toc14809"/>
      <w:bookmarkStart w:id="120" w:name="_Toc16330023"/>
      <w:bookmarkStart w:id="121" w:name="_Toc11759"/>
      <w:r>
        <w:rPr>
          <w:rFonts w:hint="eastAsia" w:ascii="黑体" w:hAnsi="黑体" w:eastAsia="黑体" w:cstheme="minorEastAsia"/>
          <w:b w:val="0"/>
          <w:sz w:val="28"/>
          <w:szCs w:val="28"/>
          <w:highlight w:val="none"/>
        </w:rPr>
        <w:t>6 交货</w:t>
      </w:r>
      <w:bookmarkEnd w:id="118"/>
      <w:bookmarkEnd w:id="119"/>
      <w:bookmarkEnd w:id="120"/>
      <w:bookmarkEnd w:id="121"/>
    </w:p>
    <w:p w14:paraId="43BCDE2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5ABF0C9C">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6.2卖方应在设备装运完成后当天以传真、邮件等的形式通知买方合同号、设备名称、数量、毛重、体积（立方米）、发票金额、启运日期、预计到达日期。</w:t>
      </w:r>
    </w:p>
    <w:p w14:paraId="1B9BA9D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17D33B8">
      <w:pPr>
        <w:spacing w:line="360" w:lineRule="auto"/>
        <w:ind w:firstLine="453" w:firstLineChars="189"/>
        <w:rPr>
          <w:rFonts w:ascii="仿宋_GB2312" w:eastAsia="仿宋_GB2312" w:hAnsiTheme="minorEastAsia" w:cstheme="minorEastAsia"/>
          <w:i/>
          <w:iCs/>
          <w:sz w:val="24"/>
          <w:szCs w:val="24"/>
          <w:highlight w:val="none"/>
          <w:u w:val="double"/>
        </w:rPr>
      </w:pPr>
      <w:r>
        <w:rPr>
          <w:rFonts w:hint="eastAsia" w:ascii="仿宋_GB2312" w:eastAsia="仿宋_GB2312" w:hAnsiTheme="minorEastAsia" w:cstheme="minorEastAsia"/>
          <w:sz w:val="24"/>
          <w:szCs w:val="24"/>
          <w:highlight w:val="none"/>
        </w:rPr>
        <w:t>6.4交货方式</w:t>
      </w:r>
      <w:r>
        <w:rPr>
          <w:rFonts w:hint="eastAsia" w:ascii="仿宋_GB2312" w:eastAsia="仿宋_GB2312" w:hAnsiTheme="minorEastAsia" w:cstheme="minorEastAsia"/>
          <w:bCs/>
          <w:sz w:val="24"/>
          <w:szCs w:val="24"/>
          <w:highlight w:val="none"/>
        </w:rPr>
        <w:t>：</w:t>
      </w:r>
      <w:r>
        <w:rPr>
          <w:rFonts w:hint="eastAsia" w:ascii="仿宋_GB2312" w:eastAsia="仿宋_GB2312" w:hAnsiTheme="minorEastAsia" w:cstheme="minorEastAsia"/>
          <w:bCs/>
          <w:sz w:val="24"/>
          <w:szCs w:val="24"/>
          <w:highlight w:val="none"/>
          <w:u w:val="single"/>
        </w:rPr>
        <w:t xml:space="preserve">        </w:t>
      </w:r>
      <w:r>
        <w:rPr>
          <w:rFonts w:hint="eastAsia" w:ascii="仿宋_GB2312" w:eastAsia="仿宋_GB2312" w:hAnsiTheme="minorEastAsia" w:cstheme="minorEastAsia"/>
          <w:iCs/>
          <w:sz w:val="24"/>
          <w:szCs w:val="24"/>
          <w:highlight w:val="none"/>
          <w:u w:val="single"/>
        </w:rPr>
        <w:t>（可选择6.4.1-6.4.3定义的方式或根据实际约定）</w:t>
      </w:r>
    </w:p>
    <w:p w14:paraId="3C772A2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6.4.1交钥匙方式：卖方负责合同设备的设计、制造、运输、定点卸货、安装、调试、培训及售后服务等所有内容，直至买方验收合格并交付使用。</w:t>
      </w:r>
    </w:p>
    <w:p w14:paraId="479DEEA1">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6.4.2指定地点交货：卖方依照合同约定将合同设备卸载至约定地点，经买方根据合同所约定的数量、型号及配置等内容逐一确认无误后，双方完成交付手续，同时卖方应指导协助买方进行安装调试等工作。</w:t>
      </w:r>
    </w:p>
    <w:p w14:paraId="26B16DE0">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6.4.3自提：买方依照合同约定到卖方所在地提取合同设备，经买方根据合同所约定的数量、型号及配置等内容逐一确认无误后，双方完成交付手续。</w:t>
      </w:r>
    </w:p>
    <w:p w14:paraId="1EB5201F">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6.5交货地点：</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 xml:space="preserve">      </w:t>
      </w:r>
    </w:p>
    <w:p w14:paraId="222F84E0">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6.6到货时间：</w:t>
      </w:r>
      <w:r>
        <w:rPr>
          <w:rFonts w:hint="eastAsia" w:ascii="仿宋_GB2312" w:eastAsia="仿宋_GB2312" w:hAnsiTheme="minorEastAsia" w:cstheme="minorEastAsia"/>
          <w:sz w:val="24"/>
          <w:szCs w:val="24"/>
          <w:highlight w:val="none"/>
          <w:u w:val="single"/>
        </w:rPr>
        <w:t>20  年  月   日前</w:t>
      </w:r>
      <w:r>
        <w:rPr>
          <w:rFonts w:hint="eastAsia" w:ascii="仿宋_GB2312" w:eastAsia="仿宋_GB2312" w:hAnsiTheme="minorEastAsia" w:cstheme="minorEastAsia"/>
          <w:sz w:val="24"/>
          <w:szCs w:val="24"/>
          <w:highlight w:val="none"/>
        </w:rPr>
        <w:t xml:space="preserve">         </w:t>
      </w:r>
    </w:p>
    <w:p w14:paraId="2ECEA5E2">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6.7到货后，买卖双方代表办理移交手续，此时的移交不代表卖方合同设备所有权的转移，合同设备的保管责任仍然由卖方承担。移交内容包括：合同设备、硬件、软件、图纸、资料、质量证明文件等。</w:t>
      </w:r>
    </w:p>
    <w:p w14:paraId="3E82ACD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6.8卖方在交付设备前需通知买方。</w:t>
      </w:r>
    </w:p>
    <w:p w14:paraId="4C531C36">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6.9风险的转移：</w:t>
      </w:r>
    </w:p>
    <w:p w14:paraId="0C953CF9">
      <w:pPr>
        <w:spacing w:line="360" w:lineRule="auto"/>
        <w:ind w:firstLine="453" w:firstLineChars="189"/>
        <w:rPr>
          <w:rFonts w:asciiTheme="minorEastAsia" w:hAnsiTheme="minorEastAsia" w:eastAsiaTheme="minorEastAsia" w:cstheme="minorEastAsia"/>
          <w:sz w:val="20"/>
          <w:szCs w:val="20"/>
          <w:highlight w:val="none"/>
        </w:rPr>
      </w:pPr>
      <w:r>
        <w:rPr>
          <w:rFonts w:hint="eastAsia" w:ascii="仿宋_GB2312" w:eastAsia="仿宋_GB2312" w:hAnsiTheme="minorEastAsia" w:cstheme="minorEastAsia"/>
          <w:sz w:val="24"/>
          <w:szCs w:val="24"/>
          <w:highlight w:val="none"/>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6384C6A6">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22" w:name="_Toc2984"/>
      <w:bookmarkStart w:id="123" w:name="_Toc16330024"/>
      <w:bookmarkStart w:id="124" w:name="_Toc25510"/>
      <w:bookmarkStart w:id="125" w:name="_Toc8024"/>
      <w:r>
        <w:rPr>
          <w:rFonts w:hint="eastAsia" w:ascii="黑体" w:hAnsi="黑体" w:eastAsia="黑体" w:cstheme="minorEastAsia"/>
          <w:b w:val="0"/>
          <w:sz w:val="28"/>
          <w:szCs w:val="28"/>
          <w:highlight w:val="none"/>
        </w:rPr>
        <w:t>7 安装、调试</w:t>
      </w:r>
      <w:bookmarkEnd w:id="122"/>
      <w:bookmarkEnd w:id="123"/>
      <w:bookmarkEnd w:id="124"/>
      <w:bookmarkEnd w:id="125"/>
    </w:p>
    <w:p w14:paraId="015E05D6">
      <w:pPr>
        <w:pStyle w:val="12"/>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7.1 卖方须在到货后</w:t>
      </w:r>
      <w:r>
        <w:rPr>
          <w:rFonts w:hint="eastAsia"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日内安装调试完成。</w:t>
      </w:r>
    </w:p>
    <w:p w14:paraId="2895C66F">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7.2卖方应自带用以安装、调试过程中所需的各种工具、仪器、仪表及易损件。在安装、调试过程中，卖方应自负其工作人员的食宿、交通等费用。</w:t>
      </w:r>
    </w:p>
    <w:p w14:paraId="4D023075">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7.3在安装、调试过程中，安装场地及施工人员安全，由卖方负责。由于安装、调试等原因造成买方或他人人身损害或财产损失的，由卖方承担赔偿责任。</w:t>
      </w:r>
    </w:p>
    <w:p w14:paraId="24D2897F">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7.4</w:t>
      </w:r>
      <w:r>
        <w:rPr>
          <w:rFonts w:hint="eastAsia" w:ascii="仿宋_GB2312" w:hAnsi="黑体" w:eastAsia="仿宋_GB2312" w:cstheme="minorEastAsia"/>
          <w:bCs/>
          <w:sz w:val="24"/>
          <w:szCs w:val="24"/>
          <w:highlight w:val="none"/>
        </w:rPr>
        <w:t xml:space="preserve"> </w:t>
      </w:r>
      <w:r>
        <w:rPr>
          <w:rFonts w:hint="eastAsia" w:ascii="仿宋_GB2312" w:hAnsi="黑体" w:eastAsia="仿宋_GB2312" w:cstheme="minorEastAsia"/>
          <w:sz w:val="24"/>
          <w:szCs w:val="24"/>
          <w:highlight w:val="none"/>
        </w:rPr>
        <w:t>卖方须对安装、调试过程中造成的买方或他人人身损害或财产损失承担赔偿责任。</w:t>
      </w:r>
    </w:p>
    <w:p w14:paraId="74FA1F75">
      <w:pPr>
        <w:spacing w:line="360" w:lineRule="auto"/>
        <w:ind w:firstLine="453" w:firstLineChars="189"/>
        <w:rPr>
          <w:rFonts w:ascii="仿宋_GB2312" w:hAnsi="黑体" w:eastAsia="仿宋_GB2312" w:cstheme="minorEastAsia"/>
          <w:sz w:val="24"/>
          <w:szCs w:val="24"/>
          <w:highlight w:val="none"/>
        </w:rPr>
      </w:pPr>
      <w:r>
        <w:rPr>
          <w:rFonts w:ascii="仿宋_GB2312" w:hAnsi="黑体" w:eastAsia="仿宋_GB2312" w:cstheme="minorEastAsia"/>
          <w:sz w:val="24"/>
          <w:szCs w:val="24"/>
          <w:highlight w:val="none"/>
        </w:rPr>
        <w:t>7.5 若设备安装、调试过程中需使用买方产品的，买方提供调试所用产品数量【】件，超出此数量部分由卖方提供，由此产生的相关费用由卖方承担。</w:t>
      </w:r>
    </w:p>
    <w:p w14:paraId="3BE17DE5">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26" w:name="_Toc16330025"/>
      <w:bookmarkStart w:id="127" w:name="_Toc6350"/>
      <w:bookmarkStart w:id="128" w:name="_Toc14098"/>
      <w:bookmarkStart w:id="129" w:name="_Toc14260"/>
      <w:r>
        <w:rPr>
          <w:rFonts w:hint="eastAsia" w:ascii="黑体" w:hAnsi="黑体" w:eastAsia="黑体" w:cstheme="minorEastAsia"/>
          <w:b w:val="0"/>
          <w:sz w:val="28"/>
          <w:szCs w:val="28"/>
          <w:highlight w:val="none"/>
        </w:rPr>
        <w:t>8 价款与支付</w:t>
      </w:r>
      <w:bookmarkEnd w:id="126"/>
      <w:bookmarkEnd w:id="127"/>
      <w:bookmarkEnd w:id="128"/>
      <w:bookmarkEnd w:id="129"/>
    </w:p>
    <w:p w14:paraId="7426A87E">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8.1本合同不含税总价为人民币</w:t>
      </w:r>
      <w:r>
        <w:rPr>
          <w:rFonts w:hint="eastAsia" w:ascii="仿宋_GB2312" w:eastAsia="仿宋_GB2312" w:cs="Calibri"/>
          <w:sz w:val="24"/>
          <w:szCs w:val="24"/>
          <w:highlight w:val="none"/>
        </w:rPr>
        <w:t>¥</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元（大写：</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），增值税税率</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u w:val="single"/>
        </w:rPr>
        <w:t>【】</w:t>
      </w:r>
      <w:r>
        <w:rPr>
          <w:rFonts w:hint="eastAsia" w:ascii="仿宋_GB2312" w:hAnsi="黑体" w:eastAsia="仿宋_GB2312" w:cstheme="minorEastAsia"/>
          <w:sz w:val="24"/>
          <w:szCs w:val="24"/>
          <w:highlight w:val="none"/>
        </w:rPr>
        <w:t>%，税额</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元，含税总价</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元人民币（大写：</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），如国家出台新政策对增值税率进行了调整，则不含税价款不变，本合同含税总价在不含税价基础上根据国家最新税法进行相应的调整。</w:t>
      </w:r>
    </w:p>
    <w:p w14:paraId="72AE2003">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含税总价包括但不限于全部（全新）产品价、备品备件价、专用工具价、运杂费（包括现场卸车费）、设计、制造、安装（或指导安装）、调试、验收、培训、技术及售后服务费、技术资料费等所有费用的总和。</w:t>
      </w:r>
    </w:p>
    <w:p w14:paraId="6C31AB4D">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8.2合同价款的结算方式：半年期商业汇票（包括银行承兑汇票和商业承兑汇票）（如有其它方式可据实填写）</w:t>
      </w:r>
      <w:r>
        <w:rPr>
          <w:rFonts w:ascii="仿宋_GB2312" w:hAnsi="黑体" w:eastAsia="仿宋_GB2312" w:cstheme="minorEastAsia"/>
          <w:sz w:val="24"/>
          <w:szCs w:val="24"/>
          <w:highlight w:val="none"/>
        </w:rPr>
        <w:t xml:space="preserve">  </w:t>
      </w:r>
      <w:r>
        <w:rPr>
          <w:rFonts w:hint="eastAsia" w:ascii="仿宋_GB2312" w:hAnsi="黑体" w:eastAsia="仿宋_GB2312" w:cstheme="minorEastAsia"/>
          <w:sz w:val="24"/>
          <w:szCs w:val="24"/>
          <w:highlight w:val="none"/>
        </w:rPr>
        <w:t xml:space="preserve">         </w:t>
      </w:r>
    </w:p>
    <w:p w14:paraId="227703F7">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8.3合同价款的支付：（如有不同付款比例，则按照招标文件约定据实填写）</w:t>
      </w:r>
    </w:p>
    <w:p w14:paraId="57F8C9D5">
      <w:pPr>
        <w:spacing w:line="360" w:lineRule="auto"/>
        <w:ind w:firstLine="453" w:firstLineChars="189"/>
        <w:rPr>
          <w:rFonts w:ascii="仿宋_GB2312" w:hAnsi="黑体" w:eastAsia="仿宋_GB2312" w:cstheme="minorEastAsia"/>
          <w:i/>
          <w:sz w:val="24"/>
          <w:szCs w:val="24"/>
          <w:highlight w:val="none"/>
        </w:rPr>
      </w:pPr>
      <w:r>
        <w:rPr>
          <w:rFonts w:hint="eastAsia" w:ascii="仿宋_GB2312" w:hAnsi="黑体" w:eastAsia="仿宋_GB2312" w:cstheme="minorEastAsia"/>
          <w:sz w:val="24"/>
          <w:szCs w:val="24"/>
          <w:highlight w:val="none"/>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highlight w:val="none"/>
        </w:rPr>
        <w:t>【按照实际业务的</w:t>
      </w:r>
      <w:r>
        <w:rPr>
          <w:rFonts w:ascii="仿宋_GB2312" w:hAnsi="黑体" w:eastAsia="仿宋_GB2312" w:cstheme="minorEastAsia"/>
          <w:i/>
          <w:sz w:val="24"/>
          <w:szCs w:val="24"/>
          <w:highlight w:val="none"/>
        </w:rPr>
        <w:t>SAP</w:t>
      </w:r>
      <w:r>
        <w:rPr>
          <w:rFonts w:hint="eastAsia" w:ascii="仿宋_GB2312" w:hAnsi="黑体" w:eastAsia="仿宋_GB2312" w:cstheme="minorEastAsia"/>
          <w:i/>
          <w:sz w:val="24"/>
          <w:szCs w:val="24"/>
          <w:highlight w:val="none"/>
        </w:rPr>
        <w:t>付款条件填写】</w:t>
      </w:r>
    </w:p>
    <w:p w14:paraId="4E797D31">
      <w:pPr>
        <w:spacing w:line="360" w:lineRule="auto"/>
        <w:ind w:firstLine="453" w:firstLineChars="189"/>
        <w:rPr>
          <w:rFonts w:ascii="仿宋_GB2312" w:hAnsi="黑体" w:eastAsia="仿宋_GB2312" w:cstheme="minorEastAsia"/>
          <w:i/>
          <w:sz w:val="24"/>
          <w:szCs w:val="24"/>
          <w:highlight w:val="none"/>
        </w:rPr>
      </w:pPr>
      <w:r>
        <w:rPr>
          <w:rFonts w:hint="eastAsia" w:ascii="仿宋_GB2312" w:hAnsi="黑体" w:eastAsia="仿宋_GB2312" w:cstheme="minorEastAsia"/>
          <w:sz w:val="24"/>
          <w:szCs w:val="24"/>
          <w:highlight w:val="none"/>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highlight w:val="none"/>
          <w:u w:val="single"/>
        </w:rPr>
        <w:t xml:space="preserve"> </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highlight w:val="none"/>
        </w:rPr>
        <w:t>【按照实际业务的S</w:t>
      </w:r>
      <w:r>
        <w:rPr>
          <w:rFonts w:ascii="仿宋_GB2312" w:hAnsi="黑体" w:eastAsia="仿宋_GB2312" w:cstheme="minorEastAsia"/>
          <w:i/>
          <w:sz w:val="24"/>
          <w:szCs w:val="24"/>
          <w:highlight w:val="none"/>
        </w:rPr>
        <w:t>AP</w:t>
      </w:r>
      <w:r>
        <w:rPr>
          <w:rFonts w:hint="eastAsia" w:ascii="仿宋_GB2312" w:hAnsi="黑体" w:eastAsia="仿宋_GB2312" w:cstheme="minorEastAsia"/>
          <w:i/>
          <w:sz w:val="24"/>
          <w:szCs w:val="24"/>
          <w:highlight w:val="none"/>
        </w:rPr>
        <w:t>付款条件填写】</w:t>
      </w:r>
    </w:p>
    <w:p w14:paraId="40EC0DB7">
      <w:pPr>
        <w:spacing w:line="360" w:lineRule="auto"/>
        <w:ind w:firstLine="453" w:firstLineChars="189"/>
        <w:rPr>
          <w:rFonts w:ascii="仿宋_GB2312" w:hAnsi="黑体" w:eastAsia="仿宋_GB2312" w:cstheme="minorEastAsia"/>
          <w:i/>
          <w:sz w:val="24"/>
          <w:szCs w:val="24"/>
          <w:highlight w:val="none"/>
        </w:rPr>
      </w:pPr>
      <w:bookmarkStart w:id="130" w:name="_Toc14531628"/>
      <w:bookmarkStart w:id="131" w:name="_Toc14676804"/>
      <w:r>
        <w:rPr>
          <w:rFonts w:hint="eastAsia" w:ascii="仿宋_GB2312" w:hAnsi="黑体" w:eastAsia="仿宋_GB2312" w:cstheme="minorEastAsia"/>
          <w:sz w:val="24"/>
          <w:szCs w:val="24"/>
          <w:highlight w:val="none"/>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highlight w:val="none"/>
        </w:rPr>
        <w:t>【按照实际业务的S</w:t>
      </w:r>
      <w:r>
        <w:rPr>
          <w:rFonts w:ascii="仿宋_GB2312" w:hAnsi="黑体" w:eastAsia="仿宋_GB2312" w:cstheme="minorEastAsia"/>
          <w:i/>
          <w:sz w:val="24"/>
          <w:szCs w:val="24"/>
          <w:highlight w:val="none"/>
        </w:rPr>
        <w:t>AP</w:t>
      </w:r>
      <w:r>
        <w:rPr>
          <w:rFonts w:hint="eastAsia" w:ascii="仿宋_GB2312" w:hAnsi="黑体" w:eastAsia="仿宋_GB2312" w:cstheme="minorEastAsia"/>
          <w:i/>
          <w:sz w:val="24"/>
          <w:szCs w:val="24"/>
          <w:highlight w:val="none"/>
        </w:rPr>
        <w:t>付款条件填写】</w:t>
      </w:r>
      <w:r>
        <w:rPr>
          <w:rFonts w:hint="eastAsia" w:ascii="仿宋_GB2312" w:hAnsi="黑体" w:eastAsia="仿宋_GB2312" w:cstheme="minorEastAsia"/>
          <w:sz w:val="24"/>
          <w:szCs w:val="24"/>
          <w:highlight w:val="none"/>
        </w:rPr>
        <w:t>如有质量问题，质量保证金予以相应扣除。</w:t>
      </w:r>
      <w:bookmarkEnd w:id="130"/>
      <w:bookmarkEnd w:id="131"/>
    </w:p>
    <w:p w14:paraId="1C2459BE">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32" w:name="_Toc25708"/>
      <w:bookmarkStart w:id="133" w:name="_Toc24085"/>
      <w:bookmarkStart w:id="134" w:name="_Toc6726"/>
      <w:bookmarkStart w:id="135" w:name="_Toc16330026"/>
      <w:r>
        <w:rPr>
          <w:rFonts w:hint="eastAsia" w:ascii="黑体" w:hAnsi="黑体" w:eastAsia="黑体" w:cstheme="minorEastAsia"/>
          <w:b w:val="0"/>
          <w:sz w:val="28"/>
          <w:szCs w:val="28"/>
          <w:highlight w:val="none"/>
        </w:rPr>
        <w:t>9 质量保证及售后服务</w:t>
      </w:r>
      <w:bookmarkEnd w:id="132"/>
      <w:bookmarkEnd w:id="133"/>
      <w:bookmarkEnd w:id="134"/>
      <w:bookmarkEnd w:id="135"/>
    </w:p>
    <w:p w14:paraId="5CEE2D05">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9FA927A">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9.2卖方承诺其提供的设备不存在任何产品缺陷，否则因卖方提供的设备存在产品缺陷而给买方造成的一切后果和损失由卖方承担。</w:t>
      </w:r>
    </w:p>
    <w:p w14:paraId="721BD935">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1A8C9CE5">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9.4本合同约定设备的质量保证期：自最终验收报告签署之日（以签署日期最晚者为准）起</w:t>
      </w:r>
      <w:r>
        <w:rPr>
          <w:rFonts w:hint="eastAsia" w:ascii="仿宋_GB2312" w:hAnsi="黑体" w:eastAsia="仿宋_GB2312" w:cstheme="minorEastAsia"/>
          <w:sz w:val="24"/>
          <w:szCs w:val="24"/>
          <w:highlight w:val="none"/>
          <w:u w:val="single"/>
        </w:rPr>
        <w:t xml:space="preserve"> </w:t>
      </w:r>
      <w:r>
        <w:rPr>
          <w:rFonts w:ascii="仿宋_GB2312" w:hAnsi="黑体" w:eastAsia="仿宋_GB2312" w:cstheme="minorEastAsia"/>
          <w:sz w:val="24"/>
          <w:szCs w:val="24"/>
          <w:highlight w:val="none"/>
          <w:u w:val="single"/>
        </w:rPr>
        <w:t xml:space="preserve">   </w:t>
      </w:r>
      <w:r>
        <w:rPr>
          <w:rFonts w:hint="eastAsia" w:ascii="仿宋_GB2312" w:hAnsi="黑体" w:eastAsia="仿宋_GB2312" w:cstheme="minorEastAsia"/>
          <w:sz w:val="24"/>
          <w:szCs w:val="24"/>
          <w:highlight w:val="none"/>
        </w:rPr>
        <w:t>年。</w:t>
      </w:r>
    </w:p>
    <w:p w14:paraId="2FE95D8D">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758F36C">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9.6卖方负责在买方指定的地点免费为买方培训操作及维修人员，培训内容包括：基本原理、操作使用、安全操作注意事项以及维修保养等内容。</w:t>
      </w:r>
    </w:p>
    <w:p w14:paraId="5926D09B">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9.7质量保证期满后，卖方保证向买方提供及时的、质优的、价格优惠的技术服务和备品备件供应。</w:t>
      </w:r>
    </w:p>
    <w:p w14:paraId="610B9955">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9.8质量保证期满后，如出现质量问题，卖方也应及时修复和更换，且只收取成本费，费用由买方承担，卖方对设备质量问题所负的责任直到设备使用寿命周期结束。</w:t>
      </w:r>
    </w:p>
    <w:p w14:paraId="6BCC6F87">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36" w:name="_Toc16330027"/>
      <w:bookmarkStart w:id="137" w:name="_Toc12927"/>
      <w:bookmarkStart w:id="138" w:name="_Toc15570"/>
      <w:bookmarkStart w:id="139" w:name="_Toc10359"/>
      <w:r>
        <w:rPr>
          <w:rFonts w:hint="eastAsia" w:ascii="黑体" w:hAnsi="黑体" w:eastAsia="黑体" w:cstheme="minorEastAsia"/>
          <w:b w:val="0"/>
          <w:sz w:val="28"/>
          <w:szCs w:val="28"/>
          <w:highlight w:val="none"/>
        </w:rPr>
        <w:t>10法定责任</w:t>
      </w:r>
      <w:bookmarkEnd w:id="136"/>
      <w:bookmarkEnd w:id="137"/>
      <w:bookmarkEnd w:id="138"/>
      <w:bookmarkEnd w:id="139"/>
    </w:p>
    <w:p w14:paraId="238027B8">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10.1卖方需遵从国家有关的法律、法规，缴纳有关的法定费用和税项。若卖方未按期交纳法定费用、税项，则卖方须补偿买方由此造成的所有费用及损失。</w:t>
      </w:r>
    </w:p>
    <w:p w14:paraId="6EF5B507">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10.2除非本合同中另有规定或买方同意，卖方不得全部或部分转让本合同项下的权利义务。</w:t>
      </w:r>
    </w:p>
    <w:p w14:paraId="7665AE77">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10.3买卖双方同意在履行本合同期间双方之间交换、披露、传递或通信的所有工业和商业信息，任何附加文件或相关文件，应该被视为商业秘密，双方应该按照此处规定仅用于本合同的签订和履行。</w:t>
      </w:r>
    </w:p>
    <w:p w14:paraId="6CF0FE71">
      <w:pPr>
        <w:spacing w:line="360" w:lineRule="auto"/>
        <w:ind w:firstLine="453" w:firstLineChars="189"/>
        <w:rPr>
          <w:rFonts w:asciiTheme="minorEastAsia" w:hAnsiTheme="minorEastAsia" w:eastAsiaTheme="minorEastAsia" w:cstheme="minorEastAsia"/>
          <w:sz w:val="20"/>
          <w:szCs w:val="20"/>
          <w:highlight w:val="none"/>
        </w:rPr>
      </w:pPr>
      <w:r>
        <w:rPr>
          <w:rFonts w:hint="eastAsia" w:ascii="仿宋_GB2312" w:hAnsi="黑体" w:eastAsia="仿宋_GB2312" w:cstheme="minorEastAsia"/>
          <w:sz w:val="24"/>
          <w:szCs w:val="24"/>
          <w:highlight w:val="none"/>
        </w:rPr>
        <w:t>10.4除对方预先书面同意外，任何一方在本合同签订和履行期间或本合同终止后不得向第三方披露在本合同履行过程中知悉的与对方有关的任何商业秘密。</w:t>
      </w:r>
    </w:p>
    <w:p w14:paraId="06A35BA6">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40" w:name="_Toc9708"/>
      <w:bookmarkStart w:id="141" w:name="_Toc27314"/>
      <w:bookmarkStart w:id="142" w:name="_Toc16330028"/>
      <w:bookmarkStart w:id="143" w:name="_Toc30381"/>
      <w:r>
        <w:rPr>
          <w:rFonts w:hint="eastAsia" w:ascii="黑体" w:hAnsi="黑体" w:eastAsia="黑体" w:cstheme="minorEastAsia"/>
          <w:b w:val="0"/>
          <w:sz w:val="28"/>
          <w:szCs w:val="28"/>
          <w:highlight w:val="none"/>
        </w:rPr>
        <w:t>11 违约责任</w:t>
      </w:r>
      <w:bookmarkEnd w:id="140"/>
      <w:bookmarkEnd w:id="141"/>
      <w:bookmarkEnd w:id="142"/>
      <w:bookmarkEnd w:id="143"/>
    </w:p>
    <w:p w14:paraId="13A34747">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11.1卖方应承担提供的设备与本合同约定不符的一切责任，买方有权在检验、安装、调试、验收测试期限内、质量保证期内等任何时间提出索赔，买方有权按下述一种或多种方法要求卖方赔偿：</w:t>
      </w:r>
    </w:p>
    <w:p w14:paraId="30846E28">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1B6590D7">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11.1.2根据设备的瑕疵和受损程度以及买方遭受损失的金额，经买方同意降低设备价格。</w:t>
      </w:r>
    </w:p>
    <w:p w14:paraId="4000DB22">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11.1.3更换有缺陷的零件、部件、设备或修理缺陷部分，以达到本合同规定的规格、质量和性能，卖方承担一切费用和风险并负担买方遭受的一切损失，同时卖方应相应延长被修理或更换设备的质量保证期。</w:t>
      </w:r>
    </w:p>
    <w:p w14:paraId="5BC0C137">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08F97CA1">
      <w:pPr>
        <w:spacing w:line="360" w:lineRule="auto"/>
        <w:ind w:firstLine="453" w:firstLineChars="189"/>
        <w:rPr>
          <w:rFonts w:hint="eastAsia" w:ascii="仿宋_GB2312" w:hAnsi="黑体" w:eastAsia="仿宋_GB2312" w:cstheme="minorEastAsia"/>
          <w:sz w:val="24"/>
          <w:szCs w:val="24"/>
          <w:highlight w:val="none"/>
          <w:lang w:eastAsia="zh-CN"/>
        </w:rPr>
      </w:pPr>
      <w:r>
        <w:rPr>
          <w:rFonts w:ascii="仿宋_GB2312" w:hAnsi="黑体" w:eastAsia="仿宋_GB2312" w:cstheme="minorEastAsia"/>
          <w:sz w:val="24"/>
          <w:szCs w:val="24"/>
          <w:highlight w:val="none"/>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206142B3">
      <w:pPr>
        <w:spacing w:line="360" w:lineRule="auto"/>
        <w:ind w:firstLine="453" w:firstLineChars="189"/>
        <w:rPr>
          <w:rFonts w:ascii="仿宋_GB2312" w:hAnsi="黑体" w:eastAsia="仿宋_GB2312" w:cstheme="minorEastAsia"/>
          <w:sz w:val="24"/>
          <w:szCs w:val="24"/>
          <w:highlight w:val="none"/>
        </w:rPr>
      </w:pPr>
      <w:r>
        <w:rPr>
          <w:rFonts w:ascii="仿宋_GB2312" w:hAnsi="黑体" w:eastAsia="仿宋_GB2312" w:cstheme="minorEastAsia"/>
          <w:sz w:val="24"/>
          <w:szCs w:val="24"/>
          <w:highlight w:val="none"/>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4ACC41DD">
      <w:pPr>
        <w:spacing w:line="360" w:lineRule="auto"/>
        <w:ind w:firstLine="453" w:firstLineChars="189"/>
        <w:rPr>
          <w:rFonts w:ascii="仿宋_GB2312" w:hAnsi="黑体" w:eastAsia="仿宋_GB2312" w:cstheme="minorEastAsia"/>
          <w:sz w:val="24"/>
          <w:szCs w:val="24"/>
          <w:highlight w:val="none"/>
        </w:rPr>
      </w:pPr>
      <w:r>
        <w:rPr>
          <w:rFonts w:ascii="仿宋_GB2312" w:hAnsi="黑体" w:eastAsia="仿宋_GB2312" w:cstheme="minorEastAsia"/>
          <w:sz w:val="24"/>
          <w:szCs w:val="24"/>
          <w:highlight w:val="none"/>
        </w:rPr>
        <w:t>11.5买方延期付款时（有正当拒付理由者除外），每日按延付金额的 3 ‰向卖方偿付延期付款违约金，但违约金总额不超过延付金额的 50 ‰。</w:t>
      </w:r>
    </w:p>
    <w:p w14:paraId="63B36904">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highlight w:val="none"/>
        </w:rPr>
        <w:t xml:space="preserve"> </w:t>
      </w:r>
      <w:r>
        <w:rPr>
          <w:rFonts w:hint="eastAsia" w:ascii="仿宋_GB2312" w:hAnsi="黑体" w:eastAsia="仿宋_GB2312" w:cstheme="minorEastAsia"/>
          <w:sz w:val="24"/>
          <w:szCs w:val="24"/>
          <w:highlight w:val="none"/>
        </w:rPr>
        <w:t>‰的违约金（合同额不足10万元按照2000元/天计取），且不免除维修的责任。违约金在质保金中扣除。</w:t>
      </w:r>
    </w:p>
    <w:p w14:paraId="3A1BB58C">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w:t>
      </w:r>
      <w:r>
        <w:rPr>
          <w:rFonts w:ascii="仿宋_GB2312" w:hAnsi="黑体" w:eastAsia="仿宋_GB2312" w:cstheme="minorEastAsia"/>
          <w:sz w:val="24"/>
          <w:szCs w:val="24"/>
          <w:highlight w:val="none"/>
        </w:rPr>
        <w:t>1.7</w:t>
      </w:r>
      <w:r>
        <w:rPr>
          <w:rFonts w:hint="eastAsia" w:ascii="仿宋_GB2312" w:hAnsi="黑体" w:eastAsia="仿宋_GB2312" w:cstheme="minorEastAsia"/>
          <w:sz w:val="24"/>
          <w:szCs w:val="24"/>
          <w:highlight w:val="none"/>
        </w:rPr>
        <w:t>因发票违规给买方造成的增值税、所得税等损失，由卖方承担相关责任，包括但不限于税款、滞纳金、罚款及其它相关损失。</w:t>
      </w:r>
    </w:p>
    <w:p w14:paraId="41DED839">
      <w:pPr>
        <w:spacing w:line="360" w:lineRule="auto"/>
        <w:ind w:firstLine="453" w:firstLineChars="189"/>
        <w:rPr>
          <w:rFonts w:asciiTheme="minorEastAsia" w:hAnsiTheme="minorEastAsia" w:eastAsiaTheme="minorEastAsia" w:cstheme="minorEastAsia"/>
          <w:sz w:val="20"/>
          <w:szCs w:val="20"/>
          <w:highlight w:val="none"/>
        </w:rPr>
      </w:pPr>
      <w:r>
        <w:rPr>
          <w:rFonts w:hint="eastAsia" w:ascii="仿宋_GB2312" w:hAnsi="黑体" w:eastAsia="仿宋_GB2312" w:cstheme="minorEastAsia"/>
          <w:sz w:val="24"/>
          <w:szCs w:val="24"/>
          <w:highlight w:val="none"/>
        </w:rPr>
        <w:t>11.</w:t>
      </w:r>
      <w:r>
        <w:rPr>
          <w:rFonts w:ascii="仿宋_GB2312" w:hAnsi="黑体" w:eastAsia="仿宋_GB2312" w:cstheme="minorEastAsia"/>
          <w:sz w:val="24"/>
          <w:szCs w:val="24"/>
          <w:highlight w:val="none"/>
        </w:rPr>
        <w:t>8</w:t>
      </w:r>
      <w:r>
        <w:rPr>
          <w:rFonts w:hint="eastAsia" w:ascii="仿宋_GB2312" w:hAnsi="黑体" w:eastAsia="仿宋_GB2312" w:cstheme="minorEastAsia"/>
          <w:sz w:val="24"/>
          <w:szCs w:val="24"/>
          <w:highlight w:val="none"/>
        </w:rPr>
        <w:t>如果卖方违反本合同其他约定（包括本合同及所有附件）应赔偿因此给买方造成的一切损失。</w:t>
      </w:r>
    </w:p>
    <w:p w14:paraId="5EAC6BF3">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44" w:name="_Toc31554"/>
      <w:bookmarkStart w:id="145" w:name="_Toc9172"/>
      <w:bookmarkStart w:id="146" w:name="_Toc1827"/>
      <w:bookmarkStart w:id="147" w:name="_Toc16330029"/>
      <w:r>
        <w:rPr>
          <w:rFonts w:hint="eastAsia" w:ascii="黑体" w:hAnsi="黑体" w:eastAsia="黑体" w:cstheme="minorEastAsia"/>
          <w:b w:val="0"/>
          <w:sz w:val="28"/>
          <w:szCs w:val="28"/>
          <w:highlight w:val="none"/>
        </w:rPr>
        <w:t>12 合同的终止与解除</w:t>
      </w:r>
      <w:bookmarkEnd w:id="144"/>
      <w:bookmarkEnd w:id="145"/>
      <w:bookmarkEnd w:id="146"/>
      <w:bookmarkEnd w:id="147"/>
    </w:p>
    <w:p w14:paraId="62B0209E">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12.1本合同订立后，卖方由于履行义务的能力或信用有严重缺陷，买方可以终止履行本合同，要求卖方返还已支付的款项并不承担违约责任。</w:t>
      </w:r>
    </w:p>
    <w:p w14:paraId="2FCB70B6">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12.2经双方协商一致，可以解除本合同。</w:t>
      </w:r>
    </w:p>
    <w:p w14:paraId="11C09E16">
      <w:pPr>
        <w:spacing w:line="360" w:lineRule="auto"/>
        <w:ind w:left="397" w:leftChars="189"/>
        <w:rPr>
          <w:rFonts w:hint="eastAsia" w:ascii="仿宋_GB2312" w:hAnsi="黑体" w:eastAsia="仿宋_GB2312" w:cstheme="minorEastAsia"/>
          <w:sz w:val="24"/>
          <w:szCs w:val="24"/>
          <w:highlight w:val="none"/>
          <w:lang w:eastAsia="zh-CN"/>
        </w:rPr>
      </w:pPr>
      <w:r>
        <w:rPr>
          <w:rFonts w:ascii="仿宋_GB2312" w:hAnsi="黑体" w:eastAsia="仿宋_GB2312" w:cstheme="minorEastAsia"/>
          <w:sz w:val="24"/>
          <w:szCs w:val="24"/>
          <w:highlight w:val="none"/>
        </w:rPr>
        <w:t>12.3有下列情形之一的，买方可以解除本合同：</w:t>
      </w:r>
    </w:p>
    <w:p w14:paraId="4FFC4447">
      <w:pPr>
        <w:spacing w:line="360" w:lineRule="auto"/>
        <w:ind w:left="397" w:leftChars="189"/>
        <w:rPr>
          <w:rFonts w:hint="eastAsia" w:ascii="仿宋_GB2312" w:hAnsi="黑体" w:eastAsia="仿宋_GB2312" w:cstheme="minorEastAsia"/>
          <w:sz w:val="24"/>
          <w:szCs w:val="24"/>
          <w:highlight w:val="none"/>
          <w:lang w:eastAsia="zh-CN"/>
        </w:rPr>
      </w:pPr>
      <w:r>
        <w:rPr>
          <w:rFonts w:ascii="仿宋_GB2312" w:hAnsi="黑体" w:eastAsia="仿宋_GB2312" w:cstheme="minorEastAsia"/>
          <w:sz w:val="24"/>
          <w:szCs w:val="24"/>
          <w:highlight w:val="none"/>
        </w:rPr>
        <w:t>12.3.1卖方明确表示或者以自己的行为表明不履行主要义务的；</w:t>
      </w:r>
    </w:p>
    <w:p w14:paraId="3C463BEA">
      <w:pPr>
        <w:spacing w:line="360" w:lineRule="auto"/>
        <w:ind w:left="397" w:leftChars="189"/>
        <w:rPr>
          <w:rFonts w:hint="eastAsia" w:ascii="仿宋_GB2312" w:hAnsi="黑体" w:eastAsia="仿宋_GB2312" w:cstheme="minorEastAsia"/>
          <w:sz w:val="24"/>
          <w:szCs w:val="24"/>
          <w:highlight w:val="none"/>
          <w:lang w:eastAsia="zh-CN"/>
        </w:rPr>
      </w:pPr>
      <w:r>
        <w:rPr>
          <w:rFonts w:ascii="仿宋_GB2312" w:hAnsi="黑体" w:eastAsia="仿宋_GB2312" w:cstheme="minorEastAsia"/>
          <w:sz w:val="24"/>
          <w:szCs w:val="24"/>
          <w:highlight w:val="none"/>
        </w:rPr>
        <w:t>12.3.2卖方所提交的设备不符合本合同的规定；</w:t>
      </w:r>
    </w:p>
    <w:p w14:paraId="1C1DBF10">
      <w:pPr>
        <w:spacing w:line="360" w:lineRule="auto"/>
        <w:ind w:left="397" w:leftChars="189"/>
        <w:rPr>
          <w:rFonts w:hint="eastAsia" w:ascii="仿宋_GB2312" w:hAnsi="黑体" w:eastAsia="仿宋_GB2312" w:cstheme="minorEastAsia"/>
          <w:sz w:val="24"/>
          <w:szCs w:val="24"/>
          <w:highlight w:val="none"/>
          <w:lang w:eastAsia="zh-CN"/>
        </w:rPr>
      </w:pPr>
      <w:r>
        <w:rPr>
          <w:rFonts w:ascii="仿宋_GB2312" w:hAnsi="黑体" w:eastAsia="仿宋_GB2312" w:cstheme="minorEastAsia"/>
          <w:sz w:val="24"/>
          <w:szCs w:val="24"/>
          <w:highlight w:val="none"/>
        </w:rPr>
        <w:t>12.3.3卖方发生本合同约定的解除情形的；</w:t>
      </w:r>
    </w:p>
    <w:p w14:paraId="01B97E9F">
      <w:pPr>
        <w:spacing w:line="360" w:lineRule="auto"/>
        <w:ind w:left="397" w:leftChars="189"/>
        <w:rPr>
          <w:rFonts w:ascii="仿宋_GB2312" w:hAnsi="黑体" w:eastAsia="仿宋_GB2312" w:cstheme="minorEastAsia"/>
          <w:sz w:val="24"/>
          <w:szCs w:val="24"/>
          <w:highlight w:val="none"/>
        </w:rPr>
      </w:pPr>
      <w:r>
        <w:rPr>
          <w:rFonts w:ascii="仿宋_GB2312" w:hAnsi="黑体" w:eastAsia="仿宋_GB2312" w:cstheme="minorEastAsia"/>
          <w:sz w:val="24"/>
          <w:szCs w:val="24"/>
          <w:highlight w:val="none"/>
        </w:rPr>
        <w:t>12.3.4卖方有其他违约行为。</w:t>
      </w:r>
    </w:p>
    <w:p w14:paraId="014A9BA2">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12.4卖方分批交付设备的，卖方对其中一批设备不交付或者交付不符合约定，致使该批设备不能实现本合同目的的，买方可以就该批设备解除合同。</w:t>
      </w:r>
    </w:p>
    <w:p w14:paraId="11457E1B">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12.5卖方不交付其中一批设备或者交付不符合约定，致使今后其他各批设备的交付不能实现本合同目的的，买方可以就该批以及今后其他各批设备解除合同。</w:t>
      </w:r>
    </w:p>
    <w:p w14:paraId="18112CB5">
      <w:pPr>
        <w:spacing w:line="360" w:lineRule="auto"/>
        <w:ind w:firstLine="453" w:firstLineChars="189"/>
        <w:rPr>
          <w:rFonts w:ascii="仿宋_GB2312" w:hAnsi="黑体" w:eastAsia="仿宋_GB2312" w:cstheme="minorEastAsia"/>
          <w:sz w:val="24"/>
          <w:szCs w:val="24"/>
          <w:highlight w:val="none"/>
        </w:rPr>
      </w:pPr>
      <w:r>
        <w:rPr>
          <w:rFonts w:hint="eastAsia" w:ascii="仿宋_GB2312" w:hAnsi="黑体" w:eastAsia="仿宋_GB2312" w:cstheme="minorEastAsia"/>
          <w:sz w:val="24"/>
          <w:szCs w:val="24"/>
          <w:highlight w:val="none"/>
        </w:rPr>
        <w:t>12.6买方如果就其中一批设备解除合同，该批设备与其他各批设备相互依存的，可以就已经交付和未交付的各批设备解除合同。</w:t>
      </w:r>
    </w:p>
    <w:p w14:paraId="037D2752">
      <w:pPr>
        <w:spacing w:line="360" w:lineRule="auto"/>
        <w:ind w:firstLine="453" w:firstLineChars="189"/>
        <w:rPr>
          <w:rFonts w:asciiTheme="minorEastAsia" w:hAnsiTheme="minorEastAsia" w:eastAsiaTheme="minorEastAsia" w:cstheme="minorEastAsia"/>
          <w:sz w:val="20"/>
          <w:szCs w:val="20"/>
          <w:highlight w:val="none"/>
        </w:rPr>
      </w:pPr>
      <w:r>
        <w:rPr>
          <w:rFonts w:hint="eastAsia" w:ascii="仿宋_GB2312" w:hAnsi="黑体" w:eastAsia="仿宋_GB2312" w:cstheme="minorEastAsia"/>
          <w:sz w:val="24"/>
          <w:szCs w:val="24"/>
          <w:highlight w:val="none"/>
        </w:rPr>
        <w:t>12.7因为卖方违约导致买方解除合同的，卖方应赔偿买方因此所遭受的一切损失。</w:t>
      </w:r>
    </w:p>
    <w:p w14:paraId="1CA3FCAC">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48" w:name="_Toc16330030"/>
      <w:bookmarkStart w:id="149" w:name="_Toc13671"/>
      <w:bookmarkStart w:id="150" w:name="_Toc31945"/>
      <w:bookmarkStart w:id="151" w:name="_Toc8620"/>
      <w:r>
        <w:rPr>
          <w:rFonts w:hint="eastAsia" w:ascii="黑体" w:hAnsi="黑体" w:eastAsia="黑体" w:cstheme="minorEastAsia"/>
          <w:b w:val="0"/>
          <w:sz w:val="28"/>
          <w:szCs w:val="28"/>
          <w:highlight w:val="none"/>
        </w:rPr>
        <w:t>13 不可抗力</w:t>
      </w:r>
      <w:bookmarkEnd w:id="148"/>
      <w:bookmarkEnd w:id="149"/>
      <w:bookmarkEnd w:id="150"/>
      <w:bookmarkEnd w:id="151"/>
    </w:p>
    <w:p w14:paraId="33364909">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48EC6667">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13.2各方应该通过协商决定是否终止本合同，或推迟全部或部分本合同的履行或免除对方全部或部分相关履行义务。</w:t>
      </w:r>
    </w:p>
    <w:p w14:paraId="41C7FAE1">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52" w:name="_Toc16330031"/>
      <w:bookmarkStart w:id="153" w:name="_Toc637"/>
      <w:bookmarkStart w:id="154" w:name="_Toc30389"/>
      <w:bookmarkStart w:id="155" w:name="_Toc31243"/>
      <w:r>
        <w:rPr>
          <w:rFonts w:hint="eastAsia" w:ascii="黑体" w:hAnsi="黑体" w:eastAsia="黑体" w:cstheme="minorEastAsia"/>
          <w:b w:val="0"/>
          <w:sz w:val="28"/>
          <w:szCs w:val="28"/>
          <w:highlight w:val="none"/>
        </w:rPr>
        <w:t>14 通讯</w:t>
      </w:r>
      <w:bookmarkEnd w:id="152"/>
      <w:bookmarkEnd w:id="153"/>
      <w:bookmarkEnd w:id="154"/>
      <w:bookmarkEnd w:id="155"/>
    </w:p>
    <w:p w14:paraId="474DB3BF">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14.1通讯地址：</w:t>
      </w:r>
    </w:p>
    <w:p w14:paraId="774BC548">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本合同下的任何通讯按照本合同双方提供的信息，以书信、传真、电子通讯方式或电话作出。</w:t>
      </w:r>
    </w:p>
    <w:p w14:paraId="02AEE2A7">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14.2生效</w:t>
      </w:r>
    </w:p>
    <w:p w14:paraId="671ED25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14.2.1书信。书信为送达时生效；</w:t>
      </w:r>
    </w:p>
    <w:p w14:paraId="6D059549">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14.2.2传真。发送人取得成功传输的信息时生效；</w:t>
      </w:r>
    </w:p>
    <w:p w14:paraId="17DB89C9">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14.2.3电子邮件。电子邮件于发送之时生效，前提是寄件者于该邮件发送后24小时内没有收到发送失败通知；</w:t>
      </w:r>
    </w:p>
    <w:p w14:paraId="122648D9">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14.2.4电话。电话于打出时生效，以电话作出的任何通讯必须以书信、传真或电子邮件确认，如果没有发送或者接收该确认不会使原有通讯失效。</w:t>
      </w:r>
    </w:p>
    <w:p w14:paraId="6C198FAE">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14.3书面法律证据。根据本合同以书信、传真或电子邮件方式送达任何订约方的任何通讯，将作为书面法律证据。</w:t>
      </w:r>
    </w:p>
    <w:p w14:paraId="203CBBF1">
      <w:pPr>
        <w:pStyle w:val="4"/>
        <w:tabs>
          <w:tab w:val="right" w:leader="dot" w:pos="9061"/>
        </w:tabs>
        <w:spacing w:before="240" w:beforeLines="100"/>
        <w:jc w:val="both"/>
        <w:rPr>
          <w:rFonts w:ascii="黑体" w:hAnsi="黑体" w:eastAsia="黑体" w:cstheme="minorEastAsia"/>
          <w:b w:val="0"/>
          <w:sz w:val="28"/>
          <w:szCs w:val="28"/>
          <w:highlight w:val="none"/>
        </w:rPr>
      </w:pPr>
      <w:bookmarkStart w:id="156" w:name="_Toc16330032"/>
      <w:bookmarkStart w:id="157" w:name="_Toc11290"/>
      <w:bookmarkStart w:id="158" w:name="_Toc9915"/>
      <w:bookmarkStart w:id="159" w:name="_Toc12984"/>
      <w:r>
        <w:rPr>
          <w:rFonts w:hint="eastAsia" w:ascii="黑体" w:hAnsi="黑体" w:eastAsia="黑体" w:cstheme="minorEastAsia"/>
          <w:b w:val="0"/>
          <w:sz w:val="28"/>
          <w:szCs w:val="28"/>
          <w:highlight w:val="none"/>
        </w:rPr>
        <w:t>15 适用法律及争议解决</w:t>
      </w:r>
      <w:bookmarkEnd w:id="156"/>
      <w:bookmarkEnd w:id="157"/>
      <w:bookmarkEnd w:id="158"/>
      <w:bookmarkEnd w:id="159"/>
    </w:p>
    <w:p w14:paraId="6057E562">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15.1本合同条款的效力和解释适用中华人民共和国法律。</w:t>
      </w:r>
    </w:p>
    <w:p w14:paraId="43087AE5">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15.2双方同意将本着诚信的态度协商解决本合同履行过程中产生的任何争议。如果争议事项不能通过双方协商解决，本合同双方同意采用向买方所在地人民法院提起诉讼的方式解决。</w:t>
      </w:r>
    </w:p>
    <w:p w14:paraId="3B0184EE">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60" w:name="_Toc16330033"/>
      <w:bookmarkStart w:id="161" w:name="_Toc18207"/>
      <w:bookmarkStart w:id="162" w:name="_Toc23765"/>
      <w:bookmarkStart w:id="163" w:name="_Toc23906"/>
      <w:r>
        <w:rPr>
          <w:rFonts w:hint="eastAsia" w:ascii="黑体" w:hAnsi="黑体" w:eastAsia="黑体" w:cstheme="minorEastAsia"/>
          <w:b w:val="0"/>
          <w:sz w:val="28"/>
          <w:szCs w:val="28"/>
          <w:highlight w:val="none"/>
        </w:rPr>
        <w:t>16 附件</w:t>
      </w:r>
      <w:bookmarkEnd w:id="160"/>
      <w:bookmarkEnd w:id="161"/>
      <w:bookmarkEnd w:id="162"/>
      <w:bookmarkEnd w:id="163"/>
    </w:p>
    <w:p w14:paraId="27B07653">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本合同及其附件构成双方关于本合同标的之全部协议，包括但不限于下列文件：</w:t>
      </w:r>
    </w:p>
    <w:p w14:paraId="2F69ACBC">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16.1技术协议书；</w:t>
      </w:r>
    </w:p>
    <w:p w14:paraId="4BFC7F4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16.2合同设备一览表；</w:t>
      </w:r>
    </w:p>
    <w:p w14:paraId="1570CB0F">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16.3卖方中标的设备投标书以及一切书面承诺；</w:t>
      </w:r>
    </w:p>
    <w:p w14:paraId="71F9BE45">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16.4招标文件。</w:t>
      </w:r>
    </w:p>
    <w:p w14:paraId="0787BDCD">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上述附件内容与本合同约定有冲突的，以本合同约定为准。</w:t>
      </w:r>
    </w:p>
    <w:p w14:paraId="60A9430E">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bookmarkStart w:id="164" w:name="_Toc31331"/>
      <w:bookmarkStart w:id="165" w:name="_Toc17656"/>
      <w:bookmarkStart w:id="166" w:name="_Toc16330034"/>
      <w:bookmarkStart w:id="167" w:name="_Toc27202"/>
      <w:r>
        <w:rPr>
          <w:rFonts w:hint="eastAsia" w:ascii="黑体" w:hAnsi="黑体" w:eastAsia="黑体" w:cstheme="minorEastAsia"/>
          <w:b w:val="0"/>
          <w:sz w:val="28"/>
          <w:szCs w:val="28"/>
          <w:highlight w:val="none"/>
        </w:rPr>
        <w:t>17 其他规定</w:t>
      </w:r>
      <w:bookmarkEnd w:id="164"/>
      <w:bookmarkEnd w:id="165"/>
      <w:bookmarkEnd w:id="166"/>
      <w:bookmarkEnd w:id="167"/>
    </w:p>
    <w:p w14:paraId="4D7104F5">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17.1本合同及其附件构成了双方就本合同所含交易而达成的全部合同，并取代双方先前与该等交易有关的全部口头和书面合同。</w:t>
      </w:r>
    </w:p>
    <w:p w14:paraId="223A9E38">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17.2如果本合同的任何条款和条件在任何时间成为非法、无效或不可强制执行的，则其他条款不应受其影响。</w:t>
      </w:r>
    </w:p>
    <w:p w14:paraId="12668EBB">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17.3除非另有规定，一方未行使或迟延行使本合同项下的权利、权力或特权并不构成放弃这些权利、权力和特权，而单一或部分行使这些权利、权力和特权并不排斥行使任何其他权利、权力和特权。</w:t>
      </w:r>
    </w:p>
    <w:p w14:paraId="44119878">
      <w:pPr>
        <w:spacing w:line="360" w:lineRule="auto"/>
        <w:ind w:firstLine="453" w:firstLineChars="189"/>
        <w:rPr>
          <w:rFonts w:ascii="仿宋_GB2312" w:eastAsia="仿宋_GB2312" w:hAnsiTheme="minorEastAsia" w:cstheme="minorEastAsia"/>
          <w:sz w:val="24"/>
          <w:szCs w:val="24"/>
          <w:highlight w:val="none"/>
        </w:rPr>
      </w:pPr>
      <w:bookmarkStart w:id="168" w:name="_Toc19077"/>
      <w:bookmarkStart w:id="169" w:name="_Toc16330035"/>
      <w:bookmarkStart w:id="170" w:name="_Toc29136"/>
      <w:bookmarkStart w:id="171" w:name="_Toc17952"/>
      <w:r>
        <w:rPr>
          <w:rFonts w:hint="eastAsia" w:ascii="仿宋_GB2312" w:eastAsia="仿宋_GB2312" w:hAnsiTheme="minorEastAsia" w:cstheme="minorEastAsia"/>
          <w:sz w:val="24"/>
          <w:szCs w:val="24"/>
          <w:highlight w:val="none"/>
        </w:rPr>
        <w:t>17.4监造，在合同设备的制造过程中，买方有权派出代表对合同设备制造过程中的关键工序进行质量监督，卖方有配合买方监造的义务。</w:t>
      </w:r>
    </w:p>
    <w:p w14:paraId="70B321B2">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7AA4CA24">
      <w:pPr>
        <w:pStyle w:val="4"/>
        <w:tabs>
          <w:tab w:val="right" w:leader="dot" w:pos="9061"/>
        </w:tabs>
        <w:spacing w:before="240" w:beforeLines="100"/>
        <w:ind w:left="0" w:firstLine="529" w:firstLineChars="189"/>
        <w:jc w:val="both"/>
        <w:rPr>
          <w:rFonts w:ascii="黑体" w:hAnsi="黑体" w:eastAsia="黑体" w:cstheme="minorEastAsia"/>
          <w:b w:val="0"/>
          <w:sz w:val="28"/>
          <w:szCs w:val="28"/>
          <w:highlight w:val="none"/>
        </w:rPr>
      </w:pPr>
      <w:r>
        <w:rPr>
          <w:rFonts w:hint="eastAsia" w:ascii="黑体" w:hAnsi="黑体" w:eastAsia="黑体" w:cstheme="minorEastAsia"/>
          <w:b w:val="0"/>
          <w:sz w:val="28"/>
          <w:szCs w:val="28"/>
          <w:highlight w:val="none"/>
        </w:rPr>
        <w:t>18 签署事项</w:t>
      </w:r>
      <w:bookmarkEnd w:id="168"/>
      <w:bookmarkEnd w:id="169"/>
      <w:bookmarkEnd w:id="170"/>
      <w:bookmarkEnd w:id="171"/>
    </w:p>
    <w:p w14:paraId="31104B6A">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本合同一式</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份，买方持</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份，卖方持</w:t>
      </w:r>
      <w:r>
        <w:rPr>
          <w:rFonts w:hint="eastAsia" w:ascii="仿宋_GB2312" w:eastAsia="仿宋_GB2312" w:hAnsiTheme="minorEastAsia" w:cstheme="minorEastAsia"/>
          <w:sz w:val="24"/>
          <w:szCs w:val="24"/>
          <w:highlight w:val="none"/>
          <w:u w:val="single"/>
        </w:rPr>
        <w:t xml:space="preserve">   </w:t>
      </w:r>
      <w:r>
        <w:rPr>
          <w:rFonts w:hint="eastAsia" w:ascii="仿宋_GB2312" w:eastAsia="仿宋_GB2312" w:hAnsiTheme="minorEastAsia" w:cstheme="minorEastAsia"/>
          <w:sz w:val="24"/>
          <w:szCs w:val="24"/>
          <w:highlight w:val="none"/>
        </w:rPr>
        <w:t>份；本合同经双方签署后生效。</w:t>
      </w:r>
    </w:p>
    <w:p w14:paraId="0D3065BA">
      <w:pPr>
        <w:spacing w:line="360" w:lineRule="auto"/>
        <w:ind w:firstLine="455" w:firstLineChars="189"/>
        <w:rPr>
          <w:rFonts w:hint="eastAsia" w:ascii="仿宋_GB2312" w:eastAsia="仿宋_GB2312" w:hAnsiTheme="minorEastAsia" w:cstheme="minorEastAsia"/>
          <w:b/>
          <w:sz w:val="24"/>
          <w:szCs w:val="24"/>
          <w:highlight w:val="none"/>
          <w:lang w:eastAsia="zh-CN"/>
        </w:rPr>
      </w:pPr>
      <w:r>
        <w:rPr>
          <w:rFonts w:ascii="仿宋_GB2312" w:eastAsia="仿宋_GB2312" w:hAnsiTheme="minorEastAsia" w:cstheme="minorEastAsia"/>
          <w:b/>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3AAE69A">
      <w:pPr>
        <w:spacing w:line="360" w:lineRule="auto"/>
        <w:ind w:firstLine="455" w:firstLineChars="189"/>
        <w:rPr>
          <w:rFonts w:ascii="仿宋_GB2312" w:eastAsia="仿宋_GB2312" w:hAnsiTheme="minorEastAsia" w:cstheme="minorEastAsia"/>
          <w:b/>
          <w:sz w:val="24"/>
          <w:szCs w:val="24"/>
          <w:highlight w:val="none"/>
        </w:rPr>
      </w:pPr>
      <w:r>
        <w:rPr>
          <w:rFonts w:hint="eastAsia" w:ascii="仿宋_GB2312" w:eastAsia="仿宋_GB2312" w:hAnsiTheme="minorEastAsia" w:cstheme="minorEastAsia"/>
          <w:b/>
          <w:sz w:val="24"/>
          <w:szCs w:val="24"/>
          <w:highlight w:val="none"/>
        </w:rPr>
        <w:t xml:space="preserve"> </w:t>
      </w:r>
      <w:r>
        <w:rPr>
          <w:rFonts w:ascii="仿宋_GB2312" w:eastAsia="仿宋_GB2312" w:hAnsiTheme="minorEastAsia" w:cstheme="minorEastAsia"/>
          <w:b/>
          <w:sz w:val="24"/>
          <w:szCs w:val="24"/>
          <w:highlight w:val="none"/>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B33060F">
      <w:pPr>
        <w:spacing w:line="360" w:lineRule="auto"/>
        <w:ind w:firstLine="453" w:firstLineChars="189"/>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（以下无正文）</w:t>
      </w:r>
    </w:p>
    <w:p w14:paraId="429FA05D">
      <w:pPr>
        <w:spacing w:line="360" w:lineRule="auto"/>
        <w:ind w:firstLine="420" w:firstLineChars="200"/>
        <w:rPr>
          <w:rFonts w:asciiTheme="minorEastAsia" w:hAnsiTheme="minorEastAsia" w:eastAsiaTheme="minorEastAsia" w:cstheme="minorEastAsia"/>
          <w:sz w:val="20"/>
          <w:szCs w:val="20"/>
          <w:highlight w:val="none"/>
        </w:rPr>
      </w:pPr>
      <w:r>
        <w:rPr>
          <w:rFonts w:hint="eastAsia"/>
          <w:highlight w:val="none"/>
        </w:rPr>
        <w:t xml:space="preserve">    </w:t>
      </w:r>
    </w:p>
    <w:p w14:paraId="326E4073">
      <w:pPr>
        <w:spacing w:line="360" w:lineRule="auto"/>
        <w:rPr>
          <w:rFonts w:ascii="宋体" w:hAnsi="宋体"/>
          <w:snapToGrid w:val="0"/>
          <w:kern w:val="0"/>
          <w:sz w:val="20"/>
          <w:szCs w:val="20"/>
          <w:highlight w:val="none"/>
          <w:lang w:eastAsia="zh-Hans"/>
        </w:rPr>
      </w:pPr>
    </w:p>
    <w:p w14:paraId="03E1AFC3">
      <w:pPr>
        <w:widowControl/>
        <w:adjustRightInd w:val="0"/>
        <w:snapToGrid w:val="0"/>
        <w:spacing w:line="360" w:lineRule="auto"/>
        <w:jc w:val="left"/>
        <w:rPr>
          <w:rFonts w:ascii="仿宋_GB2312" w:hAnsi="宋体" w:eastAsia="仿宋_GB2312"/>
          <w:snapToGrid w:val="0"/>
          <w:kern w:val="0"/>
          <w:sz w:val="24"/>
          <w:szCs w:val="24"/>
          <w:highlight w:val="none"/>
          <w:lang w:eastAsia="zh-Hans"/>
        </w:rPr>
      </w:pPr>
      <w:r>
        <w:rPr>
          <w:rFonts w:hint="eastAsia" w:ascii="仿宋_GB2312" w:hAnsi="宋体" w:eastAsia="仿宋_GB2312"/>
          <w:snapToGrid w:val="0"/>
          <w:kern w:val="0"/>
          <w:sz w:val="24"/>
          <w:szCs w:val="24"/>
          <w:highlight w:val="none"/>
          <w:lang w:eastAsia="zh-Hans"/>
        </w:rPr>
        <w:t>甲方</w:t>
      </w:r>
      <w:r>
        <w:rPr>
          <w:rFonts w:hint="eastAsia" w:ascii="仿宋_GB2312" w:hAnsi="宋体" w:eastAsia="仿宋_GB2312"/>
          <w:snapToGrid w:val="0"/>
          <w:kern w:val="0"/>
          <w:sz w:val="24"/>
          <w:szCs w:val="24"/>
          <w:highlight w:val="none"/>
        </w:rPr>
        <w:t>（盖章）</w:t>
      </w:r>
      <w:r>
        <w:rPr>
          <w:rFonts w:hint="eastAsia" w:ascii="仿宋_GB2312" w:hAnsi="宋体" w:eastAsia="仿宋_GB2312"/>
          <w:snapToGrid w:val="0"/>
          <w:kern w:val="0"/>
          <w:sz w:val="24"/>
          <w:szCs w:val="24"/>
          <w:highlight w:val="none"/>
          <w:lang w:eastAsia="zh-Hans"/>
        </w:rPr>
        <w:t xml:space="preserve">：                    </w:t>
      </w:r>
      <w:r>
        <w:rPr>
          <w:rFonts w:hint="eastAsia" w:ascii="仿宋_GB2312" w:hAnsi="宋体" w:eastAsia="仿宋_GB2312"/>
          <w:snapToGrid w:val="0"/>
          <w:kern w:val="0"/>
          <w:sz w:val="24"/>
          <w:szCs w:val="24"/>
          <w:highlight w:val="none"/>
        </w:rPr>
        <w:t xml:space="preserve">           </w:t>
      </w:r>
      <w:r>
        <w:rPr>
          <w:rFonts w:hint="eastAsia" w:ascii="仿宋_GB2312" w:hAnsi="宋体" w:eastAsia="仿宋_GB2312"/>
          <w:snapToGrid w:val="0"/>
          <w:kern w:val="0"/>
          <w:sz w:val="24"/>
          <w:szCs w:val="24"/>
          <w:highlight w:val="none"/>
          <w:lang w:eastAsia="zh-Hans"/>
        </w:rPr>
        <w:t>乙方</w:t>
      </w:r>
      <w:r>
        <w:rPr>
          <w:rFonts w:hint="eastAsia" w:ascii="仿宋_GB2312" w:hAnsi="宋体" w:eastAsia="仿宋_GB2312"/>
          <w:snapToGrid w:val="0"/>
          <w:kern w:val="0"/>
          <w:sz w:val="24"/>
          <w:szCs w:val="24"/>
          <w:highlight w:val="none"/>
        </w:rPr>
        <w:t>（盖章）</w:t>
      </w:r>
      <w:r>
        <w:rPr>
          <w:rFonts w:hint="eastAsia" w:ascii="仿宋_GB2312" w:hAnsi="宋体" w:eastAsia="仿宋_GB2312"/>
          <w:snapToGrid w:val="0"/>
          <w:kern w:val="0"/>
          <w:sz w:val="24"/>
          <w:szCs w:val="24"/>
          <w:highlight w:val="none"/>
          <w:lang w:eastAsia="zh-Hans"/>
        </w:rPr>
        <w:t>：</w:t>
      </w:r>
    </w:p>
    <w:p w14:paraId="1F6F49DE">
      <w:pPr>
        <w:widowControl/>
        <w:adjustRightInd w:val="0"/>
        <w:snapToGrid w:val="0"/>
        <w:spacing w:line="360" w:lineRule="auto"/>
        <w:jc w:val="left"/>
        <w:rPr>
          <w:rFonts w:ascii="仿宋_GB2312" w:hAnsi="宋体" w:eastAsia="仿宋_GB2312"/>
          <w:snapToGrid w:val="0"/>
          <w:color w:val="000000"/>
          <w:kern w:val="0"/>
          <w:sz w:val="24"/>
          <w:szCs w:val="24"/>
          <w:highlight w:val="none"/>
          <w:lang w:eastAsia="zh-Hans"/>
        </w:rPr>
      </w:pPr>
      <w:r>
        <w:rPr>
          <w:rFonts w:hint="eastAsia" w:ascii="仿宋_GB2312" w:hAnsi="宋体" w:eastAsia="仿宋_GB2312"/>
          <w:snapToGrid w:val="0"/>
          <w:color w:val="000000"/>
          <w:kern w:val="0"/>
          <w:sz w:val="24"/>
          <w:szCs w:val="24"/>
          <w:highlight w:val="none"/>
          <w:lang w:eastAsia="zh-Hans"/>
        </w:rPr>
        <w:t xml:space="preserve">法定代表人或代理人（签字）：         </w:t>
      </w:r>
      <w:r>
        <w:rPr>
          <w:rFonts w:hint="eastAsia" w:ascii="仿宋_GB2312" w:hAnsi="宋体" w:eastAsia="仿宋_GB2312"/>
          <w:snapToGrid w:val="0"/>
          <w:kern w:val="0"/>
          <w:sz w:val="24"/>
          <w:szCs w:val="24"/>
          <w:highlight w:val="none"/>
          <w:lang w:eastAsia="zh-Hans"/>
        </w:rPr>
        <w:t xml:space="preserve">       </w:t>
      </w:r>
      <w:r>
        <w:rPr>
          <w:rFonts w:hint="eastAsia" w:ascii="仿宋_GB2312" w:hAnsi="宋体" w:eastAsia="仿宋_GB2312"/>
          <w:snapToGrid w:val="0"/>
          <w:color w:val="000000"/>
          <w:kern w:val="0"/>
          <w:sz w:val="24"/>
          <w:szCs w:val="24"/>
          <w:highlight w:val="none"/>
          <w:lang w:eastAsia="zh-Hans"/>
        </w:rPr>
        <w:t xml:space="preserve"> 法定代表人或代理人（签字）：</w:t>
      </w:r>
    </w:p>
    <w:p w14:paraId="245B8FD7">
      <w:pPr>
        <w:widowControl/>
        <w:adjustRightInd w:val="0"/>
        <w:snapToGrid w:val="0"/>
        <w:spacing w:line="360" w:lineRule="auto"/>
        <w:jc w:val="left"/>
        <w:rPr>
          <w:rFonts w:ascii="仿宋_GB2312" w:hAnsi="宋体" w:eastAsia="仿宋_GB2312"/>
          <w:snapToGrid w:val="0"/>
          <w:color w:val="000000"/>
          <w:kern w:val="0"/>
          <w:sz w:val="24"/>
          <w:szCs w:val="24"/>
          <w:highlight w:val="none"/>
          <w:lang w:eastAsia="zh-Hans"/>
        </w:rPr>
      </w:pPr>
      <w:r>
        <w:rPr>
          <w:rFonts w:hint="eastAsia" w:ascii="仿宋_GB2312" w:hAnsi="宋体" w:eastAsia="仿宋_GB2312"/>
          <w:snapToGrid w:val="0"/>
          <w:color w:val="000000"/>
          <w:kern w:val="0"/>
          <w:sz w:val="24"/>
          <w:szCs w:val="24"/>
          <w:highlight w:val="none"/>
          <w:lang w:eastAsia="zh-Hans"/>
        </w:rPr>
        <w:t xml:space="preserve">地  址：                             </w:t>
      </w:r>
      <w:r>
        <w:rPr>
          <w:rFonts w:hint="eastAsia" w:ascii="仿宋_GB2312" w:hAnsi="宋体" w:eastAsia="仿宋_GB2312"/>
          <w:snapToGrid w:val="0"/>
          <w:kern w:val="0"/>
          <w:sz w:val="24"/>
          <w:szCs w:val="24"/>
          <w:highlight w:val="none"/>
          <w:lang w:eastAsia="zh-Hans"/>
        </w:rPr>
        <w:t xml:space="preserve">        </w:t>
      </w:r>
      <w:r>
        <w:rPr>
          <w:rFonts w:hint="eastAsia" w:ascii="仿宋_GB2312" w:hAnsi="宋体" w:eastAsia="仿宋_GB2312"/>
          <w:snapToGrid w:val="0"/>
          <w:color w:val="000000"/>
          <w:kern w:val="0"/>
          <w:sz w:val="24"/>
          <w:szCs w:val="24"/>
          <w:highlight w:val="none"/>
          <w:lang w:eastAsia="zh-Hans"/>
        </w:rPr>
        <w:t xml:space="preserve">地  址： </w:t>
      </w:r>
    </w:p>
    <w:p w14:paraId="2062ABA3">
      <w:pPr>
        <w:widowControl/>
        <w:adjustRightInd w:val="0"/>
        <w:snapToGrid w:val="0"/>
        <w:spacing w:line="360" w:lineRule="auto"/>
        <w:jc w:val="left"/>
        <w:rPr>
          <w:rFonts w:ascii="仿宋_GB2312" w:hAnsi="宋体" w:eastAsia="仿宋_GB2312"/>
          <w:snapToGrid w:val="0"/>
          <w:kern w:val="0"/>
          <w:sz w:val="24"/>
          <w:szCs w:val="24"/>
          <w:highlight w:val="none"/>
          <w:lang w:eastAsia="zh-Hans"/>
        </w:rPr>
      </w:pPr>
      <w:r>
        <w:rPr>
          <w:rFonts w:hint="eastAsia" w:ascii="仿宋_GB2312" w:hAnsi="宋体" w:eastAsia="仿宋_GB2312"/>
          <w:snapToGrid w:val="0"/>
          <w:kern w:val="0"/>
          <w:sz w:val="24"/>
          <w:szCs w:val="24"/>
          <w:highlight w:val="none"/>
          <w:lang w:eastAsia="zh-Hans"/>
        </w:rPr>
        <w:t xml:space="preserve">电话：                                       电话： </w:t>
      </w:r>
    </w:p>
    <w:p w14:paraId="20F540EE">
      <w:pPr>
        <w:widowControl/>
        <w:adjustRightInd w:val="0"/>
        <w:snapToGrid w:val="0"/>
        <w:spacing w:line="360" w:lineRule="auto"/>
        <w:jc w:val="left"/>
        <w:rPr>
          <w:rFonts w:ascii="仿宋_GB2312" w:hAnsi="宋体" w:eastAsia="仿宋_GB2312"/>
          <w:snapToGrid w:val="0"/>
          <w:kern w:val="0"/>
          <w:sz w:val="24"/>
          <w:szCs w:val="24"/>
          <w:highlight w:val="none"/>
          <w:lang w:eastAsia="zh-Hans"/>
        </w:rPr>
      </w:pPr>
      <w:r>
        <w:rPr>
          <w:rFonts w:hint="eastAsia" w:ascii="仿宋_GB2312" w:hAnsi="宋体" w:eastAsia="仿宋_GB2312"/>
          <w:snapToGrid w:val="0"/>
          <w:kern w:val="0"/>
          <w:sz w:val="24"/>
          <w:szCs w:val="24"/>
          <w:highlight w:val="none"/>
          <w:lang w:eastAsia="zh-Hans"/>
        </w:rPr>
        <w:t xml:space="preserve">传真：                                       传真： </w:t>
      </w:r>
    </w:p>
    <w:p w14:paraId="67760359">
      <w:pPr>
        <w:widowControl/>
        <w:adjustRightInd w:val="0"/>
        <w:snapToGrid w:val="0"/>
        <w:spacing w:line="360" w:lineRule="auto"/>
        <w:jc w:val="left"/>
        <w:rPr>
          <w:rFonts w:ascii="仿宋_GB2312" w:hAnsi="宋体" w:eastAsia="仿宋_GB2312"/>
          <w:snapToGrid w:val="0"/>
          <w:color w:val="000000"/>
          <w:kern w:val="0"/>
          <w:sz w:val="24"/>
          <w:szCs w:val="24"/>
          <w:highlight w:val="none"/>
          <w:lang w:eastAsia="zh-Hans"/>
        </w:rPr>
      </w:pPr>
      <w:r>
        <w:rPr>
          <w:rFonts w:hint="eastAsia" w:ascii="仿宋_GB2312" w:hAnsi="宋体" w:eastAsia="仿宋_GB2312"/>
          <w:snapToGrid w:val="0"/>
          <w:color w:val="000000"/>
          <w:kern w:val="0"/>
          <w:sz w:val="24"/>
          <w:szCs w:val="24"/>
          <w:highlight w:val="none"/>
          <w:lang w:eastAsia="zh-Hans"/>
        </w:rPr>
        <w:t xml:space="preserve">开户银行：                          </w:t>
      </w:r>
      <w:r>
        <w:rPr>
          <w:rFonts w:hint="eastAsia" w:ascii="仿宋_GB2312" w:hAnsi="宋体" w:eastAsia="仿宋_GB2312"/>
          <w:snapToGrid w:val="0"/>
          <w:kern w:val="0"/>
          <w:sz w:val="24"/>
          <w:szCs w:val="24"/>
          <w:highlight w:val="none"/>
          <w:lang w:eastAsia="zh-Hans"/>
        </w:rPr>
        <w:t xml:space="preserve">        </w:t>
      </w:r>
      <w:r>
        <w:rPr>
          <w:rFonts w:hint="eastAsia" w:ascii="仿宋_GB2312" w:hAnsi="宋体" w:eastAsia="仿宋_GB2312"/>
          <w:snapToGrid w:val="0"/>
          <w:color w:val="000000"/>
          <w:kern w:val="0"/>
          <w:sz w:val="24"/>
          <w:szCs w:val="24"/>
          <w:highlight w:val="none"/>
          <w:lang w:eastAsia="zh-Hans"/>
        </w:rPr>
        <w:t xml:space="preserve"> 开户银行：   </w:t>
      </w:r>
    </w:p>
    <w:p w14:paraId="358749B9">
      <w:pPr>
        <w:widowControl/>
        <w:adjustRightInd w:val="0"/>
        <w:snapToGrid w:val="0"/>
        <w:spacing w:line="360" w:lineRule="auto"/>
        <w:jc w:val="left"/>
        <w:rPr>
          <w:rFonts w:ascii="仿宋_GB2312" w:hAnsi="宋体" w:eastAsia="仿宋_GB2312"/>
          <w:snapToGrid w:val="0"/>
          <w:kern w:val="0"/>
          <w:sz w:val="24"/>
          <w:szCs w:val="24"/>
          <w:highlight w:val="none"/>
        </w:rPr>
      </w:pPr>
      <w:r>
        <w:rPr>
          <w:rFonts w:hint="eastAsia" w:ascii="仿宋_GB2312" w:hAnsi="宋体" w:eastAsia="仿宋_GB2312"/>
          <w:snapToGrid w:val="0"/>
          <w:color w:val="000000"/>
          <w:kern w:val="0"/>
          <w:sz w:val="24"/>
          <w:szCs w:val="24"/>
          <w:highlight w:val="none"/>
          <w:lang w:eastAsia="zh-Hans"/>
        </w:rPr>
        <w:t xml:space="preserve">账  号：                            </w:t>
      </w:r>
      <w:r>
        <w:rPr>
          <w:rFonts w:hint="eastAsia" w:ascii="仿宋_GB2312" w:hAnsi="宋体" w:eastAsia="仿宋_GB2312"/>
          <w:snapToGrid w:val="0"/>
          <w:kern w:val="0"/>
          <w:sz w:val="24"/>
          <w:szCs w:val="24"/>
          <w:highlight w:val="none"/>
          <w:lang w:eastAsia="zh-Hans"/>
        </w:rPr>
        <w:t xml:space="preserve">        </w:t>
      </w:r>
      <w:r>
        <w:rPr>
          <w:rFonts w:hint="eastAsia" w:ascii="仿宋_GB2312" w:hAnsi="宋体" w:eastAsia="仿宋_GB2312"/>
          <w:snapToGrid w:val="0"/>
          <w:color w:val="000000"/>
          <w:kern w:val="0"/>
          <w:sz w:val="24"/>
          <w:szCs w:val="24"/>
          <w:highlight w:val="none"/>
          <w:lang w:eastAsia="zh-Hans"/>
        </w:rPr>
        <w:t xml:space="preserve"> 账 号： </w:t>
      </w:r>
    </w:p>
    <w:p w14:paraId="33099A36">
      <w:pPr>
        <w:spacing w:line="360" w:lineRule="auto"/>
        <w:rPr>
          <w:rFonts w:ascii="仿宋_GB2312" w:eastAsia="仿宋_GB2312"/>
          <w:sz w:val="24"/>
          <w:szCs w:val="24"/>
          <w:highlight w:val="none"/>
        </w:rPr>
      </w:pPr>
    </w:p>
    <w:p w14:paraId="4C0F74ED">
      <w:pPr>
        <w:pStyle w:val="4"/>
        <w:tabs>
          <w:tab w:val="right" w:leader="dot" w:pos="9061"/>
        </w:tabs>
        <w:ind w:left="0"/>
        <w:jc w:val="both"/>
        <w:rPr>
          <w:rFonts w:ascii="黑体" w:hAnsi="黑体" w:eastAsia="黑体" w:cstheme="minorEastAsia"/>
          <w:b w:val="0"/>
          <w:sz w:val="28"/>
          <w:szCs w:val="28"/>
          <w:highlight w:val="none"/>
        </w:rPr>
      </w:pPr>
      <w:r>
        <w:rPr>
          <w:rFonts w:hint="eastAsia" w:ascii="黑体" w:hAnsi="黑体" w:eastAsia="黑体" w:cstheme="minorEastAsia"/>
          <w:b w:val="0"/>
          <w:sz w:val="28"/>
          <w:szCs w:val="28"/>
          <w:highlight w:val="none"/>
        </w:rPr>
        <w:t>附件一：设备清单明细表</w:t>
      </w:r>
    </w:p>
    <w:p w14:paraId="13968EA6">
      <w:pPr>
        <w:rPr>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19C25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7A60F8CD">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序号</w:t>
            </w:r>
          </w:p>
        </w:tc>
        <w:tc>
          <w:tcPr>
            <w:tcW w:w="1541" w:type="dxa"/>
            <w:vAlign w:val="center"/>
          </w:tcPr>
          <w:p w14:paraId="03E5F776">
            <w:pPr>
              <w:pStyle w:val="26"/>
              <w:spacing w:line="360" w:lineRule="auto"/>
              <w:ind w:left="480" w:hanging="480"/>
              <w:jc w:val="left"/>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产品及部件名称</w:t>
            </w:r>
          </w:p>
        </w:tc>
        <w:tc>
          <w:tcPr>
            <w:tcW w:w="2126" w:type="dxa"/>
            <w:vAlign w:val="center"/>
          </w:tcPr>
          <w:p w14:paraId="28CFF6FC">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规格型号及</w:t>
            </w:r>
          </w:p>
          <w:p w14:paraId="45449FB3">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技术参数</w:t>
            </w:r>
          </w:p>
        </w:tc>
        <w:tc>
          <w:tcPr>
            <w:tcW w:w="748" w:type="dxa"/>
            <w:vAlign w:val="center"/>
          </w:tcPr>
          <w:p w14:paraId="6D6120F2">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单位</w:t>
            </w:r>
          </w:p>
        </w:tc>
        <w:tc>
          <w:tcPr>
            <w:tcW w:w="812" w:type="dxa"/>
            <w:vAlign w:val="center"/>
          </w:tcPr>
          <w:p w14:paraId="7AC15182">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数量</w:t>
            </w:r>
          </w:p>
        </w:tc>
        <w:tc>
          <w:tcPr>
            <w:tcW w:w="708" w:type="dxa"/>
            <w:vAlign w:val="center"/>
          </w:tcPr>
          <w:p w14:paraId="733706E5">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单价</w:t>
            </w:r>
          </w:p>
        </w:tc>
        <w:tc>
          <w:tcPr>
            <w:tcW w:w="708" w:type="dxa"/>
            <w:vAlign w:val="center"/>
          </w:tcPr>
          <w:p w14:paraId="4B46955B">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总价</w:t>
            </w:r>
          </w:p>
        </w:tc>
        <w:tc>
          <w:tcPr>
            <w:tcW w:w="708" w:type="dxa"/>
            <w:vAlign w:val="center"/>
          </w:tcPr>
          <w:p w14:paraId="651722DE">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品牌</w:t>
            </w:r>
          </w:p>
        </w:tc>
      </w:tr>
      <w:tr w14:paraId="73550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F292348">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1</w:t>
            </w:r>
          </w:p>
        </w:tc>
        <w:tc>
          <w:tcPr>
            <w:tcW w:w="1541" w:type="dxa"/>
            <w:vAlign w:val="center"/>
          </w:tcPr>
          <w:p w14:paraId="63317DBD">
            <w:pPr>
              <w:pStyle w:val="26"/>
              <w:spacing w:line="360" w:lineRule="auto"/>
              <w:ind w:left="480" w:hanging="480"/>
              <w:jc w:val="center"/>
              <w:rPr>
                <w:rFonts w:ascii="仿宋_GB2312" w:eastAsia="仿宋_GB2312" w:hAnsiTheme="minorEastAsia" w:cstheme="minorEastAsia"/>
                <w:sz w:val="24"/>
                <w:szCs w:val="24"/>
                <w:highlight w:val="none"/>
              </w:rPr>
            </w:pPr>
          </w:p>
        </w:tc>
        <w:tc>
          <w:tcPr>
            <w:tcW w:w="2126" w:type="dxa"/>
            <w:vAlign w:val="center"/>
          </w:tcPr>
          <w:p w14:paraId="655FEED6">
            <w:pPr>
              <w:pStyle w:val="26"/>
              <w:spacing w:line="360" w:lineRule="auto"/>
              <w:ind w:left="480" w:hanging="480"/>
              <w:jc w:val="center"/>
              <w:rPr>
                <w:rFonts w:ascii="仿宋_GB2312" w:eastAsia="仿宋_GB2312" w:hAnsiTheme="minorEastAsia" w:cstheme="minorEastAsia"/>
                <w:sz w:val="24"/>
                <w:szCs w:val="24"/>
                <w:highlight w:val="none"/>
              </w:rPr>
            </w:pPr>
          </w:p>
        </w:tc>
        <w:tc>
          <w:tcPr>
            <w:tcW w:w="748" w:type="dxa"/>
            <w:vAlign w:val="center"/>
          </w:tcPr>
          <w:p w14:paraId="777A819C">
            <w:pPr>
              <w:pStyle w:val="26"/>
              <w:spacing w:line="360" w:lineRule="auto"/>
              <w:ind w:left="480" w:hanging="480"/>
              <w:jc w:val="center"/>
              <w:rPr>
                <w:rFonts w:ascii="仿宋_GB2312" w:eastAsia="仿宋_GB2312" w:hAnsiTheme="minorEastAsia" w:cstheme="minorEastAsia"/>
                <w:sz w:val="24"/>
                <w:szCs w:val="24"/>
                <w:highlight w:val="none"/>
              </w:rPr>
            </w:pPr>
          </w:p>
        </w:tc>
        <w:tc>
          <w:tcPr>
            <w:tcW w:w="812" w:type="dxa"/>
            <w:vAlign w:val="center"/>
          </w:tcPr>
          <w:p w14:paraId="42181659">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08FFA29C">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173C100E">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3C1C2340">
            <w:pPr>
              <w:pStyle w:val="26"/>
              <w:spacing w:line="360" w:lineRule="auto"/>
              <w:ind w:left="480" w:hanging="480"/>
              <w:jc w:val="center"/>
              <w:rPr>
                <w:rFonts w:ascii="仿宋_GB2312" w:eastAsia="仿宋_GB2312" w:hAnsiTheme="minorEastAsia" w:cstheme="minorEastAsia"/>
                <w:sz w:val="24"/>
                <w:szCs w:val="24"/>
                <w:highlight w:val="none"/>
              </w:rPr>
            </w:pPr>
          </w:p>
        </w:tc>
      </w:tr>
      <w:tr w14:paraId="605C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95DBEF5">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2</w:t>
            </w:r>
          </w:p>
        </w:tc>
        <w:tc>
          <w:tcPr>
            <w:tcW w:w="1541" w:type="dxa"/>
            <w:vAlign w:val="center"/>
          </w:tcPr>
          <w:p w14:paraId="35FFBB8F">
            <w:pPr>
              <w:pStyle w:val="26"/>
              <w:spacing w:line="360" w:lineRule="auto"/>
              <w:ind w:left="480" w:hanging="480"/>
              <w:jc w:val="center"/>
              <w:rPr>
                <w:rFonts w:ascii="仿宋_GB2312" w:eastAsia="仿宋_GB2312" w:hAnsiTheme="minorEastAsia" w:cstheme="minorEastAsia"/>
                <w:sz w:val="24"/>
                <w:szCs w:val="24"/>
                <w:highlight w:val="none"/>
              </w:rPr>
            </w:pPr>
          </w:p>
        </w:tc>
        <w:tc>
          <w:tcPr>
            <w:tcW w:w="2126" w:type="dxa"/>
            <w:vAlign w:val="center"/>
          </w:tcPr>
          <w:p w14:paraId="0886F57C">
            <w:pPr>
              <w:pStyle w:val="26"/>
              <w:spacing w:line="360" w:lineRule="auto"/>
              <w:ind w:left="480" w:hanging="480"/>
              <w:jc w:val="center"/>
              <w:rPr>
                <w:rFonts w:ascii="仿宋_GB2312" w:eastAsia="仿宋_GB2312" w:hAnsiTheme="minorEastAsia" w:cstheme="minorEastAsia"/>
                <w:sz w:val="24"/>
                <w:szCs w:val="24"/>
                <w:highlight w:val="none"/>
              </w:rPr>
            </w:pPr>
          </w:p>
        </w:tc>
        <w:tc>
          <w:tcPr>
            <w:tcW w:w="748" w:type="dxa"/>
            <w:vAlign w:val="center"/>
          </w:tcPr>
          <w:p w14:paraId="48C2F59B">
            <w:pPr>
              <w:pStyle w:val="26"/>
              <w:spacing w:line="360" w:lineRule="auto"/>
              <w:ind w:left="480" w:hanging="480"/>
              <w:jc w:val="center"/>
              <w:rPr>
                <w:rFonts w:ascii="仿宋_GB2312" w:eastAsia="仿宋_GB2312" w:hAnsiTheme="minorEastAsia" w:cstheme="minorEastAsia"/>
                <w:sz w:val="24"/>
                <w:szCs w:val="24"/>
                <w:highlight w:val="none"/>
              </w:rPr>
            </w:pPr>
          </w:p>
        </w:tc>
        <w:tc>
          <w:tcPr>
            <w:tcW w:w="812" w:type="dxa"/>
            <w:vAlign w:val="center"/>
          </w:tcPr>
          <w:p w14:paraId="75C20D4F">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6D6124F1">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384CA419">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228A30DF">
            <w:pPr>
              <w:pStyle w:val="26"/>
              <w:spacing w:line="360" w:lineRule="auto"/>
              <w:ind w:left="480" w:hanging="480"/>
              <w:jc w:val="center"/>
              <w:rPr>
                <w:rFonts w:ascii="仿宋_GB2312" w:eastAsia="仿宋_GB2312" w:hAnsiTheme="minorEastAsia" w:cstheme="minorEastAsia"/>
                <w:sz w:val="24"/>
                <w:szCs w:val="24"/>
                <w:highlight w:val="none"/>
              </w:rPr>
            </w:pPr>
          </w:p>
        </w:tc>
      </w:tr>
      <w:tr w14:paraId="54D79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23A9007">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w:t>
            </w:r>
          </w:p>
        </w:tc>
        <w:tc>
          <w:tcPr>
            <w:tcW w:w="1541" w:type="dxa"/>
            <w:vAlign w:val="center"/>
          </w:tcPr>
          <w:p w14:paraId="03BA805F">
            <w:pPr>
              <w:pStyle w:val="26"/>
              <w:spacing w:line="360" w:lineRule="auto"/>
              <w:ind w:left="480" w:hanging="480"/>
              <w:jc w:val="center"/>
              <w:rPr>
                <w:rFonts w:ascii="仿宋_GB2312" w:eastAsia="仿宋_GB2312" w:hAnsiTheme="minorEastAsia" w:cstheme="minorEastAsia"/>
                <w:sz w:val="24"/>
                <w:szCs w:val="24"/>
                <w:highlight w:val="none"/>
              </w:rPr>
            </w:pPr>
          </w:p>
        </w:tc>
        <w:tc>
          <w:tcPr>
            <w:tcW w:w="2126" w:type="dxa"/>
            <w:vAlign w:val="center"/>
          </w:tcPr>
          <w:p w14:paraId="309FD2C2">
            <w:pPr>
              <w:pStyle w:val="26"/>
              <w:spacing w:line="360" w:lineRule="auto"/>
              <w:ind w:left="480" w:hanging="480"/>
              <w:jc w:val="center"/>
              <w:rPr>
                <w:rFonts w:ascii="仿宋_GB2312" w:eastAsia="仿宋_GB2312" w:hAnsiTheme="minorEastAsia" w:cstheme="minorEastAsia"/>
                <w:sz w:val="24"/>
                <w:szCs w:val="24"/>
                <w:highlight w:val="none"/>
              </w:rPr>
            </w:pPr>
          </w:p>
        </w:tc>
        <w:tc>
          <w:tcPr>
            <w:tcW w:w="748" w:type="dxa"/>
            <w:vAlign w:val="center"/>
          </w:tcPr>
          <w:p w14:paraId="0210F75D">
            <w:pPr>
              <w:pStyle w:val="26"/>
              <w:spacing w:line="360" w:lineRule="auto"/>
              <w:ind w:left="480" w:hanging="480"/>
              <w:jc w:val="center"/>
              <w:rPr>
                <w:rFonts w:ascii="仿宋_GB2312" w:eastAsia="仿宋_GB2312" w:hAnsiTheme="minorEastAsia" w:cstheme="minorEastAsia"/>
                <w:sz w:val="24"/>
                <w:szCs w:val="24"/>
                <w:highlight w:val="none"/>
              </w:rPr>
            </w:pPr>
          </w:p>
        </w:tc>
        <w:tc>
          <w:tcPr>
            <w:tcW w:w="812" w:type="dxa"/>
            <w:vAlign w:val="center"/>
          </w:tcPr>
          <w:p w14:paraId="742A3E10">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17F25FBD">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674358AA">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0533B843">
            <w:pPr>
              <w:pStyle w:val="26"/>
              <w:spacing w:line="360" w:lineRule="auto"/>
              <w:ind w:left="480" w:hanging="480"/>
              <w:jc w:val="center"/>
              <w:rPr>
                <w:rFonts w:ascii="仿宋_GB2312" w:eastAsia="仿宋_GB2312" w:hAnsiTheme="minorEastAsia" w:cstheme="minorEastAsia"/>
                <w:sz w:val="24"/>
                <w:szCs w:val="24"/>
                <w:highlight w:val="none"/>
              </w:rPr>
            </w:pPr>
          </w:p>
        </w:tc>
      </w:tr>
      <w:tr w14:paraId="46371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10B0EFD">
            <w:pPr>
              <w:pStyle w:val="26"/>
              <w:spacing w:line="360" w:lineRule="auto"/>
              <w:ind w:left="480" w:hanging="480"/>
              <w:jc w:val="center"/>
              <w:rPr>
                <w:rFonts w:ascii="仿宋_GB2312" w:eastAsia="仿宋_GB2312" w:hAnsiTheme="minorEastAsia" w:cstheme="minorEastAsia"/>
                <w:sz w:val="24"/>
                <w:szCs w:val="24"/>
                <w:highlight w:val="none"/>
              </w:rPr>
            </w:pPr>
            <w:r>
              <w:rPr>
                <w:rFonts w:hint="eastAsia" w:ascii="仿宋_GB2312" w:eastAsia="仿宋_GB2312" w:hAnsiTheme="minorEastAsia" w:cstheme="minorEastAsia"/>
                <w:sz w:val="24"/>
                <w:szCs w:val="24"/>
                <w:highlight w:val="none"/>
              </w:rPr>
              <w:t>合计</w:t>
            </w:r>
          </w:p>
        </w:tc>
        <w:tc>
          <w:tcPr>
            <w:tcW w:w="1541" w:type="dxa"/>
            <w:vAlign w:val="center"/>
          </w:tcPr>
          <w:p w14:paraId="277E99E0">
            <w:pPr>
              <w:pStyle w:val="26"/>
              <w:spacing w:line="360" w:lineRule="auto"/>
              <w:ind w:left="480" w:hanging="480"/>
              <w:jc w:val="center"/>
              <w:rPr>
                <w:rFonts w:ascii="仿宋_GB2312" w:eastAsia="仿宋_GB2312" w:hAnsiTheme="minorEastAsia" w:cstheme="minorEastAsia"/>
                <w:sz w:val="24"/>
                <w:szCs w:val="24"/>
                <w:highlight w:val="none"/>
              </w:rPr>
            </w:pPr>
          </w:p>
        </w:tc>
        <w:tc>
          <w:tcPr>
            <w:tcW w:w="2126" w:type="dxa"/>
            <w:vAlign w:val="center"/>
          </w:tcPr>
          <w:p w14:paraId="3A570738">
            <w:pPr>
              <w:pStyle w:val="26"/>
              <w:spacing w:line="360" w:lineRule="auto"/>
              <w:ind w:left="480" w:hanging="480"/>
              <w:jc w:val="center"/>
              <w:rPr>
                <w:rFonts w:ascii="仿宋_GB2312" w:eastAsia="仿宋_GB2312" w:hAnsiTheme="minorEastAsia" w:cstheme="minorEastAsia"/>
                <w:sz w:val="24"/>
                <w:szCs w:val="24"/>
                <w:highlight w:val="none"/>
              </w:rPr>
            </w:pPr>
          </w:p>
        </w:tc>
        <w:tc>
          <w:tcPr>
            <w:tcW w:w="748" w:type="dxa"/>
            <w:vAlign w:val="center"/>
          </w:tcPr>
          <w:p w14:paraId="31F646B2">
            <w:pPr>
              <w:pStyle w:val="26"/>
              <w:spacing w:line="360" w:lineRule="auto"/>
              <w:ind w:left="480" w:hanging="480"/>
              <w:jc w:val="center"/>
              <w:rPr>
                <w:rFonts w:ascii="仿宋_GB2312" w:eastAsia="仿宋_GB2312" w:hAnsiTheme="minorEastAsia" w:cstheme="minorEastAsia"/>
                <w:sz w:val="24"/>
                <w:szCs w:val="24"/>
                <w:highlight w:val="none"/>
              </w:rPr>
            </w:pPr>
          </w:p>
        </w:tc>
        <w:tc>
          <w:tcPr>
            <w:tcW w:w="812" w:type="dxa"/>
            <w:vAlign w:val="center"/>
          </w:tcPr>
          <w:p w14:paraId="3C884A72">
            <w:pPr>
              <w:pStyle w:val="26"/>
              <w:spacing w:line="360" w:lineRule="auto"/>
              <w:ind w:left="480" w:hanging="480"/>
              <w:jc w:val="center"/>
              <w:rPr>
                <w:rFonts w:ascii="仿宋_GB2312" w:eastAsia="仿宋_GB2312" w:hAnsiTheme="minorEastAsia" w:cstheme="minorEastAsia"/>
                <w:sz w:val="24"/>
                <w:szCs w:val="24"/>
                <w:highlight w:val="none"/>
              </w:rPr>
            </w:pPr>
          </w:p>
        </w:tc>
        <w:tc>
          <w:tcPr>
            <w:tcW w:w="708" w:type="dxa"/>
            <w:vAlign w:val="center"/>
          </w:tcPr>
          <w:p w14:paraId="2D87C48C">
            <w:pPr>
              <w:spacing w:line="360" w:lineRule="auto"/>
              <w:jc w:val="center"/>
              <w:rPr>
                <w:rFonts w:ascii="仿宋_GB2312" w:eastAsia="仿宋_GB2312" w:hAnsiTheme="minorEastAsia" w:cstheme="minorEastAsia"/>
                <w:sz w:val="24"/>
                <w:szCs w:val="24"/>
                <w:highlight w:val="none"/>
              </w:rPr>
            </w:pPr>
          </w:p>
        </w:tc>
        <w:tc>
          <w:tcPr>
            <w:tcW w:w="708" w:type="dxa"/>
            <w:vAlign w:val="center"/>
          </w:tcPr>
          <w:p w14:paraId="16429E43">
            <w:pPr>
              <w:spacing w:line="360" w:lineRule="auto"/>
              <w:jc w:val="center"/>
              <w:rPr>
                <w:rFonts w:ascii="仿宋_GB2312" w:eastAsia="仿宋_GB2312" w:hAnsiTheme="minorEastAsia" w:cstheme="minorEastAsia"/>
                <w:sz w:val="24"/>
                <w:szCs w:val="24"/>
                <w:highlight w:val="none"/>
              </w:rPr>
            </w:pPr>
          </w:p>
        </w:tc>
        <w:tc>
          <w:tcPr>
            <w:tcW w:w="708" w:type="dxa"/>
            <w:vAlign w:val="center"/>
          </w:tcPr>
          <w:p w14:paraId="69C567C1">
            <w:pPr>
              <w:spacing w:line="360" w:lineRule="auto"/>
              <w:jc w:val="center"/>
              <w:rPr>
                <w:rFonts w:ascii="仿宋_GB2312" w:eastAsia="仿宋_GB2312" w:hAnsiTheme="minorEastAsia" w:cstheme="minorEastAsia"/>
                <w:sz w:val="24"/>
                <w:szCs w:val="24"/>
                <w:highlight w:val="none"/>
              </w:rPr>
            </w:pPr>
          </w:p>
        </w:tc>
      </w:tr>
    </w:tbl>
    <w:p w14:paraId="2A1EDB86">
      <w:pPr>
        <w:rPr>
          <w:rFonts w:asciiTheme="minorEastAsia" w:hAnsiTheme="minorEastAsia" w:eastAsiaTheme="minorEastAsia" w:cstheme="minorEastAsia"/>
          <w:sz w:val="20"/>
          <w:szCs w:val="20"/>
          <w:highlight w:val="none"/>
        </w:rPr>
      </w:pPr>
      <w:bookmarkStart w:id="172" w:name="_Toc5379"/>
      <w:bookmarkStart w:id="173" w:name="_Toc16330037"/>
      <w:bookmarkStart w:id="174" w:name="_Toc25120"/>
      <w:bookmarkStart w:id="175" w:name="_Toc24623"/>
      <w:bookmarkStart w:id="176" w:name="_Toc3778"/>
      <w:r>
        <w:rPr>
          <w:rFonts w:hint="eastAsia" w:asciiTheme="minorEastAsia" w:hAnsiTheme="minorEastAsia" w:eastAsiaTheme="minorEastAsia" w:cstheme="minorEastAsia"/>
          <w:sz w:val="20"/>
          <w:szCs w:val="20"/>
          <w:highlight w:val="none"/>
        </w:rPr>
        <w:br w:type="page"/>
      </w:r>
    </w:p>
    <w:p w14:paraId="14C29F85">
      <w:pPr>
        <w:pStyle w:val="4"/>
        <w:tabs>
          <w:tab w:val="right" w:leader="dot" w:pos="9061"/>
        </w:tabs>
        <w:ind w:left="0"/>
        <w:jc w:val="both"/>
        <w:rPr>
          <w:rFonts w:ascii="黑体" w:hAnsi="黑体" w:eastAsia="黑体" w:cstheme="minorEastAsia"/>
          <w:b w:val="0"/>
          <w:bCs/>
          <w:i/>
          <w:iCs w:val="0"/>
          <w:sz w:val="28"/>
          <w:szCs w:val="28"/>
          <w:highlight w:val="none"/>
        </w:rPr>
      </w:pPr>
      <w:r>
        <w:rPr>
          <w:rFonts w:hint="eastAsia" w:ascii="黑体" w:hAnsi="黑体" w:eastAsia="黑体" w:cstheme="minorEastAsia"/>
          <w:b w:val="0"/>
          <w:sz w:val="28"/>
          <w:szCs w:val="28"/>
          <w:highlight w:val="none"/>
        </w:rPr>
        <w:t xml:space="preserve">附件二 </w:t>
      </w:r>
      <w:bookmarkEnd w:id="172"/>
      <w:bookmarkEnd w:id="173"/>
      <w:bookmarkEnd w:id="174"/>
      <w:bookmarkEnd w:id="175"/>
      <w:bookmarkEnd w:id="176"/>
      <w:r>
        <w:rPr>
          <w:rFonts w:hint="eastAsia" w:ascii="黑体" w:hAnsi="黑体" w:eastAsia="黑体" w:cstheme="minorEastAsia"/>
          <w:b w:val="0"/>
          <w:sz w:val="28"/>
          <w:szCs w:val="28"/>
          <w:highlight w:val="none"/>
        </w:rPr>
        <w:t>技术协议书</w:t>
      </w:r>
    </w:p>
    <w:p w14:paraId="326A743C">
      <w:pPr>
        <w:ind w:right="360"/>
        <w:rPr>
          <w:rFonts w:asciiTheme="minorEastAsia" w:hAnsiTheme="minorEastAsia" w:eastAsiaTheme="minorEastAsia" w:cstheme="minorEastAsia"/>
          <w:sz w:val="20"/>
          <w:szCs w:val="20"/>
          <w:highlight w:val="none"/>
        </w:rPr>
      </w:pPr>
    </w:p>
    <w:p w14:paraId="154A6CB0">
      <w:pPr>
        <w:jc w:val="right"/>
        <w:rPr>
          <w:rFonts w:asciiTheme="minorEastAsia" w:hAnsiTheme="minorEastAsia" w:eastAsiaTheme="minorEastAsia" w:cstheme="minorEastAsia"/>
          <w:sz w:val="20"/>
          <w:szCs w:val="20"/>
          <w:highlight w:val="none"/>
        </w:rPr>
      </w:pPr>
    </w:p>
    <w:p w14:paraId="46809DBF">
      <w:pPr>
        <w:jc w:val="right"/>
        <w:rPr>
          <w:rFonts w:asciiTheme="minorEastAsia" w:hAnsiTheme="minorEastAsia" w:eastAsiaTheme="minorEastAsia" w:cstheme="minorEastAsia"/>
          <w:sz w:val="20"/>
          <w:szCs w:val="20"/>
          <w:highlight w:val="none"/>
        </w:rPr>
      </w:pPr>
    </w:p>
    <w:p w14:paraId="7842548E">
      <w:pPr>
        <w:jc w:val="right"/>
        <w:rPr>
          <w:rFonts w:asciiTheme="minorEastAsia" w:hAnsiTheme="minorEastAsia" w:eastAsiaTheme="minorEastAsia" w:cstheme="minorEastAsia"/>
          <w:sz w:val="20"/>
          <w:szCs w:val="20"/>
          <w:highlight w:val="none"/>
        </w:rPr>
      </w:pPr>
      <w:r>
        <w:rPr>
          <w:rFonts w:hint="eastAsia" w:asciiTheme="minorEastAsia" w:hAnsiTheme="minorEastAsia" w:eastAsiaTheme="minorEastAsia" w:cstheme="minorEastAsia"/>
          <w:sz w:val="20"/>
          <w:szCs w:val="20"/>
          <w:highlight w:val="none"/>
        </w:rPr>
        <w:t xml:space="preserve">                                      </w:t>
      </w:r>
    </w:p>
    <w:p w14:paraId="68058E4B">
      <w:pPr>
        <w:jc w:val="right"/>
        <w:rPr>
          <w:rFonts w:asciiTheme="minorEastAsia" w:hAnsiTheme="minorEastAsia" w:eastAsiaTheme="minorEastAsia" w:cstheme="minorEastAsia"/>
          <w:sz w:val="20"/>
          <w:szCs w:val="20"/>
          <w:highlight w:val="none"/>
        </w:rPr>
      </w:pPr>
    </w:p>
    <w:p w14:paraId="4C01E22C">
      <w:pPr>
        <w:wordWrap w:val="0"/>
        <w:ind w:right="480"/>
        <w:rPr>
          <w:rFonts w:asciiTheme="minorEastAsia" w:hAnsiTheme="minorEastAsia" w:eastAsiaTheme="minorEastAsia" w:cstheme="minorEastAsia"/>
          <w:sz w:val="20"/>
          <w:szCs w:val="20"/>
          <w:highlight w:val="none"/>
        </w:rPr>
      </w:pPr>
    </w:p>
    <w:p w14:paraId="21DBED7C">
      <w:pPr>
        <w:jc w:val="right"/>
        <w:rPr>
          <w:rFonts w:ascii="楷体_GB2312" w:hAnsi="宋体" w:eastAsia="楷体_GB2312"/>
          <w:sz w:val="24"/>
          <w:highlight w:val="none"/>
        </w:rPr>
      </w:pPr>
      <w:bookmarkStart w:id="177" w:name="_Toc14341849"/>
    </w:p>
    <w:p w14:paraId="585DC831">
      <w:pPr>
        <w:ind w:right="480"/>
        <w:jc w:val="center"/>
        <w:rPr>
          <w:sz w:val="24"/>
          <w:szCs w:val="24"/>
          <w:highlight w:val="none"/>
        </w:rPr>
      </w:pPr>
      <w:r>
        <w:rPr>
          <w:rFonts w:hint="eastAsia" w:ascii="楷体_GB2312" w:hAnsi="宋体" w:eastAsia="楷体_GB2312"/>
          <w:sz w:val="24"/>
          <w:highlight w:val="none"/>
        </w:rPr>
        <w:t xml:space="preserve">                                    </w:t>
      </w:r>
    </w:p>
    <w:bookmarkEnd w:id="177"/>
    <w:p w14:paraId="52ADCCE2">
      <w:pPr>
        <w:rPr>
          <w:rFonts w:hint="eastAsia" w:ascii="方正小标宋简体" w:hAnsi="方正小标宋简体" w:eastAsia="方正小标宋简体" w:cs="方正小标宋简体"/>
          <w:sz w:val="40"/>
          <w:szCs w:val="21"/>
          <w:highlight w:val="none"/>
        </w:rPr>
      </w:pPr>
      <w:r>
        <w:rPr>
          <w:rFonts w:hint="eastAsia" w:ascii="方正小标宋简体" w:hAnsi="方正小标宋简体" w:eastAsia="方正小标宋简体" w:cs="方正小标宋简体"/>
          <w:sz w:val="40"/>
          <w:szCs w:val="21"/>
          <w:highlight w:val="none"/>
        </w:rPr>
        <w:br w:type="page"/>
      </w:r>
    </w:p>
    <w:p w14:paraId="3D850A56">
      <w:pPr>
        <w:spacing w:before="118"/>
        <w:ind w:left="0" w:right="30" w:rightChars="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p>
    <w:p w14:paraId="49718798">
      <w:pPr>
        <w:pStyle w:val="13"/>
        <w:spacing w:before="8"/>
        <w:ind w:left="0" w:firstLine="0"/>
        <w:rPr>
          <w:rFonts w:ascii="楷体" w:hAnsi="楷体" w:eastAsia="楷体" w:cs="楷体"/>
          <w:sz w:val="44"/>
          <w:szCs w:val="28"/>
          <w:highlight w:val="none"/>
        </w:rPr>
      </w:pPr>
    </w:p>
    <w:p w14:paraId="7B57F5DF">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5B679E26">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乙方：</w:t>
      </w:r>
    </w:p>
    <w:p w14:paraId="1F71712B">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乙方是甲方或甲方全资、控股、参股企业的供应商、</w:t>
      </w:r>
      <w:r>
        <w:rPr>
          <w:rFonts w:hint="eastAsia" w:ascii="楷体" w:hAnsi="楷体" w:eastAsia="楷体" w:cs="楷体"/>
          <w:spacing w:val="-2"/>
          <w:sz w:val="28"/>
          <w:szCs w:val="28"/>
          <w:highlight w:val="none"/>
          <w:lang w:val="en-US"/>
        </w:rPr>
        <w:t>服务商或采购商、经销商</w:t>
      </w:r>
      <w:r>
        <w:rPr>
          <w:rFonts w:hint="eastAsia" w:ascii="楷体" w:hAnsi="楷体" w:eastAsia="楷体" w:cs="楷体"/>
          <w:spacing w:val="-2"/>
          <w:sz w:val="28"/>
          <w:szCs w:val="28"/>
          <w:highlight w:val="none"/>
        </w:rPr>
        <w:t>，甲方作为采购方</w:t>
      </w:r>
      <w:r>
        <w:rPr>
          <w:rFonts w:hint="eastAsia" w:ascii="楷体" w:hAnsi="楷体" w:eastAsia="楷体" w:cs="楷体"/>
          <w:spacing w:val="-2"/>
          <w:sz w:val="28"/>
          <w:szCs w:val="28"/>
          <w:highlight w:val="none"/>
          <w:lang w:val="en-US"/>
        </w:rPr>
        <w:t>或销售方</w:t>
      </w:r>
      <w:r>
        <w:rPr>
          <w:rFonts w:hint="eastAsia" w:ascii="楷体" w:hAnsi="楷体" w:eastAsia="楷体" w:cs="楷体"/>
          <w:spacing w:val="-2"/>
          <w:sz w:val="28"/>
          <w:szCs w:val="28"/>
          <w:highlight w:val="none"/>
        </w:rPr>
        <w:t>（包含甲方及其关联</w:t>
      </w:r>
      <w:r>
        <w:rPr>
          <w:rFonts w:hint="eastAsia" w:ascii="楷体" w:hAnsi="楷体" w:eastAsia="楷体" w:cs="楷体"/>
          <w:spacing w:val="-2"/>
          <w:sz w:val="28"/>
          <w:szCs w:val="28"/>
          <w:highlight w:val="none"/>
          <w:lang w:val="en-US"/>
        </w:rPr>
        <w:t>企业</w:t>
      </w:r>
      <w:r>
        <w:rPr>
          <w:rFonts w:hint="eastAsia" w:ascii="楷体" w:hAnsi="楷体" w:eastAsia="楷体" w:cs="楷体"/>
          <w:spacing w:val="-2"/>
          <w:sz w:val="28"/>
          <w:szCs w:val="28"/>
          <w:highlight w:val="none"/>
        </w:rPr>
        <w:t>，以下统称甲方），为保证双方长期稳定合作和健康发展，保证各</w:t>
      </w:r>
      <w:r>
        <w:rPr>
          <w:rFonts w:hint="eastAsia" w:ascii="楷体" w:hAnsi="楷体" w:eastAsia="楷体" w:cs="楷体"/>
          <w:spacing w:val="-2"/>
          <w:sz w:val="28"/>
          <w:szCs w:val="28"/>
          <w:highlight w:val="none"/>
          <w:lang w:val="en-US"/>
        </w:rPr>
        <w:t>合作主体</w:t>
      </w:r>
      <w:r>
        <w:rPr>
          <w:rFonts w:hint="eastAsia" w:ascii="楷体" w:hAnsi="楷体" w:eastAsia="楷体" w:cs="楷体"/>
          <w:spacing w:val="-2"/>
          <w:sz w:val="28"/>
          <w:szCs w:val="28"/>
          <w:highlight w:val="none"/>
        </w:rPr>
        <w:t>之间公平、公正、公开的良性竞争，共同抵制商业贿赂等一切不正当行为，营造诚实信用的商业氛围，积极维护双方信誉</w:t>
      </w:r>
      <w:r>
        <w:rPr>
          <w:rFonts w:ascii="楷体" w:hAnsi="楷体" w:eastAsia="楷体" w:cs="楷体"/>
          <w:spacing w:val="-2"/>
          <w:sz w:val="28"/>
          <w:szCs w:val="28"/>
          <w:highlight w:val="none"/>
        </w:rPr>
        <w:t>,共同加强廉洁自律建设，甲乙双方在平等、自愿、协商一致的原则下，签订本协议。</w:t>
      </w:r>
    </w:p>
    <w:p w14:paraId="771E6B3A">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5D71F481">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2.乙方声明并承诺甲方人员或其</w:t>
      </w:r>
      <w:r>
        <w:rPr>
          <w:rFonts w:hint="eastAsia" w:ascii="楷体" w:hAnsi="楷体" w:eastAsia="楷体" w:cs="楷体"/>
          <w:spacing w:val="-2"/>
          <w:sz w:val="28"/>
          <w:szCs w:val="28"/>
          <w:highlight w:val="none"/>
          <w:lang w:val="en-US"/>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lang w:val="en-US"/>
        </w:rPr>
        <w:t>和其他特定关系人（甲方人员为领导干部的，其他特定关系人包含身边工作人员）</w:t>
      </w:r>
      <w:r>
        <w:rPr>
          <w:rFonts w:ascii="楷体" w:hAnsi="楷体" w:eastAsia="楷体" w:cs="楷体"/>
          <w:spacing w:val="-2"/>
          <w:sz w:val="28"/>
          <w:szCs w:val="28"/>
          <w:highlight w:val="none"/>
        </w:rPr>
        <w:t>没有直接或间接投资乙方或持有乙方股权，没有直接或间接投资乙方关联企业或持有乙方关联企业股权。</w:t>
      </w:r>
    </w:p>
    <w:p w14:paraId="4B6220FC">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3.乙方承诺乙方或乙方关联企业股东、实际出资人或持股人、高管、主要业务人员不得与甲方人员或其</w:t>
      </w:r>
      <w:r>
        <w:rPr>
          <w:rFonts w:hint="eastAsia" w:ascii="楷体" w:hAnsi="楷体" w:eastAsia="楷体" w:cs="楷体"/>
          <w:spacing w:val="-2"/>
          <w:sz w:val="28"/>
          <w:szCs w:val="28"/>
          <w:highlight w:val="none"/>
          <w:lang w:val="en-US"/>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lang w:val="en-US"/>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lang w:val="en-US"/>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lang w:val="en-US"/>
        </w:rPr>
        <w:t>和其他特定关系人</w:t>
      </w:r>
      <w:r>
        <w:rPr>
          <w:rFonts w:ascii="楷体" w:hAnsi="楷体" w:eastAsia="楷体" w:cs="楷体"/>
          <w:spacing w:val="-2"/>
          <w:sz w:val="28"/>
          <w:szCs w:val="28"/>
          <w:highlight w:val="none"/>
        </w:rPr>
        <w:t>在乙方或乙方关联企业股东或实际出资人或高管或主要业务人员成立的企业中担任高管或为其</w:t>
      </w:r>
      <w:r>
        <w:rPr>
          <w:rFonts w:hint="eastAsia" w:ascii="楷体" w:hAnsi="楷体" w:eastAsia="楷体" w:cs="楷体"/>
          <w:spacing w:val="-2"/>
          <w:sz w:val="28"/>
          <w:szCs w:val="28"/>
          <w:highlight w:val="none"/>
          <w:lang w:val="en-US"/>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lang w:val="en-US"/>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若乙方为甲方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lang w:val="en-US"/>
        </w:rPr>
        <w:t>合作伙伴</w:t>
      </w:r>
      <w:r>
        <w:rPr>
          <w:rFonts w:ascii="楷体" w:hAnsi="楷体" w:eastAsia="楷体" w:cs="楷体"/>
          <w:spacing w:val="-2"/>
          <w:sz w:val="28"/>
          <w:szCs w:val="28"/>
          <w:highlight w:val="none"/>
        </w:rPr>
        <w:t>，如在本协议签订前乙方存在本条规定情形的，需在本协议签订后30日内，将相关情况报</w:t>
      </w:r>
      <w:r>
        <w:rPr>
          <w:rFonts w:hint="eastAsia" w:ascii="楷体" w:hAnsi="楷体" w:eastAsia="楷体" w:cs="楷体"/>
          <w:spacing w:val="-2"/>
          <w:sz w:val="28"/>
          <w:szCs w:val="28"/>
          <w:highlight w:val="none"/>
          <w:lang w:val="en-US"/>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lang w:val="en-US"/>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lang w:val="en-US"/>
        </w:rPr>
        <w:t>门</w:t>
      </w:r>
      <w:r>
        <w:rPr>
          <w:rFonts w:ascii="楷体" w:hAnsi="楷体" w:eastAsia="楷体" w:cs="楷体"/>
          <w:spacing w:val="-2"/>
          <w:sz w:val="28"/>
          <w:szCs w:val="28"/>
          <w:highlight w:val="none"/>
        </w:rPr>
        <w:t>备案）。</w:t>
      </w:r>
    </w:p>
    <w:p w14:paraId="553C9646">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4.乙方承诺依法开展经营活动，不得有任何形式的商业贿赂行为。乙方一经发现其员工或其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lang w:val="en-US"/>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lang w:val="en-US"/>
        </w:rPr>
        <w:t>所有合同</w:t>
      </w:r>
      <w:r>
        <w:rPr>
          <w:rFonts w:ascii="楷体" w:hAnsi="楷体" w:eastAsia="楷体" w:cs="楷体"/>
          <w:spacing w:val="-2"/>
          <w:sz w:val="28"/>
          <w:szCs w:val="28"/>
          <w:highlight w:val="none"/>
        </w:rPr>
        <w:t>协议，并要求乙方赔偿。</w:t>
      </w:r>
    </w:p>
    <w:p w14:paraId="685B63D0">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lang w:val="en-US"/>
        </w:rPr>
      </w:pPr>
      <w:r>
        <w:rPr>
          <w:rFonts w:ascii="楷体" w:hAnsi="楷体" w:eastAsia="楷体" w:cs="楷体"/>
          <w:spacing w:val="-2"/>
          <w:sz w:val="28"/>
          <w:szCs w:val="28"/>
          <w:highlight w:val="none"/>
        </w:rPr>
        <w:t>5.乙方承诺不以任何理由为甲方人员及其</w:t>
      </w:r>
      <w:r>
        <w:rPr>
          <w:rFonts w:hint="eastAsia" w:ascii="楷体" w:hAnsi="楷体" w:eastAsia="楷体" w:cs="楷体"/>
          <w:spacing w:val="-2"/>
          <w:sz w:val="28"/>
          <w:szCs w:val="28"/>
          <w:highlight w:val="none"/>
        </w:rPr>
        <w:t>配偶、子女及其配偶等亲属和其他特定关系人</w:t>
      </w:r>
      <w:r>
        <w:rPr>
          <w:rFonts w:hint="eastAsia" w:ascii="楷体" w:hAnsi="楷体" w:eastAsia="楷体" w:cs="楷体"/>
          <w:spacing w:val="-2"/>
          <w:sz w:val="28"/>
          <w:szCs w:val="28"/>
          <w:highlight w:val="none"/>
          <w:lang w:val="en-US"/>
        </w:rPr>
        <w:t>提供如下：</w:t>
      </w:r>
    </w:p>
    <w:p w14:paraId="238DB714">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val="en-US"/>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lang w:val="en-US"/>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lang w:val="en-US"/>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lang w:val="en-US"/>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股权、其他金融产品等财物</w:t>
      </w:r>
      <w:r>
        <w:rPr>
          <w:rFonts w:ascii="楷体" w:hAnsi="楷体" w:eastAsia="楷体" w:cs="楷体"/>
          <w:spacing w:val="-2"/>
          <w:sz w:val="28"/>
          <w:szCs w:val="28"/>
          <w:highlight w:val="none"/>
        </w:rPr>
        <w:t>和其他贵重物品；</w:t>
      </w:r>
    </w:p>
    <w:p w14:paraId="17E757FD">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val="en-US"/>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lang w:val="en-US"/>
        </w:rPr>
        <w:t>或以讲课费、课题费、咨询费等名义支付费用</w:t>
      </w:r>
      <w:r>
        <w:rPr>
          <w:rFonts w:ascii="楷体" w:hAnsi="楷体" w:eastAsia="楷体" w:cs="楷体"/>
          <w:spacing w:val="-2"/>
          <w:sz w:val="28"/>
          <w:szCs w:val="28"/>
          <w:highlight w:val="none"/>
        </w:rPr>
        <w:t>；</w:t>
      </w:r>
    </w:p>
    <w:p w14:paraId="4967D85A">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val="en-US"/>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健身、娱乐</w:t>
      </w:r>
      <w:r>
        <w:rPr>
          <w:rFonts w:ascii="楷体" w:hAnsi="楷体" w:eastAsia="楷体" w:cs="楷体"/>
          <w:spacing w:val="-2"/>
          <w:sz w:val="28"/>
          <w:szCs w:val="28"/>
          <w:highlight w:val="none"/>
        </w:rPr>
        <w:t>和进入营业性娱乐场所；</w:t>
      </w:r>
    </w:p>
    <w:p w14:paraId="68ABA917">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val="en-US"/>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lang w:val="en-US"/>
        </w:rPr>
        <w:t>、钱款、住房、车辆等或提供通过民间借贷等金融助其获得大额回报</w:t>
      </w:r>
      <w:r>
        <w:rPr>
          <w:rFonts w:ascii="楷体" w:hAnsi="楷体" w:eastAsia="楷体" w:cs="楷体"/>
          <w:spacing w:val="-2"/>
          <w:sz w:val="28"/>
          <w:szCs w:val="28"/>
          <w:highlight w:val="none"/>
        </w:rPr>
        <w:t>；</w:t>
      </w:r>
    </w:p>
    <w:p w14:paraId="1222F72A">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val="en-US"/>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027501CE">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lang w:val="en-US"/>
        </w:rPr>
      </w:pPr>
      <w:r>
        <w:rPr>
          <w:rFonts w:hint="eastAsia" w:ascii="楷体" w:hAnsi="楷体" w:eastAsia="楷体" w:cs="楷体"/>
          <w:spacing w:val="-2"/>
          <w:sz w:val="28"/>
          <w:szCs w:val="28"/>
          <w:highlight w:val="none"/>
          <w:lang w:val="en-US"/>
        </w:rPr>
        <w:t>f)吸收存款、推销金融产品、经营名贵特产类资源等提供帮助谋取利益；</w:t>
      </w:r>
    </w:p>
    <w:p w14:paraId="22FC6E98">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val="en-US"/>
        </w:rPr>
        <w:t>g)其他可能影响甲方人员公平、公正的履行职权或者履行职责的情形</w:t>
      </w:r>
      <w:r>
        <w:rPr>
          <w:rFonts w:ascii="楷体" w:hAnsi="楷体" w:eastAsia="楷体" w:cs="楷体"/>
          <w:spacing w:val="-2"/>
          <w:sz w:val="28"/>
          <w:szCs w:val="28"/>
          <w:highlight w:val="none"/>
        </w:rPr>
        <w:t>。</w:t>
      </w:r>
    </w:p>
    <w:p w14:paraId="16B6D216">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6.乙方应当通过正常途径开展相关业务，决不为谋取不正当利益诱使甲方人员就</w:t>
      </w:r>
      <w:r>
        <w:rPr>
          <w:rFonts w:hint="eastAsia" w:ascii="楷体" w:hAnsi="楷体" w:eastAsia="楷体" w:cs="楷体"/>
          <w:spacing w:val="-2"/>
          <w:sz w:val="28"/>
          <w:szCs w:val="28"/>
          <w:highlight w:val="none"/>
          <w:lang w:val="en-US"/>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lang w:val="en-US"/>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3352123B">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7.若乙方发现甲方人员或其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有任何形式的索贿受贿行为，乙方有责任向甲方</w:t>
      </w:r>
      <w:r>
        <w:rPr>
          <w:rFonts w:hint="eastAsia" w:ascii="楷体" w:hAnsi="楷体" w:eastAsia="楷体" w:cs="楷体"/>
          <w:spacing w:val="-2"/>
          <w:sz w:val="28"/>
          <w:szCs w:val="28"/>
          <w:highlight w:val="none"/>
          <w:lang w:val="en-US"/>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lang w:val="en-US"/>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lang w:val="en-US"/>
        </w:rPr>
        <w:t>以</w:t>
      </w:r>
      <w:r>
        <w:rPr>
          <w:rFonts w:ascii="楷体" w:hAnsi="楷体" w:eastAsia="楷体" w:cs="楷体"/>
          <w:spacing w:val="-2"/>
          <w:sz w:val="28"/>
          <w:szCs w:val="28"/>
          <w:highlight w:val="none"/>
        </w:rPr>
        <w:t>任何借口对乙方进行报复。对举报属实和严格遵守廉洁协议的乙方，在同等条件下甲方优先考虑与乙方继续合作并给予更优惠的商务合作条件。</w:t>
      </w:r>
    </w:p>
    <w:p w14:paraId="5D926CAA">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8.若乙方知悉其它与甲方合作的供应商</w:t>
      </w:r>
      <w:r>
        <w:rPr>
          <w:rFonts w:hint="eastAsia"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服务商或采购商、经销商等合作伙伴</w:t>
      </w:r>
      <w:r>
        <w:rPr>
          <w:rFonts w:ascii="楷体" w:hAnsi="楷体" w:eastAsia="楷体" w:cs="楷体"/>
          <w:spacing w:val="-2"/>
          <w:sz w:val="28"/>
          <w:szCs w:val="28"/>
          <w:highlight w:val="none"/>
        </w:rPr>
        <w:t>存在违反本协议规定之行为，乙方应向甲方</w:t>
      </w:r>
      <w:r>
        <w:rPr>
          <w:rFonts w:hint="eastAsia" w:ascii="楷体" w:hAnsi="楷体" w:eastAsia="楷体" w:cs="楷体"/>
          <w:spacing w:val="-2"/>
          <w:sz w:val="28"/>
          <w:szCs w:val="28"/>
          <w:highlight w:val="none"/>
          <w:lang w:val="en-US"/>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lang w:val="en-US"/>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lang w:val="en-US"/>
        </w:rPr>
        <w:t>的</w:t>
      </w:r>
      <w:r>
        <w:rPr>
          <w:rFonts w:ascii="楷体" w:hAnsi="楷体" w:eastAsia="楷体" w:cs="楷体"/>
          <w:spacing w:val="-2"/>
          <w:sz w:val="28"/>
          <w:szCs w:val="28"/>
          <w:highlight w:val="none"/>
        </w:rPr>
        <w:t>纪委监察部门检举并提供证据。</w:t>
      </w:r>
    </w:p>
    <w:p w14:paraId="6ECED1F0">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9.乙方承诺在双方业务往来期间，不得对甲方人员采取任何手段使其离开甲方到乙方或乙方关联企业任职，若出现上述情况，则属于乙方违约，应承担给甲方造成的一切损失。</w:t>
      </w:r>
    </w:p>
    <w:p w14:paraId="392D00C7">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10.乙方承诺不聘任甲方内退领导干部或其他人员在乙方或乙方关联企业工作；乙方承诺不聘任甲方离职或退休三年内的领导干部或其他人员在乙方或乙方关联企业工作。</w:t>
      </w:r>
    </w:p>
    <w:p w14:paraId="28C69F97">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11.若乙方违反本协议约定的任何一项，乙方自愿向甲方支付5万元至50万元人民币或</w:t>
      </w:r>
      <w:r>
        <w:rPr>
          <w:rFonts w:ascii="楷体" w:hAnsi="楷体" w:eastAsia="楷体" w:cs="楷体"/>
          <w:spacing w:val="-2"/>
          <w:sz w:val="28"/>
          <w:szCs w:val="28"/>
          <w:highlight w:val="none"/>
          <w:lang w:val="en-US"/>
        </w:rPr>
        <w:t>违反协议约定事件发现的</w:t>
      </w:r>
      <w:r>
        <w:rPr>
          <w:rFonts w:ascii="楷体" w:hAnsi="楷体" w:eastAsia="楷体" w:cs="楷体"/>
          <w:spacing w:val="-2"/>
          <w:sz w:val="28"/>
          <w:szCs w:val="28"/>
          <w:highlight w:val="none"/>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2BCE0121">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lang w:val="en-US"/>
        </w:rPr>
      </w:pPr>
      <w:r>
        <w:rPr>
          <w:rFonts w:ascii="楷体" w:hAnsi="楷体" w:eastAsia="楷体" w:cs="楷体"/>
          <w:spacing w:val="-2"/>
          <w:sz w:val="28"/>
          <w:szCs w:val="28"/>
          <w:highlight w:val="none"/>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lang w:val="en-US"/>
        </w:rPr>
        <w:t>等</w:t>
      </w:r>
      <w:r>
        <w:rPr>
          <w:rFonts w:ascii="楷体" w:hAnsi="楷体" w:eastAsia="楷体" w:cs="楷体"/>
          <w:spacing w:val="-2"/>
          <w:sz w:val="28"/>
          <w:szCs w:val="28"/>
          <w:highlight w:val="none"/>
          <w:lang w:val="en-US"/>
        </w:rPr>
        <w:t>能够对其实际支配的企业或单位。</w:t>
      </w:r>
    </w:p>
    <w:p w14:paraId="16DAFF3F">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lang w:val="en-US"/>
        </w:rPr>
      </w:pPr>
      <w:r>
        <w:rPr>
          <w:rFonts w:hint="eastAsia" w:ascii="楷体" w:hAnsi="楷体" w:eastAsia="楷体" w:cs="楷体"/>
          <w:spacing w:val="-2"/>
          <w:sz w:val="28"/>
          <w:szCs w:val="28"/>
          <w:highlight w:val="none"/>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AE4684F">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lang w:val="en-US"/>
        </w:rPr>
        <w:t>13.</w:t>
      </w:r>
      <w:r>
        <w:rPr>
          <w:rFonts w:ascii="楷体" w:hAnsi="楷体" w:eastAsia="楷体" w:cs="楷体"/>
          <w:spacing w:val="-2"/>
          <w:sz w:val="28"/>
          <w:szCs w:val="28"/>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B98633F">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81F2A16">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lang w:val="en-US"/>
        </w:rPr>
      </w:pPr>
      <w:r>
        <w:rPr>
          <w:rFonts w:ascii="楷体" w:hAnsi="楷体" w:eastAsia="楷体" w:cs="楷体"/>
          <w:spacing w:val="-2"/>
          <w:sz w:val="28"/>
          <w:szCs w:val="28"/>
          <w:highlight w:val="none"/>
        </w:rPr>
        <w:t>1</w:t>
      </w:r>
      <w:r>
        <w:rPr>
          <w:rFonts w:ascii="楷体" w:hAnsi="楷体" w:eastAsia="楷体" w:cs="楷体"/>
          <w:spacing w:val="-2"/>
          <w:sz w:val="28"/>
          <w:szCs w:val="28"/>
          <w:highlight w:val="none"/>
          <w:lang w:val="en-US"/>
        </w:rPr>
        <w:t>4</w:t>
      </w:r>
      <w:r>
        <w:rPr>
          <w:rFonts w:ascii="楷体" w:hAnsi="楷体" w:eastAsia="楷体" w:cs="楷体"/>
          <w:spacing w:val="-2"/>
          <w:sz w:val="28"/>
          <w:szCs w:val="28"/>
          <w:highlight w:val="none"/>
        </w:rPr>
        <w:t>.本协议作为执行</w:t>
      </w:r>
      <w:r>
        <w:rPr>
          <w:rFonts w:hint="eastAsia" w:ascii="楷体" w:hAnsi="楷体" w:eastAsia="楷体" w:cs="楷体"/>
          <w:spacing w:val="-2"/>
          <w:sz w:val="28"/>
          <w:szCs w:val="28"/>
          <w:highlight w:val="none"/>
          <w:lang w:val="en-US"/>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lang w:val="en-US"/>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lang w:val="en-US"/>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lang w:val="en-US"/>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w:t>
      </w:r>
      <w:r>
        <w:rPr>
          <w:rFonts w:hint="eastAsia" w:ascii="楷体" w:hAnsi="楷体" w:eastAsia="楷体" w:cs="楷体"/>
          <w:spacing w:val="-2"/>
          <w:sz w:val="28"/>
          <w:szCs w:val="28"/>
          <w:highlight w:val="none"/>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86491CC">
      <w:pPr>
        <w:pStyle w:val="126"/>
        <w:tabs>
          <w:tab w:val="left" w:pos="1244"/>
        </w:tabs>
        <w:adjustRightInd w:val="0"/>
        <w:spacing w:line="305" w:lineRule="auto"/>
        <w:ind w:left="0" w:right="0" w:firstLine="552" w:firstLineChars="200"/>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lang w:val="en-US"/>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05C4492E">
      <w:pPr>
        <w:pStyle w:val="13"/>
        <w:spacing w:before="9"/>
        <w:ind w:left="0" w:firstLine="0"/>
        <w:rPr>
          <w:rFonts w:ascii="楷体" w:hAnsi="楷体" w:eastAsia="楷体" w:cs="楷体"/>
          <w:sz w:val="40"/>
          <w:szCs w:val="28"/>
          <w:highlight w:val="none"/>
        </w:rPr>
      </w:pPr>
    </w:p>
    <w:p w14:paraId="2A686F02">
      <w:pPr>
        <w:tabs>
          <w:tab w:val="left" w:pos="5457"/>
        </w:tabs>
        <w:spacing w:before="1"/>
        <w:ind w:left="117"/>
        <w:rPr>
          <w:rFonts w:ascii="楷体" w:hAnsi="楷体" w:eastAsia="楷体" w:cs="楷体"/>
          <w:b/>
          <w:sz w:val="24"/>
          <w:szCs w:val="21"/>
          <w:highlight w:val="none"/>
        </w:rPr>
      </w:pPr>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rPr>
        <w:t>乙方（盖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p>
    <w:p w14:paraId="09910A02">
      <w:pPr>
        <w:pStyle w:val="13"/>
        <w:ind w:left="0" w:firstLine="0"/>
        <w:rPr>
          <w:rFonts w:ascii="楷体" w:hAnsi="楷体" w:eastAsia="楷体" w:cs="楷体"/>
          <w:b/>
          <w:sz w:val="24"/>
          <w:szCs w:val="28"/>
          <w:highlight w:val="none"/>
        </w:rPr>
      </w:pPr>
    </w:p>
    <w:p w14:paraId="5727F978">
      <w:pPr>
        <w:pStyle w:val="13"/>
        <w:spacing w:before="1"/>
        <w:ind w:left="0" w:firstLine="0"/>
        <w:rPr>
          <w:rFonts w:ascii="楷体" w:hAnsi="楷体" w:eastAsia="楷体" w:cs="楷体"/>
          <w:b/>
          <w:sz w:val="24"/>
          <w:szCs w:val="28"/>
          <w:highlight w:val="none"/>
        </w:rPr>
      </w:pPr>
    </w:p>
    <w:p w14:paraId="2F05A15C">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p>
    <w:p w14:paraId="0A05456A">
      <w:pPr>
        <w:pStyle w:val="13"/>
        <w:ind w:left="0" w:firstLine="0"/>
        <w:rPr>
          <w:rFonts w:ascii="楷体" w:hAnsi="楷体" w:eastAsia="楷体" w:cs="楷体"/>
          <w:b/>
          <w:sz w:val="24"/>
          <w:szCs w:val="28"/>
          <w:highlight w:val="none"/>
        </w:rPr>
      </w:pPr>
    </w:p>
    <w:p w14:paraId="184A5CB2">
      <w:pPr>
        <w:pStyle w:val="13"/>
        <w:spacing w:before="4"/>
        <w:ind w:left="0" w:firstLine="0"/>
        <w:rPr>
          <w:rFonts w:ascii="楷体" w:hAnsi="楷体" w:eastAsia="楷体" w:cs="楷体"/>
          <w:b/>
          <w:sz w:val="24"/>
          <w:szCs w:val="28"/>
          <w:highlight w:val="none"/>
        </w:rPr>
      </w:pPr>
    </w:p>
    <w:p w14:paraId="3016F6B1">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p>
    <w:p w14:paraId="6106916F">
      <w:pPr>
        <w:tabs>
          <w:tab w:val="left" w:pos="5457"/>
        </w:tabs>
        <w:ind w:left="117"/>
        <w:rPr>
          <w:rFonts w:ascii="楷体" w:hAnsi="楷体" w:eastAsia="楷体" w:cs="楷体"/>
          <w:b/>
          <w:sz w:val="24"/>
          <w:szCs w:val="21"/>
          <w:highlight w:val="none"/>
        </w:rPr>
      </w:pPr>
    </w:p>
    <w:p w14:paraId="4F2B3BCC">
      <w:pPr>
        <w:keepNext/>
        <w:keepLines/>
        <w:jc w:val="center"/>
        <w:outlineLvl w:val="0"/>
        <w:rPr>
          <w:rFonts w:hint="eastAsia" w:ascii="Calibri" w:hAnsi="Calibri" w:eastAsia="宋体" w:cs="Times New Roman"/>
          <w:b/>
          <w:bCs/>
          <w:kern w:val="44"/>
          <w:sz w:val="36"/>
          <w:szCs w:val="44"/>
          <w:highlight w:val="none"/>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14:paraId="3267E908">
      <w:pPr>
        <w:keepNext/>
        <w:keepLines/>
        <w:jc w:val="center"/>
        <w:outlineLvl w:val="0"/>
        <w:rPr>
          <w:rFonts w:ascii="Calibri" w:hAnsi="Calibri" w:eastAsia="宋体" w:cs="Times New Roman"/>
          <w:b/>
          <w:bCs/>
          <w:kern w:val="44"/>
          <w:sz w:val="36"/>
          <w:szCs w:val="44"/>
          <w:highlight w:val="none"/>
        </w:rPr>
      </w:pPr>
      <w:r>
        <w:rPr>
          <w:rFonts w:hint="eastAsia" w:ascii="Calibri" w:hAnsi="Calibri" w:eastAsia="宋体" w:cs="Times New Roman"/>
          <w:b/>
          <w:bCs/>
          <w:kern w:val="44"/>
          <w:sz w:val="36"/>
          <w:szCs w:val="44"/>
          <w:highlight w:val="none"/>
        </w:rPr>
        <w:t>第</w:t>
      </w:r>
      <w:r>
        <w:rPr>
          <w:rFonts w:hint="eastAsia" w:ascii="Calibri" w:hAnsi="Calibri" w:eastAsia="宋体" w:cs="Times New Roman"/>
          <w:b/>
          <w:bCs/>
          <w:kern w:val="44"/>
          <w:sz w:val="36"/>
          <w:szCs w:val="44"/>
          <w:highlight w:val="none"/>
          <w:lang w:val="en-US" w:eastAsia="zh-CN"/>
        </w:rPr>
        <w:t>六</w:t>
      </w:r>
      <w:r>
        <w:rPr>
          <w:rFonts w:hint="eastAsia" w:ascii="Calibri" w:hAnsi="Calibri" w:eastAsia="宋体" w:cs="Times New Roman"/>
          <w:b/>
          <w:bCs/>
          <w:kern w:val="44"/>
          <w:sz w:val="36"/>
          <w:szCs w:val="44"/>
          <w:highlight w:val="none"/>
        </w:rPr>
        <w:t>部分</w:t>
      </w:r>
      <w:r>
        <w:rPr>
          <w:rFonts w:ascii="Calibri" w:hAnsi="Calibri" w:eastAsia="宋体" w:cs="Times New Roman"/>
          <w:b/>
          <w:bCs/>
          <w:kern w:val="44"/>
          <w:sz w:val="36"/>
          <w:szCs w:val="44"/>
          <w:highlight w:val="none"/>
        </w:rPr>
        <w:t xml:space="preserve"> </w:t>
      </w:r>
      <w:r>
        <w:rPr>
          <w:rFonts w:hint="eastAsia" w:ascii="Calibri" w:hAnsi="Calibri" w:eastAsia="宋体" w:cs="Times New Roman"/>
          <w:b/>
          <w:bCs/>
          <w:kern w:val="44"/>
          <w:sz w:val="36"/>
          <w:szCs w:val="44"/>
          <w:highlight w:val="none"/>
        </w:rPr>
        <w:t>投标文件附件</w:t>
      </w:r>
      <w:bookmarkEnd w:id="97"/>
    </w:p>
    <w:p w14:paraId="5F1F5CD5">
      <w:pPr>
        <w:keepNext/>
        <w:keepLines/>
        <w:outlineLvl w:val="9"/>
        <w:rPr>
          <w:rFonts w:hint="eastAsia" w:ascii="Times New Roman" w:hAnsi="Times New Roman" w:eastAsia="宋体" w:cs="Times New Roman"/>
          <w:b/>
          <w:bCs/>
          <w:color w:val="000000"/>
          <w:sz w:val="24"/>
          <w:szCs w:val="24"/>
          <w:highlight w:val="none"/>
        </w:rPr>
      </w:pPr>
    </w:p>
    <w:p w14:paraId="0AF8D8C0">
      <w:pPr>
        <w:pStyle w:val="17"/>
        <w:rPr>
          <w:rFonts w:hint="eastAsia" w:ascii="Times New Roman" w:hAnsi="Times New Roman" w:eastAsia="宋体" w:cs="Times New Roman"/>
          <w:b/>
          <w:bCs/>
          <w:color w:val="000000"/>
          <w:sz w:val="24"/>
          <w:szCs w:val="24"/>
          <w:highlight w:val="none"/>
        </w:rPr>
      </w:pPr>
    </w:p>
    <w:p w14:paraId="227B7057">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说明：</w:t>
      </w:r>
    </w:p>
    <w:p w14:paraId="7A503405">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投标人须认真填写和提交本部分中的附件文件；</w:t>
      </w:r>
    </w:p>
    <w:p w14:paraId="49CEDF47">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对附件文件中所要求的内容应给予明确的答复；</w:t>
      </w:r>
    </w:p>
    <w:p w14:paraId="48209D19">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附件文件的签字人应保证其对一切问题的答复、所做的声明及出具的资格资质文件、资料等具有真实性和准确性；</w:t>
      </w:r>
    </w:p>
    <w:p w14:paraId="36E86ADC">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招标人将对投标人提交的文件、资料等内容予以保密，但不退还；</w:t>
      </w:r>
    </w:p>
    <w:p w14:paraId="18C73379">
      <w:pPr>
        <w:spacing w:line="42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所有附件文件应以中文书写，作为投标文件的组成部分。</w:t>
      </w:r>
    </w:p>
    <w:p w14:paraId="11BA7D29">
      <w:pPr>
        <w:pStyle w:val="17"/>
        <w:rPr>
          <w:rFonts w:hint="eastAsia" w:ascii="Times New Roman" w:hAnsi="Times New Roman" w:eastAsia="宋体" w:cs="Times New Roman"/>
          <w:b/>
          <w:bCs/>
          <w:color w:val="000000"/>
          <w:sz w:val="24"/>
          <w:szCs w:val="24"/>
          <w:highlight w:val="none"/>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57BFA10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1</w:t>
      </w:r>
      <w:bookmarkStart w:id="178" w:name="_Toc212369550"/>
      <w:bookmarkStart w:id="179" w:name="_Toc639004"/>
      <w:bookmarkStart w:id="180" w:name="_Toc25811"/>
      <w:bookmarkStart w:id="181" w:name="_Toc353881012"/>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投标函</w:t>
      </w:r>
      <w:bookmarkEnd w:id="178"/>
      <w:bookmarkEnd w:id="179"/>
      <w:bookmarkEnd w:id="180"/>
      <w:bookmarkEnd w:id="181"/>
    </w:p>
    <w:p w14:paraId="5F4A029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致：中国重汽集团济南动力有限公司：</w:t>
      </w:r>
    </w:p>
    <w:p w14:paraId="372FACE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eastAsia="宋体" w:cs="宋体"/>
          <w:sz w:val="24"/>
          <w:szCs w:val="24"/>
          <w:highlight w:val="none"/>
          <w:u w:val="single"/>
          <w:lang w:val="en-US" w:eastAsia="zh-CN"/>
        </w:rPr>
        <w:t>济南发动机厂拉鲁定位装置和台中测量装置开发项目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提交纸质投标文件：资质证明文件、商务文件和技术文件正本一份；电子版投标文件一份。</w:t>
      </w:r>
    </w:p>
    <w:p w14:paraId="3AC409A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5C8D51FC">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68A4FBFB">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22D20844">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90</w:t>
      </w:r>
      <w:r>
        <w:rPr>
          <w:rFonts w:hint="eastAsia" w:ascii="宋体" w:hAnsi="宋体" w:eastAsia="宋体" w:cs="Times New Roman"/>
          <w:color w:val="000000"/>
          <w:sz w:val="24"/>
          <w:szCs w:val="24"/>
          <w:highlight w:val="none"/>
        </w:rPr>
        <w:t>个日历日。</w:t>
      </w:r>
    </w:p>
    <w:p w14:paraId="20A47BB4">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2CDCC14C">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3C3782A4">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6B684FF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18CE118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5E926F8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45F1913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69CB88A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76A3E20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67081E5B">
      <w:pPr>
        <w:spacing w:line="360" w:lineRule="auto"/>
        <w:ind w:firstLine="480" w:firstLineChars="200"/>
        <w:rPr>
          <w:rFonts w:hint="default" w:ascii="宋体" w:hAnsi="宋体" w:eastAsia="宋体" w:cs="Times New Roman"/>
          <w:color w:val="000000"/>
          <w:sz w:val="24"/>
          <w:szCs w:val="24"/>
          <w:highlight w:val="none"/>
          <w:lang w:val="en-US" w:eastAsia="zh-CN"/>
        </w:rPr>
      </w:pPr>
      <w:r>
        <w:rPr>
          <w:rFonts w:hint="eastAsia" w:ascii="宋体" w:hAnsi="宋体" w:eastAsia="宋体" w:cs="Times New Roman"/>
          <w:color w:val="000000"/>
          <w:sz w:val="24"/>
          <w:szCs w:val="24"/>
          <w:highlight w:val="none"/>
          <w:lang w:val="en-US" w:eastAsia="zh-CN"/>
        </w:rPr>
        <w:t xml:space="preserve">联行号：                     </w:t>
      </w:r>
    </w:p>
    <w:p w14:paraId="6DE76BD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71AE4B0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1D0F887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1D99A297">
      <w:pPr>
        <w:rPr>
          <w:rFonts w:ascii="黑体" w:hAnsi="Calibri" w:eastAsia="黑体" w:cs="Times New Roman"/>
          <w:color w:val="000000"/>
          <w:sz w:val="24"/>
          <w:szCs w:val="24"/>
          <w:highlight w:val="none"/>
        </w:rPr>
      </w:pPr>
    </w:p>
    <w:p w14:paraId="126AFD3F">
      <w:pPr>
        <w:rPr>
          <w:rFonts w:ascii="黑体" w:hAnsi="Calibri" w:eastAsia="黑体" w:cs="Times New Roman"/>
          <w:color w:val="000000"/>
          <w:sz w:val="24"/>
          <w:szCs w:val="24"/>
          <w:highlight w:val="none"/>
        </w:rPr>
      </w:pPr>
    </w:p>
    <w:p w14:paraId="53EC01F0">
      <w:pPr>
        <w:pStyle w:val="17"/>
        <w:rPr>
          <w:rFonts w:ascii="黑体" w:hAnsi="Calibri" w:eastAsia="黑体" w:cs="Times New Roman"/>
          <w:color w:val="000000"/>
          <w:sz w:val="24"/>
          <w:szCs w:val="24"/>
          <w:highlight w:val="none"/>
        </w:rPr>
      </w:pPr>
    </w:p>
    <w:p w14:paraId="76C9949C">
      <w:pPr>
        <w:pStyle w:val="17"/>
        <w:rPr>
          <w:rFonts w:ascii="黑体" w:hAnsi="Calibri" w:eastAsia="黑体" w:cs="Times New Roman"/>
          <w:color w:val="000000"/>
          <w:sz w:val="24"/>
          <w:szCs w:val="24"/>
          <w:highlight w:val="none"/>
        </w:rPr>
      </w:pPr>
    </w:p>
    <w:p w14:paraId="0F94AEEB">
      <w:pPr>
        <w:pStyle w:val="17"/>
        <w:rPr>
          <w:rFonts w:ascii="黑体" w:hAnsi="Calibri" w:eastAsia="黑体" w:cs="Times New Roman"/>
          <w:color w:val="000000"/>
          <w:sz w:val="24"/>
          <w:szCs w:val="24"/>
          <w:highlight w:val="none"/>
        </w:rPr>
      </w:pPr>
    </w:p>
    <w:p w14:paraId="0AF629AD">
      <w:pPr>
        <w:pStyle w:val="17"/>
        <w:rPr>
          <w:rFonts w:ascii="黑体" w:hAnsi="Calibri" w:eastAsia="黑体" w:cs="Times New Roman"/>
          <w:color w:val="000000"/>
          <w:sz w:val="24"/>
          <w:szCs w:val="24"/>
          <w:highlight w:val="none"/>
        </w:rPr>
      </w:pPr>
    </w:p>
    <w:p w14:paraId="63AF5FEF">
      <w:pPr>
        <w:rPr>
          <w:rFonts w:ascii="黑体" w:hAnsi="Calibri" w:eastAsia="黑体" w:cs="Times New Roman"/>
          <w:color w:val="000000"/>
          <w:sz w:val="24"/>
          <w:szCs w:val="24"/>
          <w:highlight w:val="none"/>
        </w:rPr>
      </w:pPr>
    </w:p>
    <w:p w14:paraId="28077FE3">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 xml:space="preserve">2 </w:t>
      </w:r>
      <w:r>
        <w:rPr>
          <w:rFonts w:hint="eastAsia" w:ascii="Times New Roman" w:hAnsi="Times New Roman" w:eastAsia="宋体" w:cs="Times New Roman"/>
          <w:b/>
          <w:bCs/>
          <w:color w:val="000000"/>
          <w:sz w:val="24"/>
          <w:szCs w:val="24"/>
          <w:highlight w:val="none"/>
        </w:rPr>
        <w:t>法定代表人授权委托书</w:t>
      </w:r>
    </w:p>
    <w:p w14:paraId="10C16CDC">
      <w:pPr>
        <w:adjustRightInd w:val="0"/>
        <w:snapToGrid w:val="0"/>
        <w:spacing w:before="93" w:beforeLines="30" w:line="240" w:lineRule="exact"/>
        <w:jc w:val="center"/>
        <w:rPr>
          <w:rFonts w:ascii="宋体" w:hAnsi="Calibri" w:eastAsia="宋体" w:cs="Times New Roman"/>
          <w:sz w:val="24"/>
          <w:szCs w:val="20"/>
          <w:highlight w:val="none"/>
        </w:rPr>
      </w:pPr>
    </w:p>
    <w:p w14:paraId="7C043CE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eastAsia="宋体" w:cs="宋体"/>
          <w:sz w:val="24"/>
          <w:szCs w:val="24"/>
          <w:highlight w:val="none"/>
          <w:u w:val="single"/>
          <w:lang w:val="en-US" w:eastAsia="zh-CN"/>
        </w:rPr>
        <w:t>济南发动机厂拉鲁定位装置和台中测量装置开发项目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eastAsia="zh-CN"/>
        </w:rPr>
        <w:t>FSCZB2025100095</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448B253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11C34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A832EEE">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14:paraId="140994D4">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14:paraId="52228D8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6C8EF78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4CEC59B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309661A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1B9E0F7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6FA8433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59D8DF17">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2789C0A7">
      <w:pPr>
        <w:rPr>
          <w:rFonts w:ascii="Calibri" w:hAnsi="Calibri" w:eastAsia="黑体" w:cs="Times New Roman"/>
          <w:b/>
          <w:bCs/>
          <w:color w:val="000000"/>
          <w:sz w:val="28"/>
          <w:szCs w:val="20"/>
          <w:highlight w:val="none"/>
        </w:rPr>
      </w:pPr>
    </w:p>
    <w:p w14:paraId="198E5F01">
      <w:pPr>
        <w:pStyle w:val="17"/>
        <w:rPr>
          <w:rFonts w:ascii="Calibri" w:hAnsi="Calibri" w:eastAsia="黑体" w:cs="Times New Roman"/>
          <w:b/>
          <w:bCs/>
          <w:color w:val="000000"/>
          <w:sz w:val="28"/>
          <w:szCs w:val="20"/>
          <w:highlight w:val="none"/>
        </w:rPr>
        <w:sectPr>
          <w:pgSz w:w="11906" w:h="16838"/>
          <w:pgMar w:top="1588" w:right="1418" w:bottom="1134" w:left="1418" w:header="851" w:footer="992" w:gutter="0"/>
          <w:cols w:space="720" w:num="1"/>
          <w:titlePg/>
          <w:docGrid w:type="lines" w:linePitch="312" w:charSpace="0"/>
        </w:sectPr>
      </w:pPr>
    </w:p>
    <w:p w14:paraId="3FE94D5D">
      <w:pPr>
        <w:keepNext/>
        <w:keepLines/>
        <w:outlineLvl w:val="2"/>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highlight w:val="none"/>
          <w14:textOutline w14:w="4356" w14:cap="sq" w14:cmpd="sng" w14:algn="ctr">
            <w14:solidFill>
              <w14:srgbClr w14:val="000000"/>
            </w14:solidFill>
            <w14:prstDash w14:val="solid"/>
            <w14:bevel/>
          </w14:textOutline>
        </w:rPr>
        <w:t>件</w:t>
      </w:r>
      <w:r>
        <w:rPr>
          <w:rFonts w:ascii="宋体" w:hAnsi="宋体" w:eastAsia="宋体" w:cs="宋体"/>
          <w:spacing w:val="-17"/>
          <w:sz w:val="24"/>
          <w:szCs w:val="24"/>
          <w:highlight w:val="none"/>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highlight w:val="none"/>
          <w14:textOutline w14:w="4356" w14:cap="sq" w14:cmpd="sng" w14:algn="ctr">
            <w14:solidFill>
              <w14:srgbClr w14:val="000000"/>
            </w14:solidFill>
            <w14:prstDash w14:val="solid"/>
            <w14:bevel/>
          </w14:textOutline>
        </w:rPr>
        <w:t>表</w:t>
      </w:r>
    </w:p>
    <w:p w14:paraId="2FF2B940">
      <w:pPr>
        <w:keepNext/>
        <w:keepLines/>
        <w:outlineLvl w:val="3"/>
        <w:rPr>
          <w:rFonts w:ascii="Times New Roman" w:hAnsi="Times New Roman" w:eastAsia="宋体" w:cs="Times New Roman"/>
          <w:b/>
          <w:bCs/>
          <w:color w:val="000000"/>
          <w:sz w:val="24"/>
          <w:szCs w:val="24"/>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投标人基本情况表(格式)</w:t>
      </w:r>
    </w:p>
    <w:tbl>
      <w:tblPr>
        <w:tblStyle w:val="1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ECEA2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5A5BD8FB">
            <w:pPr>
              <w:pStyle w:val="130"/>
              <w:spacing w:before="114"/>
              <w:ind w:left="720"/>
              <w:rPr>
                <w:highlight w:val="none"/>
              </w:rPr>
            </w:pPr>
            <w:r>
              <w:rPr>
                <w:highlight w:val="none"/>
              </w:rPr>
              <w:t xml:space="preserve">企业名称 </w:t>
            </w:r>
          </w:p>
        </w:tc>
        <w:tc>
          <w:tcPr>
            <w:tcW w:w="4680" w:type="dxa"/>
            <w:gridSpan w:val="4"/>
            <w:vAlign w:val="center"/>
          </w:tcPr>
          <w:p w14:paraId="4ADA5F69">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E89E860">
            <w:pPr>
              <w:pStyle w:val="130"/>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 </w:t>
            </w:r>
          </w:p>
        </w:tc>
        <w:tc>
          <w:tcPr>
            <w:tcW w:w="1510" w:type="dxa"/>
            <w:vAlign w:val="center"/>
          </w:tcPr>
          <w:p w14:paraId="33F24EF1">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331230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D8EECD7">
            <w:pPr>
              <w:pStyle w:val="130"/>
              <w:spacing w:before="114"/>
              <w:ind w:left="720"/>
              <w:rPr>
                <w:highlight w:val="none"/>
              </w:rPr>
            </w:pPr>
            <w:r>
              <w:rPr>
                <w:highlight w:val="none"/>
              </w:rPr>
              <w:t xml:space="preserve">企业地址 </w:t>
            </w:r>
          </w:p>
        </w:tc>
        <w:tc>
          <w:tcPr>
            <w:tcW w:w="4680" w:type="dxa"/>
            <w:gridSpan w:val="4"/>
            <w:vAlign w:val="center"/>
          </w:tcPr>
          <w:p w14:paraId="0EECB12F">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6AEC2576">
            <w:pPr>
              <w:pStyle w:val="130"/>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联系人电话 </w:t>
            </w:r>
          </w:p>
        </w:tc>
        <w:tc>
          <w:tcPr>
            <w:tcW w:w="1510" w:type="dxa"/>
            <w:vAlign w:val="center"/>
          </w:tcPr>
          <w:p w14:paraId="3FA052D9">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17DD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1B3A5DF8">
            <w:pPr>
              <w:pStyle w:val="130"/>
              <w:spacing w:before="111"/>
              <w:ind w:left="720"/>
              <w:rPr>
                <w:highlight w:val="none"/>
              </w:rPr>
            </w:pPr>
            <w:r>
              <w:rPr>
                <w:highlight w:val="none"/>
              </w:rPr>
              <w:t xml:space="preserve">企业性质 </w:t>
            </w:r>
          </w:p>
        </w:tc>
        <w:tc>
          <w:tcPr>
            <w:tcW w:w="4680" w:type="dxa"/>
            <w:gridSpan w:val="4"/>
            <w:vAlign w:val="center"/>
          </w:tcPr>
          <w:p w14:paraId="2E88C335">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441C9EC9">
            <w:pPr>
              <w:pStyle w:val="130"/>
              <w:spacing w:before="103"/>
              <w:ind w:left="154" w:right="26"/>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注册时间</w:t>
            </w:r>
            <w:r>
              <w:rPr>
                <w:color w:val="000000" w:themeColor="text1"/>
                <w:highlight w:val="none"/>
                <w14:textFill>
                  <w14:solidFill>
                    <w14:schemeClr w14:val="tx1"/>
                  </w14:solidFill>
                </w14:textFill>
              </w:rPr>
              <w:t xml:space="preserve"> </w:t>
            </w:r>
          </w:p>
        </w:tc>
        <w:tc>
          <w:tcPr>
            <w:tcW w:w="1510" w:type="dxa"/>
            <w:vAlign w:val="center"/>
          </w:tcPr>
          <w:p w14:paraId="01AB9783">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4F2C7B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53C74BA">
            <w:pPr>
              <w:pStyle w:val="130"/>
              <w:spacing w:before="111"/>
              <w:ind w:left="509"/>
              <w:rPr>
                <w:highlight w:val="none"/>
              </w:rPr>
            </w:pPr>
            <w:r>
              <w:rPr>
                <w:highlight w:val="none"/>
              </w:rPr>
              <w:t xml:space="preserve">企业法人代表  </w:t>
            </w:r>
          </w:p>
        </w:tc>
        <w:tc>
          <w:tcPr>
            <w:tcW w:w="4680" w:type="dxa"/>
            <w:gridSpan w:val="4"/>
          </w:tcPr>
          <w:p w14:paraId="05B08792">
            <w:pPr>
              <w:pStyle w:val="5"/>
              <w:keepNext w:val="0"/>
              <w:keepLines w:val="0"/>
              <w:widowControl/>
              <w:shd w:val="clear" w:color="auto" w:fill="FFFFFF"/>
              <w:spacing w:before="0" w:after="0" w:line="450" w:lineRule="atLeast"/>
              <w:rPr>
                <w:rFonts w:ascii="宋体" w:hAnsi="宋体" w:cs="宋体"/>
                <w:color w:val="000000" w:themeColor="text1"/>
                <w:highlight w:val="none"/>
                <w14:textFill>
                  <w14:solidFill>
                    <w14:schemeClr w14:val="tx1"/>
                  </w14:solidFill>
                </w14:textFill>
              </w:rPr>
            </w:pPr>
          </w:p>
        </w:tc>
        <w:tc>
          <w:tcPr>
            <w:tcW w:w="1310" w:type="dxa"/>
          </w:tcPr>
          <w:p w14:paraId="4FBD0D0A">
            <w:pPr>
              <w:pStyle w:val="130"/>
              <w:spacing w:before="103"/>
              <w:ind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企业资质</w:t>
            </w:r>
          </w:p>
        </w:tc>
        <w:tc>
          <w:tcPr>
            <w:tcW w:w="1510" w:type="dxa"/>
            <w:vAlign w:val="center"/>
          </w:tcPr>
          <w:p w14:paraId="3E6F976D">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5110C2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10211B3E">
            <w:pPr>
              <w:pStyle w:val="130"/>
              <w:spacing w:before="114"/>
              <w:ind w:left="720"/>
              <w:rPr>
                <w:highlight w:val="none"/>
              </w:rPr>
            </w:pPr>
            <w:r>
              <w:rPr>
                <w:highlight w:val="none"/>
              </w:rPr>
              <w:t xml:space="preserve">品牌区分 </w:t>
            </w:r>
          </w:p>
        </w:tc>
        <w:tc>
          <w:tcPr>
            <w:tcW w:w="7500" w:type="dxa"/>
            <w:gridSpan w:val="6"/>
          </w:tcPr>
          <w:p w14:paraId="531AA398">
            <w:pPr>
              <w:pStyle w:val="130"/>
              <w:spacing w:before="106"/>
              <w:ind w:left="401"/>
              <w:rPr>
                <w:highlight w:val="none"/>
              </w:rPr>
            </w:pPr>
            <w:r>
              <w:rPr>
                <w:highlight w:val="none"/>
              </w:rPr>
              <w:t xml:space="preserve"> </w:t>
            </w:r>
            <w:r>
              <w:rPr>
                <w:highlight w:val="none"/>
              </w:rPr>
              <w:sym w:font="Wingdings 2" w:char="00A3"/>
            </w:r>
            <w:r>
              <w:rPr>
                <w:highlight w:val="none"/>
              </w:rPr>
              <w:t xml:space="preserve">自产 </w:t>
            </w:r>
            <w:r>
              <w:rPr>
                <w:highlight w:val="none"/>
              </w:rPr>
              <w:sym w:font="Wingdings 2" w:char="00A3"/>
            </w:r>
            <w:r>
              <w:rPr>
                <w:highlight w:val="none"/>
              </w:rPr>
              <w:t xml:space="preserve">总代理 </w:t>
            </w:r>
            <w:r>
              <w:rPr>
                <w:highlight w:val="none"/>
              </w:rPr>
              <w:sym w:font="Wingdings 2" w:char="00A3"/>
            </w:r>
            <w:r>
              <w:rPr>
                <w:highlight w:val="none"/>
              </w:rPr>
              <w:t xml:space="preserve">代理  </w:t>
            </w:r>
            <w:r>
              <w:rPr>
                <w:highlight w:val="none"/>
              </w:rPr>
              <w:sym w:font="Wingdings 2" w:char="00A3"/>
            </w:r>
            <w:r>
              <w:rPr>
                <w:highlight w:val="none"/>
              </w:rPr>
              <w:t xml:space="preserve">经销 </w:t>
            </w:r>
          </w:p>
        </w:tc>
      </w:tr>
      <w:tr w14:paraId="318B8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AFDABCB">
            <w:pPr>
              <w:pStyle w:val="130"/>
              <w:spacing w:before="178"/>
              <w:ind w:left="720"/>
              <w:rPr>
                <w:highlight w:val="none"/>
              </w:rPr>
            </w:pPr>
            <w:r>
              <w:rPr>
                <w:highlight w:val="none"/>
              </w:rPr>
              <w:t xml:space="preserve">品牌名称 </w:t>
            </w:r>
          </w:p>
        </w:tc>
        <w:tc>
          <w:tcPr>
            <w:tcW w:w="3583" w:type="dxa"/>
            <w:gridSpan w:val="3"/>
            <w:vAlign w:val="center"/>
          </w:tcPr>
          <w:p w14:paraId="3A0628CF">
            <w:pPr>
              <w:widowControl/>
              <w:rPr>
                <w:rFonts w:ascii="宋体" w:hAnsi="宋体" w:eastAsia="仿宋_GB2312"/>
                <w:kern w:val="0"/>
                <w:szCs w:val="21"/>
                <w:highlight w:val="none"/>
                <w:lang w:bidi="ar"/>
              </w:rPr>
            </w:pPr>
          </w:p>
        </w:tc>
        <w:tc>
          <w:tcPr>
            <w:tcW w:w="1097" w:type="dxa"/>
          </w:tcPr>
          <w:p w14:paraId="2F6B641C">
            <w:pPr>
              <w:pStyle w:val="130"/>
              <w:spacing w:before="15"/>
              <w:ind w:left="279"/>
              <w:rPr>
                <w:highlight w:val="none"/>
              </w:rPr>
            </w:pPr>
            <w:r>
              <w:rPr>
                <w:spacing w:val="-2"/>
                <w:highlight w:val="none"/>
              </w:rPr>
              <w:t>质量</w:t>
            </w:r>
            <w:r>
              <w:rPr>
                <w:highlight w:val="none"/>
              </w:rPr>
              <w:t xml:space="preserve"> </w:t>
            </w:r>
          </w:p>
          <w:p w14:paraId="3EB09148">
            <w:pPr>
              <w:pStyle w:val="130"/>
              <w:spacing w:before="30" w:line="277" w:lineRule="exact"/>
              <w:ind w:left="279"/>
              <w:rPr>
                <w:highlight w:val="none"/>
              </w:rPr>
            </w:pPr>
            <w:r>
              <w:rPr>
                <w:rFonts w:hint="eastAsia"/>
                <w:highlight w:val="none"/>
              </w:rPr>
              <w:t>体系</w:t>
            </w:r>
          </w:p>
        </w:tc>
        <w:tc>
          <w:tcPr>
            <w:tcW w:w="2820" w:type="dxa"/>
            <w:gridSpan w:val="2"/>
          </w:tcPr>
          <w:p w14:paraId="4374CC6E">
            <w:pPr>
              <w:pStyle w:val="130"/>
              <w:spacing w:before="158"/>
              <w:jc w:val="center"/>
              <w:rPr>
                <w:sz w:val="24"/>
                <w:highlight w:val="none"/>
              </w:rPr>
            </w:pPr>
            <w:r>
              <w:rPr>
                <w:rFonts w:hint="eastAsia"/>
                <w:kern w:val="0"/>
                <w:szCs w:val="21"/>
                <w:highlight w:val="none"/>
                <w:lang w:bidi="ar"/>
              </w:rPr>
              <w:t>/</w:t>
            </w:r>
          </w:p>
        </w:tc>
      </w:tr>
      <w:tr w14:paraId="1EC5D3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9780641">
            <w:pPr>
              <w:pStyle w:val="130"/>
              <w:spacing w:before="149"/>
              <w:ind w:left="3345" w:right="3223"/>
              <w:jc w:val="center"/>
              <w:rPr>
                <w:highlight w:val="none"/>
              </w:rPr>
            </w:pPr>
            <w:r>
              <w:rPr>
                <w:rFonts w:hint="eastAsia"/>
                <w:szCs w:val="21"/>
                <w:highlight w:val="none"/>
              </w:rPr>
              <w:t>单位概况</w:t>
            </w:r>
          </w:p>
        </w:tc>
      </w:tr>
      <w:tr w14:paraId="25DE2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56DE7E87">
            <w:pPr>
              <w:widowControl/>
              <w:jc w:val="center"/>
              <w:textAlignment w:val="center"/>
              <w:rPr>
                <w:rFonts w:ascii="宋体" w:hAnsi="宋体" w:eastAsia="宋体" w:cs="宋体"/>
                <w:szCs w:val="21"/>
                <w:highlight w:val="none"/>
              </w:rPr>
            </w:pPr>
            <w:r>
              <w:rPr>
                <w:rFonts w:hint="eastAsia" w:ascii="宋体" w:hAnsi="宋体" w:eastAsia="宋体" w:cs="宋体"/>
                <w:spacing w:val="-2"/>
                <w:szCs w:val="21"/>
                <w:highlight w:val="none"/>
              </w:rPr>
              <w:t>参保</w:t>
            </w:r>
            <w:r>
              <w:rPr>
                <w:rFonts w:ascii="宋体" w:hAnsi="宋体" w:eastAsia="宋体" w:cs="宋体"/>
                <w:spacing w:val="-2"/>
                <w:szCs w:val="21"/>
                <w:highlight w:val="none"/>
              </w:rPr>
              <w:t>职工总人</w:t>
            </w:r>
            <w:r>
              <w:rPr>
                <w:rFonts w:ascii="宋体" w:hAnsi="宋体" w:eastAsia="宋体" w:cs="宋体"/>
                <w:spacing w:val="-1"/>
                <w:szCs w:val="21"/>
                <w:highlight w:val="none"/>
              </w:rPr>
              <w:t>数</w:t>
            </w:r>
          </w:p>
        </w:tc>
        <w:tc>
          <w:tcPr>
            <w:tcW w:w="990" w:type="dxa"/>
            <w:vAlign w:val="center"/>
          </w:tcPr>
          <w:p w14:paraId="21969D1A">
            <w:pPr>
              <w:widowControl/>
              <w:textAlignment w:val="center"/>
              <w:rPr>
                <w:rFonts w:ascii="宋体" w:hAnsi="宋体" w:eastAsia="宋体" w:cs="宋体"/>
                <w:szCs w:val="21"/>
                <w:highlight w:val="none"/>
              </w:rPr>
            </w:pPr>
          </w:p>
        </w:tc>
        <w:tc>
          <w:tcPr>
            <w:tcW w:w="1530" w:type="dxa"/>
            <w:vAlign w:val="center"/>
          </w:tcPr>
          <w:p w14:paraId="2C9D263C">
            <w:pPr>
              <w:widowControl/>
              <w:jc w:val="center"/>
              <w:textAlignment w:val="center"/>
              <w:rPr>
                <w:rFonts w:ascii="宋体" w:hAnsi="宋体" w:eastAsia="宋体" w:cs="宋体"/>
                <w:szCs w:val="21"/>
                <w:highlight w:val="none"/>
              </w:rPr>
            </w:pPr>
            <w:r>
              <w:rPr>
                <w:rFonts w:ascii="宋体" w:hAnsi="宋体" w:eastAsia="宋体" w:cs="宋体"/>
                <w:spacing w:val="-2"/>
                <w:szCs w:val="21"/>
                <w:highlight w:val="none"/>
              </w:rPr>
              <w:t>工程技术人</w:t>
            </w:r>
            <w:r>
              <w:rPr>
                <w:rFonts w:ascii="宋体" w:hAnsi="宋体" w:eastAsia="宋体" w:cs="宋体"/>
                <w:spacing w:val="-1"/>
                <w:szCs w:val="21"/>
                <w:highlight w:val="none"/>
              </w:rPr>
              <w:t>员</w:t>
            </w:r>
          </w:p>
        </w:tc>
        <w:tc>
          <w:tcPr>
            <w:tcW w:w="1063" w:type="dxa"/>
            <w:vAlign w:val="center"/>
          </w:tcPr>
          <w:p w14:paraId="050A940F">
            <w:pPr>
              <w:widowControl/>
              <w:jc w:val="center"/>
              <w:textAlignment w:val="center"/>
              <w:rPr>
                <w:rFonts w:ascii="宋体" w:hAnsi="宋体" w:eastAsia="宋体" w:cs="宋体"/>
                <w:szCs w:val="21"/>
                <w:highlight w:val="none"/>
              </w:rPr>
            </w:pPr>
          </w:p>
        </w:tc>
        <w:tc>
          <w:tcPr>
            <w:tcW w:w="1097" w:type="dxa"/>
            <w:vAlign w:val="center"/>
          </w:tcPr>
          <w:p w14:paraId="4AE79B26">
            <w:pPr>
              <w:widowControl/>
              <w:textAlignment w:val="center"/>
              <w:rPr>
                <w:rFonts w:ascii="宋体" w:hAnsi="宋体" w:eastAsia="宋体" w:cs="宋体"/>
                <w:szCs w:val="21"/>
                <w:highlight w:val="none"/>
              </w:rPr>
            </w:pPr>
            <w:r>
              <w:rPr>
                <w:rFonts w:ascii="宋体" w:hAnsi="宋体" w:eastAsia="宋体" w:cs="宋体"/>
                <w:spacing w:val="-3"/>
                <w:szCs w:val="21"/>
                <w:highlight w:val="none"/>
              </w:rPr>
              <w:t>生</w:t>
            </w:r>
            <w:r>
              <w:rPr>
                <w:rFonts w:ascii="宋体" w:hAnsi="宋体" w:eastAsia="宋体" w:cs="宋体"/>
                <w:spacing w:val="-2"/>
                <w:szCs w:val="21"/>
                <w:highlight w:val="none"/>
              </w:rPr>
              <w:t>产</w:t>
            </w:r>
            <w:r>
              <w:rPr>
                <w:rFonts w:hint="eastAsia" w:ascii="宋体" w:hAnsi="宋体" w:eastAsia="宋体" w:cs="宋体"/>
                <w:spacing w:val="-2"/>
                <w:szCs w:val="21"/>
                <w:highlight w:val="none"/>
              </w:rPr>
              <w:t>、销售人员</w:t>
            </w:r>
          </w:p>
        </w:tc>
        <w:tc>
          <w:tcPr>
            <w:tcW w:w="2820" w:type="dxa"/>
            <w:gridSpan w:val="2"/>
            <w:vAlign w:val="center"/>
          </w:tcPr>
          <w:p w14:paraId="333D6635">
            <w:pPr>
              <w:widowControl/>
              <w:jc w:val="center"/>
              <w:textAlignment w:val="center"/>
              <w:rPr>
                <w:rFonts w:ascii="宋体" w:hAnsi="宋体" w:eastAsia="宋体" w:cs="宋体"/>
                <w:szCs w:val="21"/>
                <w:highlight w:val="none"/>
              </w:rPr>
            </w:pPr>
          </w:p>
        </w:tc>
      </w:tr>
      <w:tr w14:paraId="5D5B0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B86CEFA">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企业优势、关键产品特点</w:t>
            </w:r>
          </w:p>
        </w:tc>
        <w:tc>
          <w:tcPr>
            <w:tcW w:w="7500" w:type="dxa"/>
            <w:gridSpan w:val="6"/>
            <w:vAlign w:val="center"/>
          </w:tcPr>
          <w:p w14:paraId="770CADB1">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3DC9D5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67DF3FE">
            <w:pPr>
              <w:widowControl/>
              <w:jc w:val="center"/>
              <w:textAlignment w:val="center"/>
              <w:rPr>
                <w:rFonts w:ascii="宋体" w:hAnsi="宋体" w:eastAsia="宋体" w:cs="宋体"/>
                <w:szCs w:val="21"/>
                <w:highlight w:val="none"/>
              </w:rPr>
            </w:pPr>
            <w:r>
              <w:rPr>
                <w:rFonts w:hint="eastAsia" w:ascii="宋体" w:hAnsi="宋体" w:eastAsia="宋体" w:cs="宋体"/>
                <w:color w:val="000000"/>
                <w:kern w:val="0"/>
                <w:szCs w:val="21"/>
                <w:highlight w:val="none"/>
                <w:lang w:bidi="ar"/>
              </w:rPr>
              <w:t>企业行业水平及行业口碑</w:t>
            </w:r>
          </w:p>
        </w:tc>
        <w:tc>
          <w:tcPr>
            <w:tcW w:w="7500" w:type="dxa"/>
            <w:gridSpan w:val="6"/>
            <w:vAlign w:val="center"/>
          </w:tcPr>
          <w:p w14:paraId="1BCE4796">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24D67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5AACBC7B">
            <w:pPr>
              <w:widowControl/>
              <w:jc w:val="center"/>
              <w:textAlignment w:val="center"/>
              <w:rPr>
                <w:rFonts w:ascii="宋体" w:hAnsi="宋体" w:eastAsia="宋体" w:cs="宋体"/>
                <w:szCs w:val="21"/>
                <w:highlight w:val="none"/>
              </w:rPr>
            </w:pPr>
            <w:r>
              <w:rPr>
                <w:rFonts w:ascii="宋体" w:hAnsi="宋体" w:eastAsia="宋体" w:cs="宋体"/>
                <w:spacing w:val="-10"/>
                <w:szCs w:val="21"/>
                <w:highlight w:val="none"/>
              </w:rPr>
              <w:t>公</w:t>
            </w:r>
            <w:r>
              <w:rPr>
                <w:rFonts w:ascii="宋体" w:hAnsi="宋体" w:eastAsia="宋体" w:cs="宋体"/>
                <w:spacing w:val="-7"/>
                <w:szCs w:val="21"/>
                <w:highlight w:val="none"/>
              </w:rPr>
              <w:t>司</w:t>
            </w:r>
            <w:r>
              <w:rPr>
                <w:rFonts w:ascii="宋体" w:hAnsi="宋体" w:eastAsia="宋体" w:cs="宋体"/>
                <w:spacing w:val="-5"/>
                <w:szCs w:val="21"/>
                <w:highlight w:val="none"/>
              </w:rPr>
              <w:t>现有主要研发、</w:t>
            </w:r>
            <w:r>
              <w:rPr>
                <w:rFonts w:ascii="宋体" w:hAnsi="宋体" w:eastAsia="宋体" w:cs="宋体"/>
                <w:szCs w:val="21"/>
                <w:highlight w:val="none"/>
              </w:rPr>
              <w:t xml:space="preserve"> </w:t>
            </w:r>
            <w:r>
              <w:rPr>
                <w:rFonts w:ascii="宋体" w:hAnsi="宋体" w:eastAsia="宋体" w:cs="宋体"/>
                <w:spacing w:val="-4"/>
                <w:szCs w:val="21"/>
                <w:highlight w:val="none"/>
              </w:rPr>
              <w:t>实</w:t>
            </w:r>
            <w:r>
              <w:rPr>
                <w:rFonts w:ascii="宋体" w:hAnsi="宋体" w:eastAsia="宋体" w:cs="宋体"/>
                <w:spacing w:val="-2"/>
                <w:szCs w:val="21"/>
                <w:highlight w:val="none"/>
              </w:rPr>
              <w:t>验、生产设备</w:t>
            </w:r>
          </w:p>
        </w:tc>
        <w:tc>
          <w:tcPr>
            <w:tcW w:w="7500" w:type="dxa"/>
            <w:gridSpan w:val="6"/>
            <w:vAlign w:val="center"/>
          </w:tcPr>
          <w:p w14:paraId="3AEDF632">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4A595D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669AF9E">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近三或五年企业类似业绩及履约情况</w:t>
            </w:r>
          </w:p>
        </w:tc>
        <w:tc>
          <w:tcPr>
            <w:tcW w:w="7500" w:type="dxa"/>
            <w:gridSpan w:val="6"/>
            <w:vAlign w:val="center"/>
          </w:tcPr>
          <w:p w14:paraId="026F9B9F">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1665D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313EBE3">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售后服务及质量</w:t>
            </w:r>
          </w:p>
        </w:tc>
        <w:tc>
          <w:tcPr>
            <w:tcW w:w="7500" w:type="dxa"/>
            <w:gridSpan w:val="6"/>
            <w:vAlign w:val="center"/>
          </w:tcPr>
          <w:p w14:paraId="60DE4541">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1BCC92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7A9326A">
            <w:pPr>
              <w:widowControl/>
              <w:textAlignment w:val="center"/>
              <w:rPr>
                <w:rFonts w:ascii="宋体" w:hAnsi="宋体" w:eastAsia="宋体" w:cs="宋体"/>
                <w:kern w:val="0"/>
                <w:szCs w:val="21"/>
                <w:highlight w:val="none"/>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47FDD35B">
            <w:pPr>
              <w:widowControl/>
              <w:jc w:val="left"/>
              <w:rPr>
                <w:rFonts w:ascii="宋体" w:hAnsi="宋体" w:eastAsia="宋体" w:cs="宋体"/>
                <w:kern w:val="0"/>
                <w:szCs w:val="21"/>
                <w:highlight w:val="none"/>
                <w:lang w:bidi="ar"/>
              </w:rPr>
            </w:pPr>
          </w:p>
        </w:tc>
      </w:tr>
    </w:tbl>
    <w:p w14:paraId="75C76CA9">
      <w:pPr>
        <w:pStyle w:val="17"/>
        <w:rPr>
          <w:rFonts w:ascii="Times New Roman" w:hAnsi="Times New Roman" w:eastAsia="宋体" w:cs="Times New Roman"/>
          <w:b/>
          <w:bCs/>
          <w:color w:val="000000"/>
          <w:sz w:val="24"/>
          <w:szCs w:val="24"/>
          <w:highlight w:val="none"/>
        </w:rPr>
      </w:pPr>
    </w:p>
    <w:p w14:paraId="68333A8F">
      <w:pPr>
        <w:pStyle w:val="17"/>
        <w:rPr>
          <w:rFonts w:ascii="Times New Roman" w:hAnsi="Times New Roman" w:eastAsia="宋体" w:cs="Times New Roman"/>
          <w:b/>
          <w:bCs/>
          <w:color w:val="000000"/>
          <w:sz w:val="24"/>
          <w:szCs w:val="24"/>
          <w:highlight w:val="none"/>
        </w:rPr>
      </w:pPr>
    </w:p>
    <w:p w14:paraId="36C91CBA">
      <w:pPr>
        <w:pStyle w:val="17"/>
        <w:rPr>
          <w:rFonts w:ascii="Times New Roman" w:hAnsi="Times New Roman" w:eastAsia="宋体" w:cs="Times New Roman"/>
          <w:b/>
          <w:bCs/>
          <w:color w:val="000000"/>
          <w:sz w:val="24"/>
          <w:szCs w:val="24"/>
          <w:highlight w:val="none"/>
        </w:rPr>
      </w:pPr>
    </w:p>
    <w:p w14:paraId="0CBBD2D8">
      <w:pPr>
        <w:pStyle w:val="17"/>
        <w:rPr>
          <w:rFonts w:ascii="Times New Roman" w:hAnsi="Times New Roman" w:eastAsia="宋体" w:cs="Times New Roman"/>
          <w:b/>
          <w:bCs/>
          <w:color w:val="000000"/>
          <w:sz w:val="24"/>
          <w:szCs w:val="24"/>
          <w:highlight w:val="none"/>
        </w:rPr>
      </w:pPr>
    </w:p>
    <w:p w14:paraId="53F50677">
      <w:pPr>
        <w:pStyle w:val="17"/>
        <w:rPr>
          <w:rFonts w:ascii="Times New Roman" w:hAnsi="Times New Roman" w:eastAsia="宋体" w:cs="Times New Roman"/>
          <w:b/>
          <w:bCs/>
          <w:color w:val="000000"/>
          <w:sz w:val="24"/>
          <w:szCs w:val="24"/>
          <w:highlight w:val="none"/>
        </w:rPr>
      </w:pPr>
    </w:p>
    <w:p w14:paraId="34CCB479">
      <w:pPr>
        <w:pStyle w:val="17"/>
        <w:rPr>
          <w:rFonts w:ascii="Times New Roman" w:hAnsi="Times New Roman" w:eastAsia="宋体" w:cs="Times New Roman"/>
          <w:b/>
          <w:bCs/>
          <w:color w:val="000000"/>
          <w:sz w:val="24"/>
          <w:szCs w:val="24"/>
          <w:highlight w:val="none"/>
        </w:rPr>
      </w:pPr>
    </w:p>
    <w:p w14:paraId="31C57596">
      <w:pPr>
        <w:pStyle w:val="17"/>
        <w:rPr>
          <w:rFonts w:ascii="Times New Roman" w:hAnsi="Times New Roman" w:eastAsia="宋体" w:cs="Times New Roman"/>
          <w:b/>
          <w:bCs/>
          <w:color w:val="000000"/>
          <w:sz w:val="24"/>
          <w:szCs w:val="24"/>
          <w:highlight w:val="none"/>
        </w:rPr>
      </w:pPr>
    </w:p>
    <w:p w14:paraId="1A423454">
      <w:pPr>
        <w:pStyle w:val="17"/>
        <w:rPr>
          <w:rFonts w:ascii="Times New Roman" w:hAnsi="Times New Roman" w:eastAsia="宋体" w:cs="Times New Roman"/>
          <w:b/>
          <w:bCs/>
          <w:color w:val="000000"/>
          <w:sz w:val="24"/>
          <w:szCs w:val="24"/>
          <w:highlight w:val="none"/>
        </w:rPr>
      </w:pPr>
    </w:p>
    <w:p w14:paraId="67926253">
      <w:pPr>
        <w:pStyle w:val="17"/>
        <w:outlineLvl w:val="3"/>
        <w:rPr>
          <w:rFonts w:ascii="Times New Roman" w:hAnsi="Times New Roman" w:eastAsia="宋体" w:cs="Times New Roman"/>
          <w:b/>
          <w:bCs/>
          <w:color w:val="000000"/>
          <w:sz w:val="24"/>
          <w:szCs w:val="24"/>
          <w:highlight w:val="none"/>
        </w:rPr>
      </w:pPr>
      <w:r>
        <w:rPr>
          <w:rFonts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hAnsi="宋体" w:eastAsia="宋体" w:cs="宋体"/>
          <w:spacing w:val="-7"/>
          <w:sz w:val="24"/>
          <w:szCs w:val="24"/>
          <w:highlight w:val="none"/>
        </w:rPr>
        <w:t xml:space="preserve"> </w:t>
      </w:r>
      <w:r>
        <w:rPr>
          <w:rFonts w:hAnsi="宋体" w:eastAsia="宋体" w:cs="宋体"/>
          <w:spacing w:val="-7"/>
          <w:sz w:val="24"/>
          <w:szCs w:val="24"/>
          <w:highlight w:val="none"/>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资产情况汇总表</w:t>
      </w:r>
    </w:p>
    <w:p w14:paraId="151E5166">
      <w:pPr>
        <w:pStyle w:val="17"/>
        <w:rPr>
          <w:rFonts w:ascii="Times New Roman" w:hAnsi="Times New Roman" w:eastAsia="宋体" w:cs="Times New Roman"/>
          <w:b/>
          <w:bCs/>
          <w:color w:val="000000"/>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350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2B2E8B9C">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6DDA3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448A2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4419ACF5">
            <w:pPr>
              <w:spacing w:line="440" w:lineRule="exact"/>
              <w:jc w:val="center"/>
              <w:rPr>
                <w:rFonts w:ascii="宋体" w:hAnsi="宋体"/>
                <w:color w:val="000000"/>
                <w:sz w:val="24"/>
                <w:szCs w:val="24"/>
                <w:highlight w:val="none"/>
              </w:rPr>
            </w:pPr>
          </w:p>
        </w:tc>
      </w:tr>
      <w:tr w14:paraId="5D283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8D45580">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7CDA11F1">
            <w:pPr>
              <w:spacing w:line="440" w:lineRule="exact"/>
              <w:jc w:val="center"/>
              <w:rPr>
                <w:rFonts w:ascii="宋体" w:hAnsi="宋体"/>
                <w:color w:val="000000"/>
                <w:sz w:val="24"/>
                <w:szCs w:val="24"/>
                <w:highlight w:val="none"/>
              </w:rPr>
            </w:pPr>
          </w:p>
        </w:tc>
      </w:tr>
      <w:tr w14:paraId="001CC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EBEEC3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63E0948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w:t>
            </w:r>
            <w:r>
              <w:rPr>
                <w:rFonts w:hint="eastAsia" w:ascii="宋体" w:hAnsi="宋体" w:eastAsia="宋体"/>
                <w:color w:val="000000"/>
                <w:sz w:val="24"/>
                <w:szCs w:val="24"/>
                <w:highlight w:val="none"/>
                <w:lang w:val="en-US" w:eastAsia="zh-CN"/>
              </w:rPr>
              <w:t>22</w:t>
            </w:r>
            <w:r>
              <w:rPr>
                <w:rFonts w:hint="eastAsia" w:ascii="宋体" w:hAnsi="宋体" w:eastAsia="宋体"/>
                <w:color w:val="000000"/>
                <w:sz w:val="24"/>
                <w:szCs w:val="24"/>
                <w:highlight w:val="none"/>
              </w:rPr>
              <w:t>年</w:t>
            </w:r>
          </w:p>
        </w:tc>
        <w:tc>
          <w:tcPr>
            <w:tcW w:w="1288" w:type="dxa"/>
            <w:vAlign w:val="center"/>
          </w:tcPr>
          <w:p w14:paraId="5B2E01A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18A18B0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23E4B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39234C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262D88E2">
            <w:pPr>
              <w:spacing w:line="440" w:lineRule="exact"/>
              <w:jc w:val="center"/>
              <w:rPr>
                <w:rFonts w:ascii="宋体" w:hAnsi="宋体"/>
                <w:color w:val="000000"/>
                <w:sz w:val="24"/>
                <w:szCs w:val="24"/>
                <w:highlight w:val="none"/>
              </w:rPr>
            </w:pPr>
          </w:p>
        </w:tc>
        <w:tc>
          <w:tcPr>
            <w:tcW w:w="1288" w:type="dxa"/>
          </w:tcPr>
          <w:p w14:paraId="061C6976">
            <w:pPr>
              <w:spacing w:line="440" w:lineRule="exact"/>
              <w:jc w:val="center"/>
              <w:rPr>
                <w:rFonts w:ascii="宋体" w:hAnsi="宋体"/>
                <w:color w:val="000000"/>
                <w:sz w:val="24"/>
                <w:szCs w:val="24"/>
                <w:highlight w:val="none"/>
              </w:rPr>
            </w:pPr>
          </w:p>
        </w:tc>
        <w:tc>
          <w:tcPr>
            <w:tcW w:w="1288" w:type="dxa"/>
          </w:tcPr>
          <w:p w14:paraId="1943F031">
            <w:pPr>
              <w:spacing w:line="440" w:lineRule="exact"/>
              <w:jc w:val="center"/>
              <w:rPr>
                <w:rFonts w:ascii="宋体" w:hAnsi="宋体"/>
                <w:color w:val="000000"/>
                <w:sz w:val="24"/>
                <w:szCs w:val="24"/>
                <w:highlight w:val="none"/>
              </w:rPr>
            </w:pPr>
          </w:p>
        </w:tc>
      </w:tr>
      <w:tr w14:paraId="7AE5A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29ADAE3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3C752E00">
            <w:pPr>
              <w:spacing w:line="440" w:lineRule="exact"/>
              <w:jc w:val="center"/>
              <w:rPr>
                <w:rFonts w:ascii="宋体" w:hAnsi="宋体"/>
                <w:color w:val="000000"/>
                <w:sz w:val="24"/>
                <w:szCs w:val="24"/>
                <w:highlight w:val="none"/>
              </w:rPr>
            </w:pPr>
          </w:p>
        </w:tc>
        <w:tc>
          <w:tcPr>
            <w:tcW w:w="1288" w:type="dxa"/>
          </w:tcPr>
          <w:p w14:paraId="01302D01">
            <w:pPr>
              <w:spacing w:line="440" w:lineRule="exact"/>
              <w:jc w:val="center"/>
              <w:rPr>
                <w:rFonts w:ascii="宋体" w:hAnsi="宋体"/>
                <w:color w:val="000000"/>
                <w:sz w:val="24"/>
                <w:szCs w:val="24"/>
                <w:highlight w:val="none"/>
              </w:rPr>
            </w:pPr>
          </w:p>
        </w:tc>
        <w:tc>
          <w:tcPr>
            <w:tcW w:w="1288" w:type="dxa"/>
          </w:tcPr>
          <w:p w14:paraId="47FEC3B1">
            <w:pPr>
              <w:spacing w:line="440" w:lineRule="exact"/>
              <w:jc w:val="center"/>
              <w:rPr>
                <w:rFonts w:ascii="宋体" w:hAnsi="宋体"/>
                <w:color w:val="000000"/>
                <w:sz w:val="24"/>
                <w:szCs w:val="24"/>
                <w:highlight w:val="none"/>
              </w:rPr>
            </w:pPr>
          </w:p>
        </w:tc>
      </w:tr>
      <w:tr w14:paraId="62B1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26789F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217961B3">
            <w:pPr>
              <w:spacing w:line="440" w:lineRule="exact"/>
              <w:jc w:val="center"/>
              <w:rPr>
                <w:rFonts w:ascii="宋体" w:hAnsi="宋体"/>
                <w:color w:val="000000"/>
                <w:sz w:val="24"/>
                <w:szCs w:val="24"/>
                <w:highlight w:val="none"/>
              </w:rPr>
            </w:pPr>
          </w:p>
        </w:tc>
        <w:tc>
          <w:tcPr>
            <w:tcW w:w="1288" w:type="dxa"/>
          </w:tcPr>
          <w:p w14:paraId="5A3EFDE1">
            <w:pPr>
              <w:spacing w:line="440" w:lineRule="exact"/>
              <w:jc w:val="center"/>
              <w:rPr>
                <w:rFonts w:ascii="宋体" w:hAnsi="宋体"/>
                <w:color w:val="000000"/>
                <w:sz w:val="24"/>
                <w:szCs w:val="24"/>
                <w:highlight w:val="none"/>
              </w:rPr>
            </w:pPr>
          </w:p>
        </w:tc>
        <w:tc>
          <w:tcPr>
            <w:tcW w:w="1288" w:type="dxa"/>
          </w:tcPr>
          <w:p w14:paraId="5A34D880">
            <w:pPr>
              <w:spacing w:line="440" w:lineRule="exact"/>
              <w:jc w:val="center"/>
              <w:rPr>
                <w:rFonts w:ascii="宋体" w:hAnsi="宋体"/>
                <w:color w:val="000000"/>
                <w:sz w:val="24"/>
                <w:szCs w:val="24"/>
                <w:highlight w:val="none"/>
              </w:rPr>
            </w:pPr>
          </w:p>
        </w:tc>
      </w:tr>
      <w:tr w14:paraId="0987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E8DBDA1">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43C7FB4A">
            <w:pPr>
              <w:spacing w:line="440" w:lineRule="exact"/>
              <w:jc w:val="center"/>
              <w:rPr>
                <w:rFonts w:ascii="宋体" w:hAnsi="宋体"/>
                <w:color w:val="000000"/>
                <w:sz w:val="24"/>
                <w:szCs w:val="24"/>
                <w:highlight w:val="none"/>
              </w:rPr>
            </w:pPr>
          </w:p>
        </w:tc>
        <w:tc>
          <w:tcPr>
            <w:tcW w:w="1288" w:type="dxa"/>
          </w:tcPr>
          <w:p w14:paraId="1A09F661">
            <w:pPr>
              <w:spacing w:line="440" w:lineRule="exact"/>
              <w:jc w:val="center"/>
              <w:rPr>
                <w:rFonts w:ascii="宋体" w:hAnsi="宋体"/>
                <w:color w:val="000000"/>
                <w:sz w:val="24"/>
                <w:szCs w:val="24"/>
                <w:highlight w:val="none"/>
              </w:rPr>
            </w:pPr>
          </w:p>
        </w:tc>
        <w:tc>
          <w:tcPr>
            <w:tcW w:w="1288" w:type="dxa"/>
          </w:tcPr>
          <w:p w14:paraId="38DDE6A4">
            <w:pPr>
              <w:spacing w:line="440" w:lineRule="exact"/>
              <w:jc w:val="center"/>
              <w:rPr>
                <w:rFonts w:ascii="宋体" w:hAnsi="宋体"/>
                <w:color w:val="000000"/>
                <w:sz w:val="24"/>
                <w:szCs w:val="24"/>
                <w:highlight w:val="none"/>
              </w:rPr>
            </w:pPr>
          </w:p>
        </w:tc>
      </w:tr>
      <w:tr w14:paraId="3CBB5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27F1A5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2C91DBA7">
            <w:pPr>
              <w:spacing w:line="440" w:lineRule="exact"/>
              <w:jc w:val="center"/>
              <w:rPr>
                <w:rFonts w:ascii="宋体" w:hAnsi="宋体"/>
                <w:color w:val="000000"/>
                <w:sz w:val="24"/>
                <w:szCs w:val="24"/>
                <w:highlight w:val="none"/>
              </w:rPr>
            </w:pPr>
          </w:p>
        </w:tc>
        <w:tc>
          <w:tcPr>
            <w:tcW w:w="1288" w:type="dxa"/>
          </w:tcPr>
          <w:p w14:paraId="2A4F442D">
            <w:pPr>
              <w:spacing w:line="440" w:lineRule="exact"/>
              <w:jc w:val="center"/>
              <w:rPr>
                <w:rFonts w:ascii="宋体" w:hAnsi="宋体"/>
                <w:color w:val="000000"/>
                <w:sz w:val="24"/>
                <w:szCs w:val="24"/>
                <w:highlight w:val="none"/>
              </w:rPr>
            </w:pPr>
          </w:p>
        </w:tc>
        <w:tc>
          <w:tcPr>
            <w:tcW w:w="1288" w:type="dxa"/>
          </w:tcPr>
          <w:p w14:paraId="5B76129C">
            <w:pPr>
              <w:spacing w:line="440" w:lineRule="exact"/>
              <w:jc w:val="center"/>
              <w:rPr>
                <w:rFonts w:ascii="宋体" w:hAnsi="宋体"/>
                <w:color w:val="000000"/>
                <w:sz w:val="24"/>
                <w:szCs w:val="24"/>
                <w:highlight w:val="none"/>
              </w:rPr>
            </w:pPr>
          </w:p>
        </w:tc>
      </w:tr>
      <w:tr w14:paraId="4F243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D1BAD75">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F05E1DA">
            <w:pPr>
              <w:spacing w:line="440" w:lineRule="exact"/>
              <w:jc w:val="center"/>
              <w:rPr>
                <w:rFonts w:ascii="宋体" w:hAnsi="宋体"/>
                <w:color w:val="000000"/>
                <w:sz w:val="24"/>
                <w:szCs w:val="24"/>
                <w:highlight w:val="none"/>
              </w:rPr>
            </w:pPr>
          </w:p>
        </w:tc>
        <w:tc>
          <w:tcPr>
            <w:tcW w:w="1288" w:type="dxa"/>
          </w:tcPr>
          <w:p w14:paraId="2BE172FF">
            <w:pPr>
              <w:spacing w:line="440" w:lineRule="exact"/>
              <w:jc w:val="center"/>
              <w:rPr>
                <w:rFonts w:ascii="宋体" w:hAnsi="宋体"/>
                <w:color w:val="000000"/>
                <w:sz w:val="24"/>
                <w:szCs w:val="24"/>
                <w:highlight w:val="none"/>
              </w:rPr>
            </w:pPr>
          </w:p>
        </w:tc>
        <w:tc>
          <w:tcPr>
            <w:tcW w:w="1288" w:type="dxa"/>
          </w:tcPr>
          <w:p w14:paraId="78D5080F">
            <w:pPr>
              <w:spacing w:line="440" w:lineRule="exact"/>
              <w:jc w:val="center"/>
              <w:rPr>
                <w:rFonts w:ascii="宋体" w:hAnsi="宋体"/>
                <w:color w:val="000000"/>
                <w:sz w:val="24"/>
                <w:szCs w:val="24"/>
                <w:highlight w:val="none"/>
              </w:rPr>
            </w:pPr>
          </w:p>
        </w:tc>
      </w:tr>
      <w:tr w14:paraId="6926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8D726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4CB20C3D">
            <w:pPr>
              <w:spacing w:line="440" w:lineRule="exact"/>
              <w:jc w:val="center"/>
              <w:rPr>
                <w:rFonts w:ascii="宋体" w:hAnsi="宋体"/>
                <w:color w:val="000000"/>
                <w:sz w:val="24"/>
                <w:szCs w:val="24"/>
                <w:highlight w:val="none"/>
              </w:rPr>
            </w:pPr>
          </w:p>
        </w:tc>
        <w:tc>
          <w:tcPr>
            <w:tcW w:w="1288" w:type="dxa"/>
          </w:tcPr>
          <w:p w14:paraId="15D98B69">
            <w:pPr>
              <w:spacing w:line="440" w:lineRule="exact"/>
              <w:jc w:val="center"/>
              <w:rPr>
                <w:rFonts w:ascii="宋体" w:hAnsi="宋体"/>
                <w:color w:val="000000"/>
                <w:sz w:val="24"/>
                <w:szCs w:val="24"/>
                <w:highlight w:val="none"/>
              </w:rPr>
            </w:pPr>
          </w:p>
        </w:tc>
        <w:tc>
          <w:tcPr>
            <w:tcW w:w="1288" w:type="dxa"/>
          </w:tcPr>
          <w:p w14:paraId="27913AEA">
            <w:pPr>
              <w:spacing w:line="440" w:lineRule="exact"/>
              <w:jc w:val="center"/>
              <w:rPr>
                <w:rFonts w:ascii="宋体" w:hAnsi="宋体"/>
                <w:color w:val="000000"/>
                <w:sz w:val="24"/>
                <w:szCs w:val="24"/>
                <w:highlight w:val="none"/>
              </w:rPr>
            </w:pPr>
          </w:p>
        </w:tc>
      </w:tr>
      <w:tr w14:paraId="26111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3CFDBEF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340C5ABF">
            <w:pPr>
              <w:spacing w:line="440" w:lineRule="exact"/>
              <w:jc w:val="center"/>
              <w:rPr>
                <w:rFonts w:ascii="宋体" w:hAnsi="宋体"/>
                <w:color w:val="000000"/>
                <w:sz w:val="24"/>
                <w:szCs w:val="24"/>
                <w:highlight w:val="none"/>
              </w:rPr>
            </w:pPr>
          </w:p>
        </w:tc>
        <w:tc>
          <w:tcPr>
            <w:tcW w:w="1288" w:type="dxa"/>
          </w:tcPr>
          <w:p w14:paraId="0AF2E585">
            <w:pPr>
              <w:spacing w:line="440" w:lineRule="exact"/>
              <w:jc w:val="center"/>
              <w:rPr>
                <w:rFonts w:ascii="宋体" w:hAnsi="宋体"/>
                <w:color w:val="000000"/>
                <w:sz w:val="24"/>
                <w:szCs w:val="24"/>
                <w:highlight w:val="none"/>
              </w:rPr>
            </w:pPr>
          </w:p>
        </w:tc>
        <w:tc>
          <w:tcPr>
            <w:tcW w:w="1288" w:type="dxa"/>
          </w:tcPr>
          <w:p w14:paraId="0611134A">
            <w:pPr>
              <w:spacing w:line="440" w:lineRule="exact"/>
              <w:jc w:val="center"/>
              <w:rPr>
                <w:rFonts w:ascii="宋体" w:hAnsi="宋体"/>
                <w:color w:val="000000"/>
                <w:sz w:val="24"/>
                <w:szCs w:val="24"/>
                <w:highlight w:val="none"/>
              </w:rPr>
            </w:pPr>
          </w:p>
        </w:tc>
      </w:tr>
      <w:tr w14:paraId="110BD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C62EC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0F549102">
            <w:pPr>
              <w:spacing w:line="440" w:lineRule="exact"/>
              <w:jc w:val="center"/>
              <w:rPr>
                <w:rFonts w:ascii="宋体" w:hAnsi="宋体"/>
                <w:color w:val="000000"/>
                <w:sz w:val="24"/>
                <w:szCs w:val="24"/>
                <w:highlight w:val="none"/>
              </w:rPr>
            </w:pPr>
          </w:p>
        </w:tc>
        <w:tc>
          <w:tcPr>
            <w:tcW w:w="1288" w:type="dxa"/>
          </w:tcPr>
          <w:p w14:paraId="1EEBA9DD">
            <w:pPr>
              <w:spacing w:line="440" w:lineRule="exact"/>
              <w:jc w:val="center"/>
              <w:rPr>
                <w:rFonts w:ascii="宋体" w:hAnsi="宋体"/>
                <w:color w:val="000000"/>
                <w:sz w:val="24"/>
                <w:szCs w:val="24"/>
                <w:highlight w:val="none"/>
              </w:rPr>
            </w:pPr>
          </w:p>
        </w:tc>
        <w:tc>
          <w:tcPr>
            <w:tcW w:w="1288" w:type="dxa"/>
          </w:tcPr>
          <w:p w14:paraId="5994A4F4">
            <w:pPr>
              <w:spacing w:line="440" w:lineRule="exact"/>
              <w:jc w:val="center"/>
              <w:rPr>
                <w:rFonts w:ascii="宋体" w:hAnsi="宋体"/>
                <w:color w:val="000000"/>
                <w:sz w:val="24"/>
                <w:szCs w:val="24"/>
                <w:highlight w:val="none"/>
              </w:rPr>
            </w:pPr>
          </w:p>
        </w:tc>
      </w:tr>
      <w:tr w14:paraId="40D7D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5364E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3C1D2F5F">
            <w:pPr>
              <w:spacing w:line="440" w:lineRule="exact"/>
              <w:jc w:val="center"/>
              <w:rPr>
                <w:rFonts w:ascii="宋体" w:hAnsi="宋体"/>
                <w:color w:val="000000"/>
                <w:sz w:val="24"/>
                <w:szCs w:val="24"/>
                <w:highlight w:val="none"/>
              </w:rPr>
            </w:pPr>
          </w:p>
        </w:tc>
        <w:tc>
          <w:tcPr>
            <w:tcW w:w="1288" w:type="dxa"/>
          </w:tcPr>
          <w:p w14:paraId="1C88AD15">
            <w:pPr>
              <w:spacing w:line="440" w:lineRule="exact"/>
              <w:jc w:val="center"/>
              <w:rPr>
                <w:rFonts w:ascii="宋体" w:hAnsi="宋体"/>
                <w:color w:val="000000"/>
                <w:sz w:val="24"/>
                <w:szCs w:val="24"/>
                <w:highlight w:val="none"/>
              </w:rPr>
            </w:pPr>
          </w:p>
        </w:tc>
        <w:tc>
          <w:tcPr>
            <w:tcW w:w="1288" w:type="dxa"/>
          </w:tcPr>
          <w:p w14:paraId="7236AD88">
            <w:pPr>
              <w:spacing w:line="440" w:lineRule="exact"/>
              <w:jc w:val="center"/>
              <w:rPr>
                <w:rFonts w:ascii="宋体" w:hAnsi="宋体"/>
                <w:color w:val="000000"/>
                <w:sz w:val="24"/>
                <w:szCs w:val="24"/>
                <w:highlight w:val="none"/>
              </w:rPr>
            </w:pPr>
          </w:p>
        </w:tc>
      </w:tr>
    </w:tbl>
    <w:p w14:paraId="63B649E3">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4413AEC0">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4CB4369">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1AC04968">
      <w:pPr>
        <w:rPr>
          <w:rFonts w:ascii="宋体" w:hAnsi="Calibri" w:eastAsia="宋体" w:cs="宋体"/>
          <w:b/>
          <w:bCs/>
          <w:color w:val="000000"/>
          <w:sz w:val="28"/>
          <w:szCs w:val="20"/>
          <w:highlight w:val="none"/>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3628B88A">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附件4</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保密承诺函</w:t>
      </w:r>
    </w:p>
    <w:p w14:paraId="4CFEA6A7">
      <w:pPr>
        <w:spacing w:line="240" w:lineRule="exact"/>
        <w:jc w:val="center"/>
        <w:rPr>
          <w:rFonts w:ascii="宋体" w:hAnsi="Calibri" w:eastAsia="宋体" w:cs="Times New Roman"/>
          <w:b/>
          <w:bCs/>
          <w:sz w:val="36"/>
          <w:szCs w:val="20"/>
          <w:highlight w:val="none"/>
        </w:rPr>
      </w:pPr>
    </w:p>
    <w:p w14:paraId="253CB7F1">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p>
    <w:p w14:paraId="15676AD0">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5B6BFCF2">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hint="eastAsia" w:ascii="宋体" w:hAnsi="宋体" w:eastAsia="宋体" w:cs="Times New Roman"/>
          <w:sz w:val="24"/>
          <w:szCs w:val="20"/>
          <w:highlight w:val="none"/>
          <w:lang w:eastAsia="zh-CN"/>
        </w:rPr>
        <w:t>投标人</w:t>
      </w:r>
      <w:r>
        <w:rPr>
          <w:rFonts w:hint="eastAsia" w:ascii="宋体" w:hAnsi="宋体" w:eastAsia="宋体" w:cs="Times New Roman"/>
          <w:sz w:val="24"/>
          <w:szCs w:val="20"/>
          <w:highlight w:val="none"/>
        </w:rPr>
        <w:t>名称）对招标人的商业秘密作如下承诺：</w:t>
      </w:r>
    </w:p>
    <w:p w14:paraId="5755DC68">
      <w:pPr>
        <w:spacing w:line="360" w:lineRule="auto"/>
        <w:ind w:left="479" w:leftChars="228"/>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highlight w:val="none"/>
          <w:u w:val="single"/>
        </w:rPr>
        <w:t xml:space="preserve">                                                                 </w:t>
      </w:r>
    </w:p>
    <w:p w14:paraId="2F62B1C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165BB0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18AC3C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814E4B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6145CC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D7CE54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6D8A60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C6E70D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E0B04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8F717E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8C2743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2673E5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7B64BA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BF6ACC0">
      <w:pPr>
        <w:spacing w:line="360" w:lineRule="auto"/>
        <w:ind w:firstLine="480" w:firstLineChars="200"/>
        <w:rPr>
          <w:rFonts w:ascii="宋体" w:hAnsi="宋体" w:eastAsia="宋体" w:cs="Times New Roman"/>
          <w:sz w:val="24"/>
          <w:szCs w:val="20"/>
          <w:highlight w:val="none"/>
          <w:u w:val="single"/>
        </w:rPr>
      </w:pPr>
    </w:p>
    <w:p w14:paraId="43A6BCC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15BCCBE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190E2EA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37ECAA46">
      <w:pPr>
        <w:rPr>
          <w:rFonts w:ascii="宋体" w:hAnsi="Calibri" w:eastAsia="宋体" w:cs="宋体"/>
          <w:b/>
          <w:bCs/>
          <w:color w:val="000000"/>
          <w:sz w:val="28"/>
          <w:szCs w:val="20"/>
          <w:highlight w:val="none"/>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6C1F091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highlight w:val="none"/>
        </w:rPr>
        <w:t>附件5</w:t>
      </w:r>
      <w:r>
        <w:rPr>
          <w:rFonts w:hint="eastAsia" w:ascii="Times New Roman" w:hAnsi="Times New Roman" w:eastAsia="宋体" w:cs="宋体"/>
          <w:b/>
          <w:bCs/>
          <w:color w:val="000000"/>
          <w:sz w:val="24"/>
          <w:szCs w:val="24"/>
          <w:highlight w:val="none"/>
          <w:lang w:val="en-US" w:eastAsia="zh-CN"/>
        </w:rPr>
        <w:t>-1</w:t>
      </w:r>
      <w:r>
        <w:rPr>
          <w:rFonts w:ascii="Times New Roman" w:hAnsi="Times New Roman" w:eastAsia="宋体" w:cs="宋体"/>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技术规格偏离表</w:t>
      </w:r>
    </w:p>
    <w:p w14:paraId="69FFF06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r>
        <w:rPr>
          <w:rFonts w:ascii="宋体" w:hAnsi="宋体" w:eastAsia="宋体" w:cs="Times New Roman"/>
          <w:color w:val="000000"/>
          <w:sz w:val="24"/>
          <w:szCs w:val="24"/>
          <w:highlight w:val="none"/>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BFA4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976F0E">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序号</w:t>
            </w:r>
          </w:p>
        </w:tc>
        <w:tc>
          <w:tcPr>
            <w:tcW w:w="3449" w:type="dxa"/>
            <w:vAlign w:val="center"/>
          </w:tcPr>
          <w:p w14:paraId="6F5BF05C">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招标要求</w:t>
            </w:r>
          </w:p>
        </w:tc>
        <w:tc>
          <w:tcPr>
            <w:tcW w:w="2414" w:type="dxa"/>
            <w:vAlign w:val="center"/>
          </w:tcPr>
          <w:p w14:paraId="475002A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08" w:type="dxa"/>
            <w:vAlign w:val="center"/>
          </w:tcPr>
          <w:p w14:paraId="4DA4DA4B">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tc>
      </w:tr>
      <w:tr w14:paraId="7FFF7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8F073ED">
            <w:pPr>
              <w:jc w:val="center"/>
              <w:rPr>
                <w:rFonts w:ascii="Times New Roman" w:hAnsi="Times New Roman" w:eastAsia="宋体" w:cs="Times New Roman"/>
                <w:b/>
                <w:sz w:val="24"/>
                <w:szCs w:val="20"/>
                <w:highlight w:val="none"/>
              </w:rPr>
            </w:pPr>
          </w:p>
        </w:tc>
        <w:tc>
          <w:tcPr>
            <w:tcW w:w="3449" w:type="dxa"/>
          </w:tcPr>
          <w:p w14:paraId="3758AB00">
            <w:pPr>
              <w:jc w:val="center"/>
              <w:rPr>
                <w:rFonts w:ascii="Times New Roman" w:hAnsi="Times New Roman" w:eastAsia="宋体" w:cs="Times New Roman"/>
                <w:b/>
                <w:sz w:val="24"/>
                <w:szCs w:val="20"/>
                <w:highlight w:val="none"/>
              </w:rPr>
            </w:pPr>
          </w:p>
        </w:tc>
        <w:tc>
          <w:tcPr>
            <w:tcW w:w="2414" w:type="dxa"/>
          </w:tcPr>
          <w:p w14:paraId="30CDA6A6">
            <w:pPr>
              <w:jc w:val="center"/>
              <w:rPr>
                <w:rFonts w:ascii="Times New Roman" w:hAnsi="Times New Roman" w:eastAsia="宋体" w:cs="Times New Roman"/>
                <w:b/>
                <w:sz w:val="24"/>
                <w:szCs w:val="20"/>
                <w:highlight w:val="none"/>
              </w:rPr>
            </w:pPr>
          </w:p>
        </w:tc>
        <w:tc>
          <w:tcPr>
            <w:tcW w:w="1608" w:type="dxa"/>
          </w:tcPr>
          <w:p w14:paraId="480CD9A8">
            <w:pPr>
              <w:jc w:val="center"/>
              <w:rPr>
                <w:rFonts w:ascii="Times New Roman" w:hAnsi="Times New Roman" w:eastAsia="宋体" w:cs="Times New Roman"/>
                <w:b/>
                <w:sz w:val="24"/>
                <w:szCs w:val="20"/>
                <w:highlight w:val="none"/>
              </w:rPr>
            </w:pPr>
          </w:p>
        </w:tc>
      </w:tr>
      <w:tr w14:paraId="1C7FC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4537F48">
            <w:pPr>
              <w:jc w:val="center"/>
              <w:rPr>
                <w:rFonts w:ascii="Times New Roman" w:hAnsi="Times New Roman" w:eastAsia="宋体" w:cs="Times New Roman"/>
                <w:b/>
                <w:sz w:val="24"/>
                <w:szCs w:val="20"/>
                <w:highlight w:val="none"/>
              </w:rPr>
            </w:pPr>
          </w:p>
        </w:tc>
        <w:tc>
          <w:tcPr>
            <w:tcW w:w="3449" w:type="dxa"/>
          </w:tcPr>
          <w:p w14:paraId="70941A2D">
            <w:pPr>
              <w:jc w:val="center"/>
              <w:rPr>
                <w:rFonts w:ascii="Times New Roman" w:hAnsi="Times New Roman" w:eastAsia="宋体" w:cs="Times New Roman"/>
                <w:b/>
                <w:sz w:val="24"/>
                <w:szCs w:val="20"/>
                <w:highlight w:val="none"/>
              </w:rPr>
            </w:pPr>
          </w:p>
        </w:tc>
        <w:tc>
          <w:tcPr>
            <w:tcW w:w="2414" w:type="dxa"/>
          </w:tcPr>
          <w:p w14:paraId="3DB9F5EF">
            <w:pPr>
              <w:jc w:val="center"/>
              <w:rPr>
                <w:rFonts w:ascii="Times New Roman" w:hAnsi="Times New Roman" w:eastAsia="宋体" w:cs="Times New Roman"/>
                <w:b/>
                <w:sz w:val="24"/>
                <w:szCs w:val="20"/>
                <w:highlight w:val="none"/>
              </w:rPr>
            </w:pPr>
          </w:p>
        </w:tc>
        <w:tc>
          <w:tcPr>
            <w:tcW w:w="1608" w:type="dxa"/>
          </w:tcPr>
          <w:p w14:paraId="3FC61751">
            <w:pPr>
              <w:jc w:val="center"/>
              <w:rPr>
                <w:rFonts w:ascii="Times New Roman" w:hAnsi="Times New Roman" w:eastAsia="宋体" w:cs="Times New Roman"/>
                <w:b/>
                <w:sz w:val="24"/>
                <w:szCs w:val="20"/>
                <w:highlight w:val="none"/>
              </w:rPr>
            </w:pPr>
          </w:p>
        </w:tc>
      </w:tr>
      <w:tr w14:paraId="52BE7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F034373">
            <w:pPr>
              <w:jc w:val="center"/>
              <w:rPr>
                <w:rFonts w:ascii="Times New Roman" w:hAnsi="Times New Roman" w:eastAsia="宋体" w:cs="Times New Roman"/>
                <w:b/>
                <w:sz w:val="24"/>
                <w:szCs w:val="20"/>
                <w:highlight w:val="none"/>
              </w:rPr>
            </w:pPr>
          </w:p>
        </w:tc>
        <w:tc>
          <w:tcPr>
            <w:tcW w:w="3449" w:type="dxa"/>
          </w:tcPr>
          <w:p w14:paraId="469FAA71">
            <w:pPr>
              <w:jc w:val="center"/>
              <w:rPr>
                <w:rFonts w:ascii="Times New Roman" w:hAnsi="Times New Roman" w:eastAsia="宋体" w:cs="Times New Roman"/>
                <w:b/>
                <w:sz w:val="24"/>
                <w:szCs w:val="20"/>
                <w:highlight w:val="none"/>
              </w:rPr>
            </w:pPr>
          </w:p>
        </w:tc>
        <w:tc>
          <w:tcPr>
            <w:tcW w:w="2414" w:type="dxa"/>
          </w:tcPr>
          <w:p w14:paraId="7472205E">
            <w:pPr>
              <w:jc w:val="center"/>
              <w:rPr>
                <w:rFonts w:ascii="Times New Roman" w:hAnsi="Times New Roman" w:eastAsia="宋体" w:cs="Times New Roman"/>
                <w:b/>
                <w:sz w:val="24"/>
                <w:szCs w:val="20"/>
                <w:highlight w:val="none"/>
              </w:rPr>
            </w:pPr>
          </w:p>
        </w:tc>
        <w:tc>
          <w:tcPr>
            <w:tcW w:w="1608" w:type="dxa"/>
          </w:tcPr>
          <w:p w14:paraId="38C926DA">
            <w:pPr>
              <w:jc w:val="center"/>
              <w:rPr>
                <w:rFonts w:ascii="Times New Roman" w:hAnsi="Times New Roman" w:eastAsia="宋体" w:cs="Times New Roman"/>
                <w:b/>
                <w:sz w:val="24"/>
                <w:szCs w:val="20"/>
                <w:highlight w:val="none"/>
              </w:rPr>
            </w:pPr>
          </w:p>
        </w:tc>
      </w:tr>
      <w:tr w14:paraId="20EDE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326F6912">
            <w:pPr>
              <w:jc w:val="center"/>
              <w:rPr>
                <w:rFonts w:ascii="Times New Roman" w:hAnsi="Times New Roman" w:eastAsia="宋体" w:cs="Times New Roman"/>
                <w:b/>
                <w:sz w:val="24"/>
                <w:szCs w:val="20"/>
                <w:highlight w:val="none"/>
              </w:rPr>
            </w:pPr>
          </w:p>
        </w:tc>
        <w:tc>
          <w:tcPr>
            <w:tcW w:w="3449" w:type="dxa"/>
          </w:tcPr>
          <w:p w14:paraId="204C5F4E">
            <w:pPr>
              <w:jc w:val="center"/>
              <w:rPr>
                <w:rFonts w:ascii="Times New Roman" w:hAnsi="Times New Roman" w:eastAsia="宋体" w:cs="Times New Roman"/>
                <w:b/>
                <w:sz w:val="24"/>
                <w:szCs w:val="20"/>
                <w:highlight w:val="none"/>
              </w:rPr>
            </w:pPr>
          </w:p>
        </w:tc>
        <w:tc>
          <w:tcPr>
            <w:tcW w:w="2414" w:type="dxa"/>
          </w:tcPr>
          <w:p w14:paraId="3FDE1221">
            <w:pPr>
              <w:jc w:val="center"/>
              <w:rPr>
                <w:rFonts w:ascii="Times New Roman" w:hAnsi="Times New Roman" w:eastAsia="宋体" w:cs="Times New Roman"/>
                <w:b/>
                <w:sz w:val="24"/>
                <w:szCs w:val="20"/>
                <w:highlight w:val="none"/>
              </w:rPr>
            </w:pPr>
          </w:p>
        </w:tc>
        <w:tc>
          <w:tcPr>
            <w:tcW w:w="1608" w:type="dxa"/>
          </w:tcPr>
          <w:p w14:paraId="627D9A97">
            <w:pPr>
              <w:jc w:val="center"/>
              <w:rPr>
                <w:rFonts w:ascii="Times New Roman" w:hAnsi="Times New Roman" w:eastAsia="宋体" w:cs="Times New Roman"/>
                <w:b/>
                <w:sz w:val="24"/>
                <w:szCs w:val="20"/>
                <w:highlight w:val="none"/>
              </w:rPr>
            </w:pPr>
          </w:p>
        </w:tc>
      </w:tr>
      <w:tr w14:paraId="3CEAC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CA1DBA">
            <w:pPr>
              <w:jc w:val="center"/>
              <w:rPr>
                <w:rFonts w:ascii="Times New Roman" w:hAnsi="Times New Roman" w:eastAsia="宋体" w:cs="Times New Roman"/>
                <w:b/>
                <w:sz w:val="24"/>
                <w:szCs w:val="20"/>
                <w:highlight w:val="none"/>
              </w:rPr>
            </w:pPr>
          </w:p>
        </w:tc>
        <w:tc>
          <w:tcPr>
            <w:tcW w:w="3449" w:type="dxa"/>
          </w:tcPr>
          <w:p w14:paraId="6F0DC550">
            <w:pPr>
              <w:jc w:val="center"/>
              <w:rPr>
                <w:rFonts w:ascii="Times New Roman" w:hAnsi="Times New Roman" w:eastAsia="宋体" w:cs="Times New Roman"/>
                <w:b/>
                <w:sz w:val="24"/>
                <w:szCs w:val="20"/>
                <w:highlight w:val="none"/>
              </w:rPr>
            </w:pPr>
          </w:p>
        </w:tc>
        <w:tc>
          <w:tcPr>
            <w:tcW w:w="2414" w:type="dxa"/>
          </w:tcPr>
          <w:p w14:paraId="37CEEA2B">
            <w:pPr>
              <w:jc w:val="center"/>
              <w:rPr>
                <w:rFonts w:ascii="Times New Roman" w:hAnsi="Times New Roman" w:eastAsia="宋体" w:cs="Times New Roman"/>
                <w:b/>
                <w:sz w:val="24"/>
                <w:szCs w:val="20"/>
                <w:highlight w:val="none"/>
              </w:rPr>
            </w:pPr>
          </w:p>
        </w:tc>
        <w:tc>
          <w:tcPr>
            <w:tcW w:w="1608" w:type="dxa"/>
          </w:tcPr>
          <w:p w14:paraId="51A6C006">
            <w:pPr>
              <w:jc w:val="center"/>
              <w:rPr>
                <w:rFonts w:ascii="Times New Roman" w:hAnsi="Times New Roman" w:eastAsia="宋体" w:cs="Times New Roman"/>
                <w:b/>
                <w:sz w:val="24"/>
                <w:szCs w:val="20"/>
                <w:highlight w:val="none"/>
              </w:rPr>
            </w:pPr>
          </w:p>
        </w:tc>
      </w:tr>
      <w:tr w14:paraId="374D9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67B8926">
            <w:pPr>
              <w:jc w:val="center"/>
              <w:rPr>
                <w:rFonts w:ascii="Times New Roman" w:hAnsi="Times New Roman" w:eastAsia="宋体" w:cs="Times New Roman"/>
                <w:b/>
                <w:sz w:val="24"/>
                <w:szCs w:val="20"/>
                <w:highlight w:val="none"/>
              </w:rPr>
            </w:pPr>
          </w:p>
        </w:tc>
        <w:tc>
          <w:tcPr>
            <w:tcW w:w="3449" w:type="dxa"/>
          </w:tcPr>
          <w:p w14:paraId="46202280">
            <w:pPr>
              <w:jc w:val="center"/>
              <w:rPr>
                <w:rFonts w:ascii="Times New Roman" w:hAnsi="Times New Roman" w:eastAsia="宋体" w:cs="Times New Roman"/>
                <w:b/>
                <w:sz w:val="24"/>
                <w:szCs w:val="20"/>
                <w:highlight w:val="none"/>
              </w:rPr>
            </w:pPr>
          </w:p>
        </w:tc>
        <w:tc>
          <w:tcPr>
            <w:tcW w:w="2414" w:type="dxa"/>
          </w:tcPr>
          <w:p w14:paraId="3E741FFB">
            <w:pPr>
              <w:jc w:val="center"/>
              <w:rPr>
                <w:rFonts w:ascii="Times New Roman" w:hAnsi="Times New Roman" w:eastAsia="宋体" w:cs="Times New Roman"/>
                <w:b/>
                <w:sz w:val="24"/>
                <w:szCs w:val="20"/>
                <w:highlight w:val="none"/>
              </w:rPr>
            </w:pPr>
          </w:p>
        </w:tc>
        <w:tc>
          <w:tcPr>
            <w:tcW w:w="1608" w:type="dxa"/>
          </w:tcPr>
          <w:p w14:paraId="3B480F3E">
            <w:pPr>
              <w:jc w:val="center"/>
              <w:rPr>
                <w:rFonts w:ascii="Times New Roman" w:hAnsi="Times New Roman" w:eastAsia="宋体" w:cs="Times New Roman"/>
                <w:b/>
                <w:sz w:val="24"/>
                <w:szCs w:val="20"/>
                <w:highlight w:val="none"/>
              </w:rPr>
            </w:pPr>
          </w:p>
        </w:tc>
      </w:tr>
      <w:tr w14:paraId="2F966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A155D73">
            <w:pPr>
              <w:jc w:val="center"/>
              <w:rPr>
                <w:rFonts w:ascii="Times New Roman" w:hAnsi="Times New Roman" w:eastAsia="宋体" w:cs="Times New Roman"/>
                <w:b/>
                <w:sz w:val="24"/>
                <w:szCs w:val="20"/>
                <w:highlight w:val="none"/>
              </w:rPr>
            </w:pPr>
          </w:p>
        </w:tc>
        <w:tc>
          <w:tcPr>
            <w:tcW w:w="3449" w:type="dxa"/>
          </w:tcPr>
          <w:p w14:paraId="312E224F">
            <w:pPr>
              <w:jc w:val="center"/>
              <w:rPr>
                <w:rFonts w:ascii="Times New Roman" w:hAnsi="Times New Roman" w:eastAsia="宋体" w:cs="Times New Roman"/>
                <w:b/>
                <w:sz w:val="24"/>
                <w:szCs w:val="20"/>
                <w:highlight w:val="none"/>
              </w:rPr>
            </w:pPr>
          </w:p>
        </w:tc>
        <w:tc>
          <w:tcPr>
            <w:tcW w:w="2414" w:type="dxa"/>
          </w:tcPr>
          <w:p w14:paraId="7C4FD7A2">
            <w:pPr>
              <w:jc w:val="center"/>
              <w:rPr>
                <w:rFonts w:ascii="Times New Roman" w:hAnsi="Times New Roman" w:eastAsia="宋体" w:cs="Times New Roman"/>
                <w:b/>
                <w:sz w:val="24"/>
                <w:szCs w:val="20"/>
                <w:highlight w:val="none"/>
              </w:rPr>
            </w:pPr>
          </w:p>
        </w:tc>
        <w:tc>
          <w:tcPr>
            <w:tcW w:w="1608" w:type="dxa"/>
          </w:tcPr>
          <w:p w14:paraId="545A04DC">
            <w:pPr>
              <w:jc w:val="center"/>
              <w:rPr>
                <w:rFonts w:ascii="Times New Roman" w:hAnsi="Times New Roman" w:eastAsia="宋体" w:cs="Times New Roman"/>
                <w:b/>
                <w:sz w:val="24"/>
                <w:szCs w:val="20"/>
                <w:highlight w:val="none"/>
              </w:rPr>
            </w:pPr>
          </w:p>
        </w:tc>
      </w:tr>
      <w:tr w14:paraId="28980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C6CA6BB">
            <w:pPr>
              <w:jc w:val="center"/>
              <w:rPr>
                <w:rFonts w:ascii="Times New Roman" w:hAnsi="Times New Roman" w:eastAsia="宋体" w:cs="Times New Roman"/>
                <w:b/>
                <w:sz w:val="24"/>
                <w:szCs w:val="20"/>
                <w:highlight w:val="none"/>
              </w:rPr>
            </w:pPr>
          </w:p>
        </w:tc>
        <w:tc>
          <w:tcPr>
            <w:tcW w:w="3449" w:type="dxa"/>
          </w:tcPr>
          <w:p w14:paraId="1E2B3186">
            <w:pPr>
              <w:jc w:val="center"/>
              <w:rPr>
                <w:rFonts w:ascii="Times New Roman" w:hAnsi="Times New Roman" w:eastAsia="宋体" w:cs="Times New Roman"/>
                <w:b/>
                <w:sz w:val="24"/>
                <w:szCs w:val="20"/>
                <w:highlight w:val="none"/>
              </w:rPr>
            </w:pPr>
          </w:p>
        </w:tc>
        <w:tc>
          <w:tcPr>
            <w:tcW w:w="2414" w:type="dxa"/>
          </w:tcPr>
          <w:p w14:paraId="4ECF2BBE">
            <w:pPr>
              <w:jc w:val="center"/>
              <w:rPr>
                <w:rFonts w:ascii="Times New Roman" w:hAnsi="Times New Roman" w:eastAsia="宋体" w:cs="Times New Roman"/>
                <w:b/>
                <w:sz w:val="24"/>
                <w:szCs w:val="20"/>
                <w:highlight w:val="none"/>
              </w:rPr>
            </w:pPr>
          </w:p>
        </w:tc>
        <w:tc>
          <w:tcPr>
            <w:tcW w:w="1608" w:type="dxa"/>
          </w:tcPr>
          <w:p w14:paraId="6ACE5E71">
            <w:pPr>
              <w:jc w:val="center"/>
              <w:rPr>
                <w:rFonts w:ascii="Times New Roman" w:hAnsi="Times New Roman" w:eastAsia="宋体" w:cs="Times New Roman"/>
                <w:b/>
                <w:sz w:val="24"/>
                <w:szCs w:val="20"/>
                <w:highlight w:val="none"/>
              </w:rPr>
            </w:pPr>
          </w:p>
        </w:tc>
      </w:tr>
      <w:tr w14:paraId="1508D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B4A5F61">
            <w:pPr>
              <w:jc w:val="center"/>
              <w:rPr>
                <w:rFonts w:ascii="Times New Roman" w:hAnsi="Times New Roman" w:eastAsia="宋体" w:cs="Times New Roman"/>
                <w:b/>
                <w:sz w:val="24"/>
                <w:szCs w:val="20"/>
                <w:highlight w:val="none"/>
              </w:rPr>
            </w:pPr>
          </w:p>
        </w:tc>
        <w:tc>
          <w:tcPr>
            <w:tcW w:w="3449" w:type="dxa"/>
          </w:tcPr>
          <w:p w14:paraId="6681618F">
            <w:pPr>
              <w:jc w:val="center"/>
              <w:rPr>
                <w:rFonts w:ascii="Times New Roman" w:hAnsi="Times New Roman" w:eastAsia="宋体" w:cs="Times New Roman"/>
                <w:b/>
                <w:sz w:val="24"/>
                <w:szCs w:val="20"/>
                <w:highlight w:val="none"/>
              </w:rPr>
            </w:pPr>
          </w:p>
        </w:tc>
        <w:tc>
          <w:tcPr>
            <w:tcW w:w="2414" w:type="dxa"/>
          </w:tcPr>
          <w:p w14:paraId="73EC3C93">
            <w:pPr>
              <w:jc w:val="center"/>
              <w:rPr>
                <w:rFonts w:ascii="Times New Roman" w:hAnsi="Times New Roman" w:eastAsia="宋体" w:cs="Times New Roman"/>
                <w:b/>
                <w:sz w:val="24"/>
                <w:szCs w:val="20"/>
                <w:highlight w:val="none"/>
              </w:rPr>
            </w:pPr>
          </w:p>
        </w:tc>
        <w:tc>
          <w:tcPr>
            <w:tcW w:w="1608" w:type="dxa"/>
          </w:tcPr>
          <w:p w14:paraId="24065AB5">
            <w:pPr>
              <w:jc w:val="center"/>
              <w:rPr>
                <w:rFonts w:ascii="Times New Roman" w:hAnsi="Times New Roman" w:eastAsia="宋体" w:cs="Times New Roman"/>
                <w:b/>
                <w:sz w:val="24"/>
                <w:szCs w:val="20"/>
                <w:highlight w:val="none"/>
              </w:rPr>
            </w:pPr>
          </w:p>
        </w:tc>
      </w:tr>
      <w:tr w14:paraId="3A96C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14D0242">
            <w:pPr>
              <w:jc w:val="center"/>
              <w:rPr>
                <w:rFonts w:ascii="Times New Roman" w:hAnsi="Times New Roman" w:eastAsia="宋体" w:cs="Times New Roman"/>
                <w:b/>
                <w:sz w:val="24"/>
                <w:szCs w:val="20"/>
                <w:highlight w:val="none"/>
              </w:rPr>
            </w:pPr>
          </w:p>
        </w:tc>
        <w:tc>
          <w:tcPr>
            <w:tcW w:w="3449" w:type="dxa"/>
          </w:tcPr>
          <w:p w14:paraId="5A9C8E48">
            <w:pPr>
              <w:jc w:val="center"/>
              <w:rPr>
                <w:rFonts w:ascii="Times New Roman" w:hAnsi="Times New Roman" w:eastAsia="宋体" w:cs="Times New Roman"/>
                <w:b/>
                <w:sz w:val="24"/>
                <w:szCs w:val="20"/>
                <w:highlight w:val="none"/>
              </w:rPr>
            </w:pPr>
          </w:p>
        </w:tc>
        <w:tc>
          <w:tcPr>
            <w:tcW w:w="2414" w:type="dxa"/>
          </w:tcPr>
          <w:p w14:paraId="1639C831">
            <w:pPr>
              <w:jc w:val="center"/>
              <w:rPr>
                <w:rFonts w:ascii="Times New Roman" w:hAnsi="Times New Roman" w:eastAsia="宋体" w:cs="Times New Roman"/>
                <w:b/>
                <w:sz w:val="24"/>
                <w:szCs w:val="20"/>
                <w:highlight w:val="none"/>
              </w:rPr>
            </w:pPr>
          </w:p>
        </w:tc>
        <w:tc>
          <w:tcPr>
            <w:tcW w:w="1608" w:type="dxa"/>
          </w:tcPr>
          <w:p w14:paraId="6359D9B0">
            <w:pPr>
              <w:jc w:val="center"/>
              <w:rPr>
                <w:rFonts w:ascii="Times New Roman" w:hAnsi="Times New Roman" w:eastAsia="宋体" w:cs="Times New Roman"/>
                <w:b/>
                <w:sz w:val="24"/>
                <w:szCs w:val="20"/>
                <w:highlight w:val="none"/>
              </w:rPr>
            </w:pPr>
          </w:p>
        </w:tc>
      </w:tr>
      <w:tr w14:paraId="4CAA3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71D59AC">
            <w:pPr>
              <w:jc w:val="center"/>
              <w:rPr>
                <w:rFonts w:ascii="Times New Roman" w:hAnsi="Times New Roman" w:eastAsia="宋体" w:cs="Times New Roman"/>
                <w:b/>
                <w:sz w:val="24"/>
                <w:szCs w:val="20"/>
                <w:highlight w:val="none"/>
              </w:rPr>
            </w:pPr>
          </w:p>
        </w:tc>
        <w:tc>
          <w:tcPr>
            <w:tcW w:w="3449" w:type="dxa"/>
          </w:tcPr>
          <w:p w14:paraId="0C3AE33B">
            <w:pPr>
              <w:jc w:val="center"/>
              <w:rPr>
                <w:rFonts w:ascii="Times New Roman" w:hAnsi="Times New Roman" w:eastAsia="宋体" w:cs="Times New Roman"/>
                <w:b/>
                <w:sz w:val="24"/>
                <w:szCs w:val="20"/>
                <w:highlight w:val="none"/>
              </w:rPr>
            </w:pPr>
          </w:p>
        </w:tc>
        <w:tc>
          <w:tcPr>
            <w:tcW w:w="2414" w:type="dxa"/>
          </w:tcPr>
          <w:p w14:paraId="782EA20A">
            <w:pPr>
              <w:jc w:val="center"/>
              <w:rPr>
                <w:rFonts w:ascii="Times New Roman" w:hAnsi="Times New Roman" w:eastAsia="宋体" w:cs="Times New Roman"/>
                <w:b/>
                <w:sz w:val="24"/>
                <w:szCs w:val="20"/>
                <w:highlight w:val="none"/>
              </w:rPr>
            </w:pPr>
          </w:p>
        </w:tc>
        <w:tc>
          <w:tcPr>
            <w:tcW w:w="1608" w:type="dxa"/>
          </w:tcPr>
          <w:p w14:paraId="69B02D41">
            <w:pPr>
              <w:jc w:val="center"/>
              <w:rPr>
                <w:rFonts w:ascii="Times New Roman" w:hAnsi="Times New Roman" w:eastAsia="宋体" w:cs="Times New Roman"/>
                <w:b/>
                <w:sz w:val="24"/>
                <w:szCs w:val="20"/>
                <w:highlight w:val="none"/>
              </w:rPr>
            </w:pPr>
          </w:p>
        </w:tc>
      </w:tr>
      <w:tr w14:paraId="70801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A06F1A">
            <w:pPr>
              <w:jc w:val="center"/>
              <w:rPr>
                <w:rFonts w:ascii="Times New Roman" w:hAnsi="Times New Roman" w:eastAsia="宋体" w:cs="Times New Roman"/>
                <w:b/>
                <w:sz w:val="24"/>
                <w:szCs w:val="20"/>
                <w:highlight w:val="none"/>
              </w:rPr>
            </w:pPr>
          </w:p>
        </w:tc>
        <w:tc>
          <w:tcPr>
            <w:tcW w:w="3449" w:type="dxa"/>
          </w:tcPr>
          <w:p w14:paraId="5133CBB7">
            <w:pPr>
              <w:jc w:val="center"/>
              <w:rPr>
                <w:rFonts w:ascii="Times New Roman" w:hAnsi="Times New Roman" w:eastAsia="宋体" w:cs="Times New Roman"/>
                <w:b/>
                <w:sz w:val="24"/>
                <w:szCs w:val="20"/>
                <w:highlight w:val="none"/>
              </w:rPr>
            </w:pPr>
          </w:p>
        </w:tc>
        <w:tc>
          <w:tcPr>
            <w:tcW w:w="2414" w:type="dxa"/>
          </w:tcPr>
          <w:p w14:paraId="161D2206">
            <w:pPr>
              <w:jc w:val="center"/>
              <w:rPr>
                <w:rFonts w:ascii="Times New Roman" w:hAnsi="Times New Roman" w:eastAsia="宋体" w:cs="Times New Roman"/>
                <w:b/>
                <w:sz w:val="24"/>
                <w:szCs w:val="20"/>
                <w:highlight w:val="none"/>
              </w:rPr>
            </w:pPr>
          </w:p>
        </w:tc>
        <w:tc>
          <w:tcPr>
            <w:tcW w:w="1608" w:type="dxa"/>
          </w:tcPr>
          <w:p w14:paraId="5254B91B">
            <w:pPr>
              <w:jc w:val="center"/>
              <w:rPr>
                <w:rFonts w:ascii="Times New Roman" w:hAnsi="Times New Roman" w:eastAsia="宋体" w:cs="Times New Roman"/>
                <w:b/>
                <w:sz w:val="24"/>
                <w:szCs w:val="20"/>
                <w:highlight w:val="none"/>
              </w:rPr>
            </w:pPr>
          </w:p>
        </w:tc>
      </w:tr>
      <w:tr w14:paraId="16082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D6CE281">
            <w:pPr>
              <w:jc w:val="center"/>
              <w:rPr>
                <w:rFonts w:ascii="Times New Roman" w:hAnsi="Times New Roman" w:eastAsia="宋体" w:cs="Times New Roman"/>
                <w:b/>
                <w:sz w:val="24"/>
                <w:szCs w:val="20"/>
                <w:highlight w:val="none"/>
              </w:rPr>
            </w:pPr>
          </w:p>
        </w:tc>
        <w:tc>
          <w:tcPr>
            <w:tcW w:w="3449" w:type="dxa"/>
          </w:tcPr>
          <w:p w14:paraId="0A70C742">
            <w:pPr>
              <w:jc w:val="center"/>
              <w:rPr>
                <w:rFonts w:ascii="Times New Roman" w:hAnsi="Times New Roman" w:eastAsia="宋体" w:cs="Times New Roman"/>
                <w:b/>
                <w:sz w:val="24"/>
                <w:szCs w:val="20"/>
                <w:highlight w:val="none"/>
              </w:rPr>
            </w:pPr>
          </w:p>
        </w:tc>
        <w:tc>
          <w:tcPr>
            <w:tcW w:w="2414" w:type="dxa"/>
          </w:tcPr>
          <w:p w14:paraId="5358A6AF">
            <w:pPr>
              <w:jc w:val="center"/>
              <w:rPr>
                <w:rFonts w:ascii="Times New Roman" w:hAnsi="Times New Roman" w:eastAsia="宋体" w:cs="Times New Roman"/>
                <w:b/>
                <w:sz w:val="24"/>
                <w:szCs w:val="20"/>
                <w:highlight w:val="none"/>
              </w:rPr>
            </w:pPr>
          </w:p>
        </w:tc>
        <w:tc>
          <w:tcPr>
            <w:tcW w:w="1608" w:type="dxa"/>
          </w:tcPr>
          <w:p w14:paraId="5B7EBBAA">
            <w:pPr>
              <w:jc w:val="center"/>
              <w:rPr>
                <w:rFonts w:ascii="Times New Roman" w:hAnsi="Times New Roman" w:eastAsia="宋体" w:cs="Times New Roman"/>
                <w:b/>
                <w:sz w:val="24"/>
                <w:szCs w:val="20"/>
                <w:highlight w:val="none"/>
              </w:rPr>
            </w:pPr>
          </w:p>
        </w:tc>
      </w:tr>
      <w:tr w14:paraId="491AC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A1E771">
            <w:pPr>
              <w:jc w:val="center"/>
              <w:rPr>
                <w:rFonts w:ascii="Times New Roman" w:hAnsi="Times New Roman" w:eastAsia="宋体" w:cs="Times New Roman"/>
                <w:b/>
                <w:sz w:val="24"/>
                <w:szCs w:val="20"/>
                <w:highlight w:val="none"/>
              </w:rPr>
            </w:pPr>
          </w:p>
        </w:tc>
        <w:tc>
          <w:tcPr>
            <w:tcW w:w="3449" w:type="dxa"/>
          </w:tcPr>
          <w:p w14:paraId="1BBFB31A">
            <w:pPr>
              <w:jc w:val="center"/>
              <w:rPr>
                <w:rFonts w:ascii="Times New Roman" w:hAnsi="Times New Roman" w:eastAsia="宋体" w:cs="Times New Roman"/>
                <w:b/>
                <w:sz w:val="24"/>
                <w:szCs w:val="20"/>
                <w:highlight w:val="none"/>
              </w:rPr>
            </w:pPr>
          </w:p>
        </w:tc>
        <w:tc>
          <w:tcPr>
            <w:tcW w:w="2414" w:type="dxa"/>
          </w:tcPr>
          <w:p w14:paraId="765D9E7E">
            <w:pPr>
              <w:jc w:val="center"/>
              <w:rPr>
                <w:rFonts w:ascii="Times New Roman" w:hAnsi="Times New Roman" w:eastAsia="宋体" w:cs="Times New Roman"/>
                <w:b/>
                <w:sz w:val="24"/>
                <w:szCs w:val="20"/>
                <w:highlight w:val="none"/>
              </w:rPr>
            </w:pPr>
          </w:p>
        </w:tc>
        <w:tc>
          <w:tcPr>
            <w:tcW w:w="1608" w:type="dxa"/>
          </w:tcPr>
          <w:p w14:paraId="3A43EFC5">
            <w:pPr>
              <w:jc w:val="center"/>
              <w:rPr>
                <w:rFonts w:ascii="Times New Roman" w:hAnsi="Times New Roman" w:eastAsia="宋体" w:cs="Times New Roman"/>
                <w:b/>
                <w:sz w:val="24"/>
                <w:szCs w:val="20"/>
                <w:highlight w:val="none"/>
              </w:rPr>
            </w:pPr>
          </w:p>
        </w:tc>
      </w:tr>
    </w:tbl>
    <w:p w14:paraId="6DC7A83A">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0AC8DF3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76FE6B68">
      <w:pPr>
        <w:rPr>
          <w:rFonts w:ascii="宋体" w:hAnsi="Calibri" w:eastAsia="宋体" w:cs="宋体"/>
          <w:b/>
          <w:bCs/>
          <w:color w:val="000000"/>
          <w:sz w:val="28"/>
          <w:szCs w:val="20"/>
          <w:highlight w:val="none"/>
        </w:rPr>
      </w:pPr>
    </w:p>
    <w:p w14:paraId="245035E4">
      <w:pPr>
        <w:rPr>
          <w:rFonts w:ascii="宋体" w:hAnsi="Calibri" w:eastAsia="宋体" w:cs="宋体"/>
          <w:b/>
          <w:bCs/>
          <w:color w:val="000000"/>
          <w:sz w:val="28"/>
          <w:szCs w:val="20"/>
          <w:highlight w:val="none"/>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7953B49F">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highlight w:val="none"/>
        </w:rPr>
        <w:t>附件5</w:t>
      </w:r>
      <w:r>
        <w:rPr>
          <w:rFonts w:hint="eastAsia" w:ascii="Times New Roman" w:hAnsi="Times New Roman" w:eastAsia="宋体" w:cs="宋体"/>
          <w:b/>
          <w:bCs/>
          <w:color w:val="000000"/>
          <w:sz w:val="24"/>
          <w:szCs w:val="24"/>
          <w:highlight w:val="none"/>
          <w:lang w:val="en-US" w:eastAsia="zh-CN"/>
        </w:rPr>
        <w:t>-2</w:t>
      </w:r>
      <w:r>
        <w:rPr>
          <w:rFonts w:ascii="Times New Roman" w:hAnsi="Times New Roman" w:eastAsia="宋体" w:cs="宋体"/>
          <w:b/>
          <w:bCs/>
          <w:color w:val="000000"/>
          <w:sz w:val="24"/>
          <w:szCs w:val="24"/>
          <w:highlight w:val="none"/>
        </w:rPr>
        <w:t xml:space="preserve"> </w:t>
      </w: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14:paraId="0A934E81">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14:paraId="5F31B1FA">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8"/>
        <w:tblW w:w="139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3"/>
        <w:gridCol w:w="3997"/>
        <w:gridCol w:w="3015"/>
        <w:gridCol w:w="1563"/>
        <w:gridCol w:w="1034"/>
        <w:gridCol w:w="2178"/>
        <w:gridCol w:w="1267"/>
      </w:tblGrid>
      <w:tr w14:paraId="715831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 w:hRule="atLeast"/>
        </w:trPr>
        <w:tc>
          <w:tcPr>
            <w:tcW w:w="863" w:type="dxa"/>
            <w:vAlign w:val="center"/>
          </w:tcPr>
          <w:p w14:paraId="4AE4E352">
            <w:pPr>
              <w:keepNext w:val="0"/>
              <w:keepLines w:val="0"/>
              <w:pageBreakBefore w:val="0"/>
              <w:widowControl w:val="0"/>
              <w:kinsoku/>
              <w:wordWrap/>
              <w:overflowPunct/>
              <w:topLinePunct w:val="0"/>
              <w:autoSpaceDE/>
              <w:autoSpaceDN/>
              <w:bidi w:val="0"/>
              <w:adjustRightInd/>
              <w:snapToGrid/>
              <w:spacing w:line="186"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3997" w:type="dxa"/>
            <w:vAlign w:val="center"/>
          </w:tcPr>
          <w:p w14:paraId="3664AEB8">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3015" w:type="dxa"/>
            <w:vAlign w:val="center"/>
          </w:tcPr>
          <w:p w14:paraId="5AB97193">
            <w:pPr>
              <w:keepNext w:val="0"/>
              <w:keepLines w:val="0"/>
              <w:pageBreakBefore w:val="0"/>
              <w:widowControl w:val="0"/>
              <w:kinsoku/>
              <w:wordWrap/>
              <w:overflowPunct/>
              <w:topLinePunct w:val="0"/>
              <w:autoSpaceDE/>
              <w:autoSpaceDN/>
              <w:bidi w:val="0"/>
              <w:adjustRightInd/>
              <w:snapToGrid/>
              <w:spacing w:line="183"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563" w:type="dxa"/>
            <w:vAlign w:val="center"/>
          </w:tcPr>
          <w:p w14:paraId="078F8ED0">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1034" w:type="dxa"/>
            <w:vAlign w:val="center"/>
          </w:tcPr>
          <w:p w14:paraId="5E064F76">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178" w:type="dxa"/>
            <w:tcBorders>
              <w:left w:val="single" w:color="000000" w:sz="4" w:space="0"/>
            </w:tcBorders>
            <w:vAlign w:val="center"/>
          </w:tcPr>
          <w:p w14:paraId="2A6158BD">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6</w:t>
            </w:r>
          </w:p>
        </w:tc>
        <w:tc>
          <w:tcPr>
            <w:tcW w:w="1267" w:type="dxa"/>
            <w:vAlign w:val="center"/>
          </w:tcPr>
          <w:p w14:paraId="10CC58D6">
            <w:pPr>
              <w:keepNext w:val="0"/>
              <w:keepLines w:val="0"/>
              <w:pageBreakBefore w:val="0"/>
              <w:widowControl w:val="0"/>
              <w:kinsoku/>
              <w:wordWrap/>
              <w:overflowPunct/>
              <w:topLinePunct w:val="0"/>
              <w:autoSpaceDE/>
              <w:autoSpaceDN/>
              <w:bidi w:val="0"/>
              <w:adjustRightInd/>
              <w:snapToGrid/>
              <w:spacing w:line="183" w:lineRule="auto"/>
              <w:ind w:left="0" w:firstLine="420" w:firstLineChars="200"/>
              <w:jc w:val="left"/>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7</w:t>
            </w:r>
          </w:p>
        </w:tc>
      </w:tr>
      <w:tr w14:paraId="05D7D6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863" w:type="dxa"/>
            <w:vAlign w:val="center"/>
          </w:tcPr>
          <w:p w14:paraId="7FAB0AB3">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序号</w:t>
            </w:r>
          </w:p>
        </w:tc>
        <w:tc>
          <w:tcPr>
            <w:tcW w:w="3997" w:type="dxa"/>
            <w:vAlign w:val="center"/>
          </w:tcPr>
          <w:p w14:paraId="4461531E">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货物名称</w:t>
            </w:r>
          </w:p>
        </w:tc>
        <w:tc>
          <w:tcPr>
            <w:tcW w:w="3015" w:type="dxa"/>
            <w:vAlign w:val="center"/>
          </w:tcPr>
          <w:p w14:paraId="6C6964B4">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563" w:type="dxa"/>
            <w:vAlign w:val="center"/>
          </w:tcPr>
          <w:p w14:paraId="35FFE11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1034" w:type="dxa"/>
            <w:vAlign w:val="center"/>
          </w:tcPr>
          <w:p w14:paraId="631FD61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2178" w:type="dxa"/>
            <w:tcBorders>
              <w:left w:val="single" w:color="000000" w:sz="4" w:space="0"/>
            </w:tcBorders>
            <w:vAlign w:val="center"/>
          </w:tcPr>
          <w:p w14:paraId="19F186A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267" w:type="dxa"/>
            <w:vAlign w:val="center"/>
          </w:tcPr>
          <w:p w14:paraId="2BCCD1C6">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备注</w:t>
            </w:r>
          </w:p>
        </w:tc>
      </w:tr>
      <w:tr w14:paraId="342F9B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7110542F">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1</w:t>
            </w:r>
          </w:p>
        </w:tc>
        <w:tc>
          <w:tcPr>
            <w:tcW w:w="3997" w:type="dxa"/>
            <w:shd w:val="clear" w:color="auto" w:fill="auto"/>
            <w:vAlign w:val="center"/>
          </w:tcPr>
          <w:p w14:paraId="0CBD63EB">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支撑结构</w:t>
            </w:r>
          </w:p>
        </w:tc>
        <w:tc>
          <w:tcPr>
            <w:tcW w:w="3015" w:type="dxa"/>
            <w:shd w:val="clear" w:color="auto" w:fill="auto"/>
            <w:vAlign w:val="center"/>
          </w:tcPr>
          <w:p w14:paraId="4FBF26EF">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537188B3">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3A476013">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0EA1D8C6">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29A4B2B7">
            <w:pPr>
              <w:jc w:val="center"/>
              <w:rPr>
                <w:rFonts w:hint="eastAsia" w:ascii="宋体" w:hAnsi="宋体" w:eastAsia="宋体" w:cs="宋体"/>
                <w:sz w:val="20"/>
                <w:szCs w:val="20"/>
                <w:highlight w:val="none"/>
              </w:rPr>
            </w:pPr>
          </w:p>
        </w:tc>
      </w:tr>
      <w:tr w14:paraId="30211C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7467D9D6">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3997" w:type="dxa"/>
            <w:shd w:val="clear" w:color="auto" w:fill="auto"/>
            <w:vAlign w:val="center"/>
          </w:tcPr>
          <w:p w14:paraId="57BA3F78">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压装结构</w:t>
            </w:r>
          </w:p>
        </w:tc>
        <w:tc>
          <w:tcPr>
            <w:tcW w:w="3015" w:type="dxa"/>
            <w:shd w:val="clear" w:color="auto" w:fill="auto"/>
            <w:vAlign w:val="center"/>
          </w:tcPr>
          <w:p w14:paraId="5A08A1E8">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379C6DB1">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2913D868">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5A1E5941">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2E04C660">
            <w:pPr>
              <w:jc w:val="center"/>
              <w:rPr>
                <w:rFonts w:hint="eastAsia" w:ascii="宋体" w:hAnsi="宋体" w:eastAsia="宋体" w:cs="宋体"/>
                <w:sz w:val="20"/>
                <w:szCs w:val="20"/>
                <w:highlight w:val="none"/>
              </w:rPr>
            </w:pPr>
          </w:p>
        </w:tc>
      </w:tr>
      <w:tr w14:paraId="1CDB28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794F31F3">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3997" w:type="dxa"/>
            <w:shd w:val="clear" w:color="auto" w:fill="auto"/>
            <w:vAlign w:val="center"/>
          </w:tcPr>
          <w:p w14:paraId="5F783FDA">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外围附件</w:t>
            </w:r>
          </w:p>
        </w:tc>
        <w:tc>
          <w:tcPr>
            <w:tcW w:w="3015" w:type="dxa"/>
            <w:shd w:val="clear" w:color="auto" w:fill="auto"/>
            <w:vAlign w:val="center"/>
          </w:tcPr>
          <w:p w14:paraId="188763EC">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67AE3D0D">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2835CACE">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7E4AD77B">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2F556396">
            <w:pPr>
              <w:jc w:val="center"/>
              <w:rPr>
                <w:rFonts w:hint="eastAsia" w:ascii="宋体" w:hAnsi="宋体" w:eastAsia="宋体" w:cs="宋体"/>
                <w:sz w:val="20"/>
                <w:szCs w:val="20"/>
                <w:highlight w:val="none"/>
              </w:rPr>
            </w:pPr>
          </w:p>
        </w:tc>
      </w:tr>
      <w:tr w14:paraId="357B2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0501D150">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4</w:t>
            </w:r>
          </w:p>
        </w:tc>
        <w:tc>
          <w:tcPr>
            <w:tcW w:w="3997" w:type="dxa"/>
            <w:shd w:val="clear" w:color="auto" w:fill="auto"/>
            <w:vAlign w:val="center"/>
          </w:tcPr>
          <w:p w14:paraId="43E8529C">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原线体改造</w:t>
            </w:r>
          </w:p>
        </w:tc>
        <w:tc>
          <w:tcPr>
            <w:tcW w:w="3015" w:type="dxa"/>
            <w:shd w:val="clear" w:color="auto" w:fill="auto"/>
            <w:vAlign w:val="center"/>
          </w:tcPr>
          <w:p w14:paraId="69229FB7">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1D6B991A">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5732EC80">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6C296318">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41662875">
            <w:pPr>
              <w:jc w:val="center"/>
              <w:rPr>
                <w:rFonts w:hint="eastAsia" w:ascii="宋体" w:hAnsi="宋体" w:eastAsia="宋体" w:cs="宋体"/>
                <w:sz w:val="20"/>
                <w:szCs w:val="20"/>
                <w:highlight w:val="none"/>
              </w:rPr>
            </w:pPr>
          </w:p>
        </w:tc>
      </w:tr>
      <w:tr w14:paraId="361F6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10F77B96">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678C246B">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38CB17DD">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5EDEF78B">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4683BFAE">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32A0B6C4">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1C11EB79">
            <w:pPr>
              <w:jc w:val="center"/>
              <w:rPr>
                <w:rFonts w:hint="eastAsia" w:ascii="宋体" w:hAnsi="宋体" w:eastAsia="宋体" w:cs="宋体"/>
                <w:sz w:val="20"/>
                <w:szCs w:val="20"/>
                <w:highlight w:val="none"/>
              </w:rPr>
            </w:pPr>
          </w:p>
        </w:tc>
      </w:tr>
      <w:tr w14:paraId="62C6E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3E682676">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231C765B">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4BBD0D43">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048DDDFA">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54F1FA5D">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1A05AF4B">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7E2DA55F">
            <w:pPr>
              <w:jc w:val="center"/>
              <w:rPr>
                <w:rFonts w:hint="eastAsia" w:ascii="宋体" w:hAnsi="宋体" w:eastAsia="宋体" w:cs="宋体"/>
                <w:sz w:val="20"/>
                <w:szCs w:val="20"/>
                <w:highlight w:val="none"/>
              </w:rPr>
            </w:pPr>
          </w:p>
        </w:tc>
      </w:tr>
      <w:tr w14:paraId="7A4E7F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03E0459E">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636C1AC5">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4E0CBACC">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2158A41B">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1F36FA26">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67E120B3">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64342D33">
            <w:pPr>
              <w:jc w:val="center"/>
              <w:rPr>
                <w:rFonts w:hint="eastAsia" w:ascii="宋体" w:hAnsi="宋体" w:eastAsia="宋体" w:cs="宋体"/>
                <w:sz w:val="20"/>
                <w:szCs w:val="20"/>
                <w:highlight w:val="none"/>
              </w:rPr>
            </w:pPr>
          </w:p>
        </w:tc>
      </w:tr>
      <w:tr w14:paraId="1FA586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230429A3">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5E97EE4C">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3E6EDF56">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4B90A1CA">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2E3F53C2">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4FA234E3">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101DE589">
            <w:pPr>
              <w:jc w:val="center"/>
              <w:rPr>
                <w:rFonts w:hint="eastAsia" w:ascii="宋体" w:hAnsi="宋体" w:eastAsia="宋体" w:cs="宋体"/>
                <w:sz w:val="20"/>
                <w:szCs w:val="20"/>
                <w:highlight w:val="none"/>
              </w:rPr>
            </w:pPr>
          </w:p>
        </w:tc>
      </w:tr>
      <w:tr w14:paraId="786023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7ECD38A6">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4EAC0917">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358983B4">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52CB16C9">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2AAB3673">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3B2A6926">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3C8D6393">
            <w:pPr>
              <w:jc w:val="center"/>
              <w:rPr>
                <w:rFonts w:hint="eastAsia" w:ascii="宋体" w:hAnsi="宋体" w:eastAsia="宋体" w:cs="宋体"/>
                <w:sz w:val="20"/>
                <w:szCs w:val="20"/>
                <w:highlight w:val="none"/>
              </w:rPr>
            </w:pPr>
          </w:p>
        </w:tc>
      </w:tr>
      <w:tr w14:paraId="3D462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2D7EE4CC">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000C5FD3">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317685C1">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4B4B1AFF">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3A88239B">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69FA90AD">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1625B161">
            <w:pPr>
              <w:jc w:val="center"/>
              <w:rPr>
                <w:rFonts w:hint="eastAsia" w:ascii="宋体" w:hAnsi="宋体" w:eastAsia="宋体" w:cs="宋体"/>
                <w:sz w:val="20"/>
                <w:szCs w:val="20"/>
                <w:highlight w:val="none"/>
              </w:rPr>
            </w:pPr>
          </w:p>
        </w:tc>
      </w:tr>
      <w:tr w14:paraId="1BE403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66C9B86A">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62C33419">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7C7E0EEB">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4C2C241D">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455D67B5">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5131DD2E">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03009780">
            <w:pPr>
              <w:jc w:val="center"/>
              <w:rPr>
                <w:rFonts w:hint="eastAsia" w:ascii="宋体" w:hAnsi="宋体" w:eastAsia="宋体" w:cs="宋体"/>
                <w:sz w:val="20"/>
                <w:szCs w:val="20"/>
                <w:highlight w:val="none"/>
              </w:rPr>
            </w:pPr>
          </w:p>
        </w:tc>
      </w:tr>
      <w:tr w14:paraId="7E5739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6E37F67C">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66E8E9DC">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7CBD77CD">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4A51C01A">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5E9A61EE">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51BFEBB6">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209DDDC4">
            <w:pPr>
              <w:jc w:val="center"/>
              <w:rPr>
                <w:rFonts w:hint="eastAsia" w:ascii="宋体" w:hAnsi="宋体" w:eastAsia="宋体" w:cs="宋体"/>
                <w:sz w:val="20"/>
                <w:szCs w:val="20"/>
                <w:highlight w:val="none"/>
              </w:rPr>
            </w:pPr>
          </w:p>
        </w:tc>
      </w:tr>
      <w:tr w14:paraId="4934F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74D1BD8D">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43400FDF">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2FD20CCC">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204F8753">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15737C36">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467A5F19">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7F004657">
            <w:pPr>
              <w:jc w:val="center"/>
              <w:rPr>
                <w:rFonts w:hint="eastAsia" w:ascii="宋体" w:hAnsi="宋体" w:eastAsia="宋体" w:cs="宋体"/>
                <w:sz w:val="20"/>
                <w:szCs w:val="20"/>
                <w:highlight w:val="none"/>
              </w:rPr>
            </w:pPr>
          </w:p>
        </w:tc>
      </w:tr>
      <w:tr w14:paraId="6BEF72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26B77DE1">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1433C199">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5264CF50">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39093824">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4F117776">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3BFBC81B">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58268C61">
            <w:pPr>
              <w:jc w:val="center"/>
              <w:rPr>
                <w:rFonts w:hint="eastAsia" w:ascii="宋体" w:hAnsi="宋体" w:eastAsia="宋体" w:cs="宋体"/>
                <w:sz w:val="20"/>
                <w:szCs w:val="20"/>
                <w:highlight w:val="none"/>
              </w:rPr>
            </w:pPr>
          </w:p>
        </w:tc>
      </w:tr>
      <w:tr w14:paraId="57B668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14:paraId="24432202">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shd w:val="clear" w:color="auto" w:fill="auto"/>
            <w:vAlign w:val="center"/>
          </w:tcPr>
          <w:p w14:paraId="3740129A">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shd w:val="clear" w:color="auto" w:fill="auto"/>
            <w:vAlign w:val="center"/>
          </w:tcPr>
          <w:p w14:paraId="5D8C00EB">
            <w:pPr>
              <w:keepNext w:val="0"/>
              <w:keepLines w:val="0"/>
              <w:widowControl/>
              <w:suppressLineNumbers w:val="0"/>
              <w:jc w:val="center"/>
              <w:textAlignment w:val="center"/>
              <w:rPr>
                <w:rFonts w:hint="eastAsia" w:ascii="宋体" w:hAnsi="宋体" w:eastAsia="宋体" w:cs="宋体"/>
                <w:color w:val="000000"/>
                <w:kern w:val="0"/>
                <w:sz w:val="20"/>
                <w:szCs w:val="20"/>
                <w:highlight w:val="none"/>
                <w:lang w:val="en-US" w:eastAsia="zh-CN" w:bidi="ar"/>
              </w:rPr>
            </w:pPr>
          </w:p>
        </w:tc>
        <w:tc>
          <w:tcPr>
            <w:tcW w:w="1563" w:type="dxa"/>
            <w:shd w:val="clear" w:color="auto" w:fill="auto"/>
            <w:vAlign w:val="center"/>
          </w:tcPr>
          <w:p w14:paraId="6BF961C6">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1034" w:type="dxa"/>
            <w:shd w:val="clear" w:color="auto" w:fill="auto"/>
            <w:vAlign w:val="center"/>
          </w:tcPr>
          <w:p w14:paraId="7F2B810A">
            <w:pPr>
              <w:keepNext w:val="0"/>
              <w:keepLines w:val="0"/>
              <w:widowControl/>
              <w:suppressLineNumbers w:val="0"/>
              <w:jc w:val="center"/>
              <w:textAlignment w:val="center"/>
              <w:rPr>
                <w:rFonts w:hint="eastAsia" w:ascii="宋体" w:hAnsi="宋体" w:eastAsia="宋体" w:cs="宋体"/>
                <w:kern w:val="2"/>
                <w:sz w:val="20"/>
                <w:szCs w:val="20"/>
                <w:highlight w:val="none"/>
                <w:lang w:val="en-US" w:eastAsia="zh-CN" w:bidi="ar-SA"/>
              </w:rPr>
            </w:pPr>
          </w:p>
        </w:tc>
        <w:tc>
          <w:tcPr>
            <w:tcW w:w="2178" w:type="dxa"/>
            <w:tcBorders>
              <w:left w:val="single" w:color="000000" w:sz="4" w:space="0"/>
            </w:tcBorders>
            <w:vAlign w:val="center"/>
          </w:tcPr>
          <w:p w14:paraId="13B5B110">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3339A1C6">
            <w:pPr>
              <w:jc w:val="center"/>
              <w:rPr>
                <w:rFonts w:hint="eastAsia" w:ascii="宋体" w:hAnsi="宋体" w:eastAsia="宋体" w:cs="宋体"/>
                <w:sz w:val="20"/>
                <w:szCs w:val="20"/>
                <w:highlight w:val="none"/>
              </w:rPr>
            </w:pPr>
          </w:p>
        </w:tc>
      </w:tr>
      <w:tr w14:paraId="370AC4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vAlign w:val="center"/>
          </w:tcPr>
          <w:p w14:paraId="12FA6E69">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vAlign w:val="center"/>
          </w:tcPr>
          <w:p w14:paraId="143532BD">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vAlign w:val="center"/>
          </w:tcPr>
          <w:p w14:paraId="31F1B7EB">
            <w:pPr>
              <w:keepNext w:val="0"/>
              <w:keepLines w:val="0"/>
              <w:widowControl/>
              <w:suppressLineNumbers w:val="0"/>
              <w:jc w:val="center"/>
              <w:textAlignment w:val="center"/>
              <w:rPr>
                <w:rFonts w:hint="eastAsia" w:ascii="宋体" w:hAnsi="宋体" w:eastAsia="宋体" w:cs="宋体"/>
                <w:sz w:val="20"/>
                <w:szCs w:val="20"/>
                <w:highlight w:val="none"/>
              </w:rPr>
            </w:pPr>
          </w:p>
        </w:tc>
        <w:tc>
          <w:tcPr>
            <w:tcW w:w="1563" w:type="dxa"/>
            <w:vAlign w:val="center"/>
          </w:tcPr>
          <w:p w14:paraId="52A898F5">
            <w:pPr>
              <w:keepNext w:val="0"/>
              <w:keepLines w:val="0"/>
              <w:widowControl/>
              <w:suppressLineNumbers w:val="0"/>
              <w:jc w:val="center"/>
              <w:textAlignment w:val="center"/>
              <w:rPr>
                <w:rFonts w:hint="eastAsia" w:ascii="宋体" w:hAnsi="宋体" w:eastAsia="宋体" w:cs="宋体"/>
                <w:sz w:val="20"/>
                <w:szCs w:val="20"/>
                <w:highlight w:val="none"/>
              </w:rPr>
            </w:pPr>
          </w:p>
        </w:tc>
        <w:tc>
          <w:tcPr>
            <w:tcW w:w="1034" w:type="dxa"/>
            <w:vAlign w:val="center"/>
          </w:tcPr>
          <w:p w14:paraId="411DDF8C">
            <w:pPr>
              <w:keepNext w:val="0"/>
              <w:keepLines w:val="0"/>
              <w:widowControl/>
              <w:suppressLineNumbers w:val="0"/>
              <w:jc w:val="center"/>
              <w:textAlignment w:val="center"/>
              <w:rPr>
                <w:rFonts w:hint="eastAsia" w:ascii="宋体" w:hAnsi="宋体" w:eastAsia="宋体" w:cs="宋体"/>
                <w:sz w:val="20"/>
                <w:szCs w:val="20"/>
                <w:highlight w:val="none"/>
              </w:rPr>
            </w:pPr>
          </w:p>
        </w:tc>
        <w:tc>
          <w:tcPr>
            <w:tcW w:w="2178" w:type="dxa"/>
            <w:tcBorders>
              <w:left w:val="single" w:color="000000" w:sz="4" w:space="0"/>
            </w:tcBorders>
            <w:vAlign w:val="center"/>
          </w:tcPr>
          <w:p w14:paraId="71F44590">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0F9505F4">
            <w:pPr>
              <w:jc w:val="center"/>
              <w:rPr>
                <w:rFonts w:hint="eastAsia" w:ascii="宋体" w:hAnsi="宋体" w:eastAsia="宋体" w:cs="宋体"/>
                <w:sz w:val="20"/>
                <w:szCs w:val="20"/>
                <w:highlight w:val="none"/>
              </w:rPr>
            </w:pPr>
          </w:p>
        </w:tc>
      </w:tr>
      <w:tr w14:paraId="33B7BB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863" w:type="dxa"/>
            <w:vAlign w:val="center"/>
          </w:tcPr>
          <w:p w14:paraId="06F6DF7F">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997" w:type="dxa"/>
            <w:vAlign w:val="center"/>
          </w:tcPr>
          <w:p w14:paraId="335E3398">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3015" w:type="dxa"/>
            <w:vAlign w:val="center"/>
          </w:tcPr>
          <w:p w14:paraId="02A853D2">
            <w:pPr>
              <w:keepNext w:val="0"/>
              <w:keepLines w:val="0"/>
              <w:widowControl/>
              <w:suppressLineNumbers w:val="0"/>
              <w:jc w:val="center"/>
              <w:textAlignment w:val="center"/>
              <w:rPr>
                <w:rFonts w:hint="eastAsia" w:ascii="宋体" w:hAnsi="宋体" w:eastAsia="宋体" w:cs="宋体"/>
                <w:sz w:val="20"/>
                <w:szCs w:val="20"/>
                <w:highlight w:val="none"/>
              </w:rPr>
            </w:pPr>
          </w:p>
        </w:tc>
        <w:tc>
          <w:tcPr>
            <w:tcW w:w="1563" w:type="dxa"/>
            <w:vAlign w:val="center"/>
          </w:tcPr>
          <w:p w14:paraId="1D34A47A">
            <w:pPr>
              <w:keepNext w:val="0"/>
              <w:keepLines w:val="0"/>
              <w:widowControl/>
              <w:suppressLineNumbers w:val="0"/>
              <w:jc w:val="center"/>
              <w:textAlignment w:val="center"/>
              <w:rPr>
                <w:rFonts w:hint="eastAsia" w:ascii="宋体" w:hAnsi="宋体" w:eastAsia="宋体" w:cs="宋体"/>
                <w:sz w:val="20"/>
                <w:szCs w:val="20"/>
                <w:highlight w:val="none"/>
              </w:rPr>
            </w:pPr>
          </w:p>
        </w:tc>
        <w:tc>
          <w:tcPr>
            <w:tcW w:w="1034" w:type="dxa"/>
            <w:vAlign w:val="center"/>
          </w:tcPr>
          <w:p w14:paraId="45076245">
            <w:pPr>
              <w:keepNext w:val="0"/>
              <w:keepLines w:val="0"/>
              <w:widowControl/>
              <w:suppressLineNumbers w:val="0"/>
              <w:jc w:val="center"/>
              <w:textAlignment w:val="center"/>
              <w:rPr>
                <w:rFonts w:hint="eastAsia" w:ascii="宋体" w:hAnsi="宋体" w:eastAsia="宋体" w:cs="宋体"/>
                <w:sz w:val="20"/>
                <w:szCs w:val="20"/>
                <w:highlight w:val="none"/>
              </w:rPr>
            </w:pPr>
          </w:p>
        </w:tc>
        <w:tc>
          <w:tcPr>
            <w:tcW w:w="2178" w:type="dxa"/>
            <w:tcBorders>
              <w:left w:val="single" w:color="000000" w:sz="4" w:space="0"/>
            </w:tcBorders>
            <w:vAlign w:val="center"/>
          </w:tcPr>
          <w:p w14:paraId="2DAE81D4">
            <w:pPr>
              <w:keepNext w:val="0"/>
              <w:keepLines w:val="0"/>
              <w:widowControl/>
              <w:suppressLineNumbers w:val="0"/>
              <w:jc w:val="center"/>
              <w:textAlignment w:val="center"/>
              <w:rPr>
                <w:rFonts w:hint="eastAsia" w:ascii="宋体" w:hAnsi="宋体" w:eastAsia="宋体" w:cs="宋体"/>
                <w:sz w:val="20"/>
                <w:szCs w:val="20"/>
                <w:highlight w:val="none"/>
              </w:rPr>
            </w:pPr>
          </w:p>
        </w:tc>
        <w:tc>
          <w:tcPr>
            <w:tcW w:w="1267" w:type="dxa"/>
            <w:vAlign w:val="center"/>
          </w:tcPr>
          <w:p w14:paraId="7932E80D">
            <w:pPr>
              <w:jc w:val="center"/>
              <w:rPr>
                <w:rFonts w:hint="eastAsia" w:ascii="宋体" w:hAnsi="宋体" w:eastAsia="宋体" w:cs="宋体"/>
                <w:sz w:val="20"/>
                <w:szCs w:val="20"/>
                <w:highlight w:val="none"/>
              </w:rPr>
            </w:pPr>
          </w:p>
        </w:tc>
      </w:tr>
    </w:tbl>
    <w:p w14:paraId="6E157962">
      <w:pPr>
        <w:spacing w:before="78" w:line="219" w:lineRule="auto"/>
        <w:ind w:left="431"/>
        <w:rPr>
          <w:rFonts w:ascii="宋体" w:hAnsi="宋体" w:eastAsia="宋体" w:cs="宋体"/>
          <w:spacing w:val="-8"/>
          <w:szCs w:val="21"/>
          <w:highlight w:val="none"/>
        </w:rPr>
      </w:pPr>
    </w:p>
    <w:p w14:paraId="62DC9174">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5E8F558B">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1961289F">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0BB32B62">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05AFF840">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4.因填写不规范造成废标及终止招标的，责任由投标人自负。</w:t>
      </w:r>
    </w:p>
    <w:p w14:paraId="33C39E59">
      <w:pPr>
        <w:spacing w:before="78" w:line="219" w:lineRule="auto"/>
        <w:ind w:left="431"/>
        <w:rPr>
          <w:rFonts w:hint="eastAsia" w:ascii="宋体" w:hAnsi="宋体" w:eastAsia="宋体" w:cs="宋体"/>
          <w:b w:val="0"/>
          <w:bCs w:val="0"/>
          <w:spacing w:val="-6"/>
          <w:szCs w:val="21"/>
          <w:highlight w:val="none"/>
          <w:lang w:val="en-US" w:eastAsia="zh-CN"/>
        </w:rPr>
      </w:pPr>
    </w:p>
    <w:p w14:paraId="5D90C1D2">
      <w:pPr>
        <w:spacing w:line="105" w:lineRule="exact"/>
        <w:rPr>
          <w:highlight w:val="none"/>
        </w:rPr>
      </w:pPr>
    </w:p>
    <w:p w14:paraId="539067E3">
      <w:pPr>
        <w:rPr>
          <w:highlight w:val="none"/>
        </w:rPr>
        <w:sectPr>
          <w:footerReference r:id="rId28" w:type="default"/>
          <w:pgSz w:w="16841" w:h="11907" w:orient="landscape"/>
          <w:pgMar w:top="400" w:right="1387" w:bottom="1168" w:left="1473" w:header="0" w:footer="990" w:gutter="0"/>
          <w:cols w:equalWidth="0" w:num="1">
            <w:col w:w="13980"/>
          </w:cols>
        </w:sectPr>
      </w:pPr>
    </w:p>
    <w:p w14:paraId="389165B0">
      <w:pPr>
        <w:spacing w:before="85" w:line="198" w:lineRule="auto"/>
        <w:ind w:left="432"/>
        <w:rPr>
          <w:rFonts w:ascii="宋体" w:hAnsi="宋体" w:eastAsia="宋体" w:cs="宋体"/>
          <w:spacing w:val="-4"/>
          <w:sz w:val="24"/>
          <w:szCs w:val="24"/>
          <w:highlight w:val="none"/>
        </w:rPr>
      </w:pPr>
      <w:r>
        <w:rPr>
          <w:rFonts w:hint="eastAsia" w:ascii="宋体" w:hAnsi="宋体" w:eastAsia="宋体" w:cs="宋体"/>
          <w:spacing w:val="-4"/>
          <w:sz w:val="24"/>
          <w:szCs w:val="24"/>
          <w:highlight w:val="none"/>
        </w:rPr>
        <w:t>投标人(章)：</w:t>
      </w:r>
    </w:p>
    <w:p w14:paraId="49E734B5">
      <w:pPr>
        <w:spacing w:line="14" w:lineRule="auto"/>
        <w:rPr>
          <w:rFonts w:ascii="宋体" w:hAnsi="宋体" w:eastAsia="宋体" w:cs="宋体"/>
          <w:sz w:val="24"/>
          <w:szCs w:val="24"/>
          <w:highlight w:val="none"/>
        </w:rPr>
      </w:pPr>
      <w:r>
        <w:rPr>
          <w:rFonts w:hint="eastAsia" w:ascii="宋体" w:hAnsi="宋体" w:eastAsia="宋体" w:cs="宋体"/>
          <w:sz w:val="24"/>
          <w:szCs w:val="24"/>
          <w:highlight w:val="none"/>
        </w:rPr>
        <w:br w:type="column"/>
      </w:r>
    </w:p>
    <w:p w14:paraId="17D9B350">
      <w:pPr>
        <w:spacing w:before="40" w:line="186" w:lineRule="auto"/>
        <w:rPr>
          <w:rFonts w:ascii="宋体" w:hAnsi="宋体" w:eastAsia="宋体" w:cs="宋体"/>
          <w:spacing w:val="-2"/>
          <w:sz w:val="24"/>
          <w:szCs w:val="24"/>
          <w:highlight w:val="none"/>
        </w:rPr>
      </w:pPr>
      <w:r>
        <w:rPr>
          <w:rFonts w:hint="eastAsia" w:ascii="宋体" w:hAnsi="宋体" w:eastAsia="宋体" w:cs="宋体"/>
          <w:spacing w:val="-2"/>
          <w:sz w:val="24"/>
          <w:szCs w:val="24"/>
          <w:highlight w:val="none"/>
        </w:rPr>
        <w:t>授权代表(签字)：</w:t>
      </w:r>
      <w:r>
        <w:rPr>
          <w:rFonts w:hint="eastAsia" w:ascii="宋体" w:hAnsi="宋体" w:eastAsia="宋体" w:cs="宋体"/>
          <w:spacing w:val="4"/>
          <w:sz w:val="24"/>
          <w:szCs w:val="24"/>
          <w:highlight w:val="none"/>
        </w:rPr>
        <w:t xml:space="preserve"> </w:t>
      </w:r>
      <w:r>
        <w:rPr>
          <w:rFonts w:hint="eastAsia" w:ascii="宋体" w:hAnsi="宋体" w:eastAsia="宋体" w:cs="宋体"/>
          <w:spacing w:val="3"/>
          <w:sz w:val="24"/>
          <w:szCs w:val="24"/>
          <w:highlight w:val="none"/>
        </w:rPr>
        <w:t xml:space="preserve">                         </w:t>
      </w:r>
      <w:r>
        <w:rPr>
          <w:rFonts w:hint="eastAsia" w:ascii="宋体" w:hAnsi="宋体" w:eastAsia="宋体" w:cs="宋体"/>
          <w:spacing w:val="-2"/>
          <w:sz w:val="24"/>
          <w:szCs w:val="24"/>
          <w:highlight w:val="none"/>
        </w:rPr>
        <w:t>年    月    日</w:t>
      </w:r>
    </w:p>
    <w:p w14:paraId="22A9044E">
      <w:pPr>
        <w:rPr>
          <w:rFonts w:ascii="宋体" w:hAnsi="宋体" w:eastAsia="宋体" w:cs="宋体"/>
          <w:sz w:val="24"/>
          <w:szCs w:val="24"/>
          <w:highlight w:val="none"/>
        </w:rPr>
        <w:sectPr>
          <w:type w:val="continuous"/>
          <w:pgSz w:w="16841" w:h="11907"/>
          <w:pgMar w:top="400" w:right="1387" w:bottom="1168" w:left="1473" w:header="0" w:footer="990" w:gutter="0"/>
          <w:cols w:equalWidth="0" w:num="2">
            <w:col w:w="4757" w:space="100"/>
            <w:col w:w="9124"/>
          </w:cols>
        </w:sectPr>
      </w:pPr>
    </w:p>
    <w:p w14:paraId="53553702">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附件6</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lang w:val="en-US" w:eastAsia="zh-CN"/>
        </w:rPr>
        <w:t xml:space="preserve"> </w:t>
      </w:r>
      <w:r>
        <w:rPr>
          <w:rFonts w:hint="eastAsia" w:ascii="Times New Roman" w:hAnsi="Times New Roman" w:eastAsia="宋体" w:cs="Times New Roman"/>
          <w:b/>
          <w:bCs/>
          <w:color w:val="000000"/>
          <w:sz w:val="24"/>
          <w:szCs w:val="24"/>
          <w:highlight w:val="none"/>
        </w:rPr>
        <w:t>20</w:t>
      </w:r>
      <w:r>
        <w:rPr>
          <w:rFonts w:hint="eastAsia" w:ascii="Times New Roman" w:hAnsi="Times New Roman" w:eastAsia="宋体" w:cs="Times New Roman"/>
          <w:b/>
          <w:bCs/>
          <w:color w:val="000000"/>
          <w:sz w:val="24"/>
          <w:szCs w:val="24"/>
          <w:highlight w:val="none"/>
          <w:lang w:val="en-US" w:eastAsia="zh-CN"/>
        </w:rPr>
        <w:t>22</w:t>
      </w:r>
      <w:r>
        <w:rPr>
          <w:rFonts w:hint="eastAsia" w:ascii="Times New Roman" w:hAnsi="Times New Roman" w:eastAsia="宋体" w:cs="Times New Roman"/>
          <w:b/>
          <w:bCs/>
          <w:color w:val="000000"/>
          <w:sz w:val="24"/>
          <w:szCs w:val="24"/>
          <w:highlight w:val="none"/>
        </w:rPr>
        <w:t>年1月1日至今同类项目业绩一览表</w:t>
      </w:r>
    </w:p>
    <w:p w14:paraId="78D9503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r>
        <w:rPr>
          <w:rFonts w:ascii="宋体" w:hAnsi="宋体" w:eastAsia="宋体" w:cs="Times New Roman"/>
          <w:color w:val="000000"/>
          <w:sz w:val="24"/>
          <w:szCs w:val="24"/>
          <w:highlight w:val="none"/>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30EB9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501A726B">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序号</w:t>
            </w:r>
          </w:p>
        </w:tc>
        <w:tc>
          <w:tcPr>
            <w:tcW w:w="2082" w:type="dxa"/>
            <w:vAlign w:val="center"/>
          </w:tcPr>
          <w:p w14:paraId="5898E7C0">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采购单位</w:t>
            </w:r>
          </w:p>
        </w:tc>
        <w:tc>
          <w:tcPr>
            <w:tcW w:w="1355" w:type="dxa"/>
            <w:vAlign w:val="center"/>
          </w:tcPr>
          <w:p w14:paraId="2637572B">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项目名称</w:t>
            </w:r>
          </w:p>
          <w:p w14:paraId="3C6D8EBA">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（万元）</w:t>
            </w:r>
          </w:p>
        </w:tc>
        <w:tc>
          <w:tcPr>
            <w:tcW w:w="826" w:type="dxa"/>
            <w:vAlign w:val="center"/>
          </w:tcPr>
          <w:p w14:paraId="010C022A">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数量</w:t>
            </w:r>
          </w:p>
        </w:tc>
        <w:tc>
          <w:tcPr>
            <w:tcW w:w="1320" w:type="dxa"/>
            <w:vAlign w:val="center"/>
          </w:tcPr>
          <w:p w14:paraId="6A36DBAD">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合同金额</w:t>
            </w:r>
          </w:p>
        </w:tc>
        <w:tc>
          <w:tcPr>
            <w:tcW w:w="1023" w:type="dxa"/>
            <w:vAlign w:val="center"/>
          </w:tcPr>
          <w:p w14:paraId="702BFC43">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合同签订时间</w:t>
            </w:r>
          </w:p>
        </w:tc>
        <w:tc>
          <w:tcPr>
            <w:tcW w:w="1590" w:type="dxa"/>
            <w:vAlign w:val="center"/>
          </w:tcPr>
          <w:p w14:paraId="01733AEC">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联系人及</w:t>
            </w:r>
          </w:p>
          <w:p w14:paraId="74D18F0A">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联系电话</w:t>
            </w:r>
          </w:p>
        </w:tc>
      </w:tr>
      <w:tr w14:paraId="26D67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B86A64">
            <w:pPr>
              <w:ind w:left="420" w:hanging="420"/>
              <w:rPr>
                <w:rFonts w:ascii="宋体" w:hAnsi="Times New Roman" w:eastAsia="宋体" w:cs="Times New Roman"/>
                <w:b/>
                <w:szCs w:val="20"/>
                <w:highlight w:val="none"/>
              </w:rPr>
            </w:pPr>
          </w:p>
        </w:tc>
        <w:tc>
          <w:tcPr>
            <w:tcW w:w="2082" w:type="dxa"/>
          </w:tcPr>
          <w:p w14:paraId="4F3B63D8">
            <w:pPr>
              <w:ind w:left="420" w:hanging="420"/>
              <w:rPr>
                <w:rFonts w:ascii="宋体" w:hAnsi="Times New Roman" w:eastAsia="宋体" w:cs="Times New Roman"/>
                <w:b/>
                <w:szCs w:val="20"/>
                <w:highlight w:val="none"/>
              </w:rPr>
            </w:pPr>
          </w:p>
        </w:tc>
        <w:tc>
          <w:tcPr>
            <w:tcW w:w="1355" w:type="dxa"/>
          </w:tcPr>
          <w:p w14:paraId="4AB2B538">
            <w:pPr>
              <w:ind w:left="420" w:hanging="420"/>
              <w:rPr>
                <w:rFonts w:ascii="宋体" w:hAnsi="Times New Roman" w:eastAsia="宋体" w:cs="Times New Roman"/>
                <w:b/>
                <w:szCs w:val="20"/>
                <w:highlight w:val="none"/>
              </w:rPr>
            </w:pPr>
          </w:p>
        </w:tc>
        <w:tc>
          <w:tcPr>
            <w:tcW w:w="826" w:type="dxa"/>
          </w:tcPr>
          <w:p w14:paraId="1CE86505">
            <w:pPr>
              <w:ind w:left="420" w:hanging="420"/>
              <w:rPr>
                <w:rFonts w:ascii="宋体" w:hAnsi="Times New Roman" w:eastAsia="宋体" w:cs="Times New Roman"/>
                <w:b/>
                <w:szCs w:val="20"/>
                <w:highlight w:val="none"/>
              </w:rPr>
            </w:pPr>
          </w:p>
        </w:tc>
        <w:tc>
          <w:tcPr>
            <w:tcW w:w="1320" w:type="dxa"/>
          </w:tcPr>
          <w:p w14:paraId="11859B04">
            <w:pPr>
              <w:ind w:left="420" w:hanging="420"/>
              <w:rPr>
                <w:rFonts w:ascii="宋体" w:hAnsi="Times New Roman" w:eastAsia="宋体" w:cs="Times New Roman"/>
                <w:b/>
                <w:szCs w:val="20"/>
                <w:highlight w:val="none"/>
              </w:rPr>
            </w:pPr>
          </w:p>
        </w:tc>
        <w:tc>
          <w:tcPr>
            <w:tcW w:w="1023" w:type="dxa"/>
          </w:tcPr>
          <w:p w14:paraId="1AAA346C">
            <w:pPr>
              <w:ind w:left="420" w:hanging="420"/>
              <w:rPr>
                <w:rFonts w:ascii="宋体" w:hAnsi="Times New Roman" w:eastAsia="宋体" w:cs="Times New Roman"/>
                <w:b/>
                <w:szCs w:val="20"/>
                <w:highlight w:val="none"/>
              </w:rPr>
            </w:pPr>
          </w:p>
        </w:tc>
        <w:tc>
          <w:tcPr>
            <w:tcW w:w="1590" w:type="dxa"/>
          </w:tcPr>
          <w:p w14:paraId="7C79A871">
            <w:pPr>
              <w:ind w:left="420" w:hanging="420"/>
              <w:rPr>
                <w:rFonts w:ascii="宋体" w:hAnsi="Times New Roman" w:eastAsia="宋体" w:cs="Times New Roman"/>
                <w:b/>
                <w:szCs w:val="20"/>
                <w:highlight w:val="none"/>
              </w:rPr>
            </w:pPr>
          </w:p>
        </w:tc>
      </w:tr>
      <w:tr w14:paraId="03C5E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F078314">
            <w:pPr>
              <w:ind w:left="420" w:hanging="420"/>
              <w:rPr>
                <w:rFonts w:ascii="宋体" w:hAnsi="Times New Roman" w:eastAsia="宋体" w:cs="Times New Roman"/>
                <w:b/>
                <w:szCs w:val="20"/>
                <w:highlight w:val="none"/>
              </w:rPr>
            </w:pPr>
          </w:p>
        </w:tc>
        <w:tc>
          <w:tcPr>
            <w:tcW w:w="2082" w:type="dxa"/>
          </w:tcPr>
          <w:p w14:paraId="0C88FB3C">
            <w:pPr>
              <w:ind w:left="420" w:hanging="420"/>
              <w:rPr>
                <w:rFonts w:ascii="宋体" w:hAnsi="Times New Roman" w:eastAsia="宋体" w:cs="Times New Roman"/>
                <w:b/>
                <w:szCs w:val="20"/>
                <w:highlight w:val="none"/>
              </w:rPr>
            </w:pPr>
          </w:p>
        </w:tc>
        <w:tc>
          <w:tcPr>
            <w:tcW w:w="1355" w:type="dxa"/>
          </w:tcPr>
          <w:p w14:paraId="1D24CA5B">
            <w:pPr>
              <w:ind w:left="420" w:hanging="420"/>
              <w:rPr>
                <w:rFonts w:ascii="宋体" w:hAnsi="Times New Roman" w:eastAsia="宋体" w:cs="Times New Roman"/>
                <w:b/>
                <w:szCs w:val="20"/>
                <w:highlight w:val="none"/>
              </w:rPr>
            </w:pPr>
          </w:p>
        </w:tc>
        <w:tc>
          <w:tcPr>
            <w:tcW w:w="826" w:type="dxa"/>
          </w:tcPr>
          <w:p w14:paraId="72FCD52D">
            <w:pPr>
              <w:ind w:left="420" w:hanging="420"/>
              <w:rPr>
                <w:rFonts w:ascii="宋体" w:hAnsi="Times New Roman" w:eastAsia="宋体" w:cs="Times New Roman"/>
                <w:b/>
                <w:szCs w:val="20"/>
                <w:highlight w:val="none"/>
              </w:rPr>
            </w:pPr>
          </w:p>
        </w:tc>
        <w:tc>
          <w:tcPr>
            <w:tcW w:w="1320" w:type="dxa"/>
          </w:tcPr>
          <w:p w14:paraId="6F883B25">
            <w:pPr>
              <w:ind w:left="420" w:hanging="420"/>
              <w:rPr>
                <w:rFonts w:ascii="宋体" w:hAnsi="Times New Roman" w:eastAsia="宋体" w:cs="Times New Roman"/>
                <w:b/>
                <w:szCs w:val="20"/>
                <w:highlight w:val="none"/>
              </w:rPr>
            </w:pPr>
          </w:p>
        </w:tc>
        <w:tc>
          <w:tcPr>
            <w:tcW w:w="1023" w:type="dxa"/>
          </w:tcPr>
          <w:p w14:paraId="459D5E5F">
            <w:pPr>
              <w:ind w:left="420" w:hanging="420"/>
              <w:rPr>
                <w:rFonts w:ascii="宋体" w:hAnsi="Times New Roman" w:eastAsia="宋体" w:cs="Times New Roman"/>
                <w:b/>
                <w:szCs w:val="20"/>
                <w:highlight w:val="none"/>
              </w:rPr>
            </w:pPr>
          </w:p>
        </w:tc>
        <w:tc>
          <w:tcPr>
            <w:tcW w:w="1590" w:type="dxa"/>
          </w:tcPr>
          <w:p w14:paraId="34D1F63A">
            <w:pPr>
              <w:ind w:left="420" w:hanging="420"/>
              <w:rPr>
                <w:rFonts w:ascii="宋体" w:hAnsi="Times New Roman" w:eastAsia="宋体" w:cs="Times New Roman"/>
                <w:b/>
                <w:szCs w:val="20"/>
                <w:highlight w:val="none"/>
              </w:rPr>
            </w:pPr>
          </w:p>
        </w:tc>
      </w:tr>
      <w:tr w14:paraId="53480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E6AF362">
            <w:pPr>
              <w:ind w:left="420" w:hanging="420"/>
              <w:rPr>
                <w:rFonts w:ascii="宋体" w:hAnsi="Times New Roman" w:eastAsia="宋体" w:cs="Times New Roman"/>
                <w:b/>
                <w:szCs w:val="20"/>
                <w:highlight w:val="none"/>
              </w:rPr>
            </w:pPr>
          </w:p>
        </w:tc>
        <w:tc>
          <w:tcPr>
            <w:tcW w:w="2082" w:type="dxa"/>
          </w:tcPr>
          <w:p w14:paraId="51F92717">
            <w:pPr>
              <w:ind w:left="420" w:hanging="420"/>
              <w:rPr>
                <w:rFonts w:ascii="宋体" w:hAnsi="Times New Roman" w:eastAsia="宋体" w:cs="Times New Roman"/>
                <w:b/>
                <w:szCs w:val="20"/>
                <w:highlight w:val="none"/>
              </w:rPr>
            </w:pPr>
          </w:p>
        </w:tc>
        <w:tc>
          <w:tcPr>
            <w:tcW w:w="1355" w:type="dxa"/>
          </w:tcPr>
          <w:p w14:paraId="3B7989DD">
            <w:pPr>
              <w:ind w:left="420" w:hanging="420"/>
              <w:rPr>
                <w:rFonts w:ascii="宋体" w:hAnsi="Times New Roman" w:eastAsia="宋体" w:cs="Times New Roman"/>
                <w:b/>
                <w:szCs w:val="20"/>
                <w:highlight w:val="none"/>
              </w:rPr>
            </w:pPr>
          </w:p>
        </w:tc>
        <w:tc>
          <w:tcPr>
            <w:tcW w:w="826" w:type="dxa"/>
          </w:tcPr>
          <w:p w14:paraId="1D573F60">
            <w:pPr>
              <w:ind w:left="420" w:hanging="420"/>
              <w:rPr>
                <w:rFonts w:ascii="宋体" w:hAnsi="Times New Roman" w:eastAsia="宋体" w:cs="Times New Roman"/>
                <w:b/>
                <w:szCs w:val="20"/>
                <w:highlight w:val="none"/>
              </w:rPr>
            </w:pPr>
          </w:p>
        </w:tc>
        <w:tc>
          <w:tcPr>
            <w:tcW w:w="1320" w:type="dxa"/>
          </w:tcPr>
          <w:p w14:paraId="4976E563">
            <w:pPr>
              <w:ind w:left="420" w:hanging="420"/>
              <w:rPr>
                <w:rFonts w:ascii="宋体" w:hAnsi="Times New Roman" w:eastAsia="宋体" w:cs="Times New Roman"/>
                <w:b/>
                <w:szCs w:val="20"/>
                <w:highlight w:val="none"/>
              </w:rPr>
            </w:pPr>
          </w:p>
        </w:tc>
        <w:tc>
          <w:tcPr>
            <w:tcW w:w="1023" w:type="dxa"/>
          </w:tcPr>
          <w:p w14:paraId="56524AE6">
            <w:pPr>
              <w:ind w:left="420" w:hanging="420"/>
              <w:rPr>
                <w:rFonts w:ascii="宋体" w:hAnsi="Times New Roman" w:eastAsia="宋体" w:cs="Times New Roman"/>
                <w:b/>
                <w:szCs w:val="20"/>
                <w:highlight w:val="none"/>
              </w:rPr>
            </w:pPr>
          </w:p>
        </w:tc>
        <w:tc>
          <w:tcPr>
            <w:tcW w:w="1590" w:type="dxa"/>
          </w:tcPr>
          <w:p w14:paraId="2FEAE70E">
            <w:pPr>
              <w:ind w:left="420" w:hanging="420"/>
              <w:rPr>
                <w:rFonts w:ascii="宋体" w:hAnsi="Times New Roman" w:eastAsia="宋体" w:cs="Times New Roman"/>
                <w:b/>
                <w:szCs w:val="20"/>
                <w:highlight w:val="none"/>
              </w:rPr>
            </w:pPr>
          </w:p>
        </w:tc>
      </w:tr>
      <w:tr w14:paraId="5EC03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E2F0436">
            <w:pPr>
              <w:ind w:left="420" w:hanging="420"/>
              <w:rPr>
                <w:rFonts w:ascii="宋体" w:hAnsi="Times New Roman" w:eastAsia="宋体" w:cs="Times New Roman"/>
                <w:b/>
                <w:szCs w:val="20"/>
                <w:highlight w:val="none"/>
              </w:rPr>
            </w:pPr>
          </w:p>
        </w:tc>
        <w:tc>
          <w:tcPr>
            <w:tcW w:w="2082" w:type="dxa"/>
          </w:tcPr>
          <w:p w14:paraId="4656FDF0">
            <w:pPr>
              <w:ind w:left="420" w:hanging="420"/>
              <w:rPr>
                <w:rFonts w:ascii="宋体" w:hAnsi="Times New Roman" w:eastAsia="宋体" w:cs="Times New Roman"/>
                <w:b/>
                <w:szCs w:val="20"/>
                <w:highlight w:val="none"/>
              </w:rPr>
            </w:pPr>
          </w:p>
        </w:tc>
        <w:tc>
          <w:tcPr>
            <w:tcW w:w="1355" w:type="dxa"/>
          </w:tcPr>
          <w:p w14:paraId="33C53F54">
            <w:pPr>
              <w:ind w:left="420" w:hanging="420"/>
              <w:rPr>
                <w:rFonts w:ascii="宋体" w:hAnsi="Times New Roman" w:eastAsia="宋体" w:cs="Times New Roman"/>
                <w:b/>
                <w:szCs w:val="20"/>
                <w:highlight w:val="none"/>
              </w:rPr>
            </w:pPr>
          </w:p>
        </w:tc>
        <w:tc>
          <w:tcPr>
            <w:tcW w:w="826" w:type="dxa"/>
          </w:tcPr>
          <w:p w14:paraId="0110D080">
            <w:pPr>
              <w:ind w:left="420" w:hanging="420"/>
              <w:rPr>
                <w:rFonts w:ascii="宋体" w:hAnsi="Times New Roman" w:eastAsia="宋体" w:cs="Times New Roman"/>
                <w:b/>
                <w:szCs w:val="20"/>
                <w:highlight w:val="none"/>
              </w:rPr>
            </w:pPr>
          </w:p>
        </w:tc>
        <w:tc>
          <w:tcPr>
            <w:tcW w:w="1320" w:type="dxa"/>
          </w:tcPr>
          <w:p w14:paraId="1E63A23C">
            <w:pPr>
              <w:ind w:left="420" w:hanging="420"/>
              <w:rPr>
                <w:rFonts w:ascii="宋体" w:hAnsi="Times New Roman" w:eastAsia="宋体" w:cs="Times New Roman"/>
                <w:b/>
                <w:szCs w:val="20"/>
                <w:highlight w:val="none"/>
              </w:rPr>
            </w:pPr>
          </w:p>
        </w:tc>
        <w:tc>
          <w:tcPr>
            <w:tcW w:w="1023" w:type="dxa"/>
          </w:tcPr>
          <w:p w14:paraId="57E43FC0">
            <w:pPr>
              <w:ind w:left="420" w:hanging="420"/>
              <w:rPr>
                <w:rFonts w:ascii="宋体" w:hAnsi="Times New Roman" w:eastAsia="宋体" w:cs="Times New Roman"/>
                <w:b/>
                <w:szCs w:val="20"/>
                <w:highlight w:val="none"/>
              </w:rPr>
            </w:pPr>
          </w:p>
        </w:tc>
        <w:tc>
          <w:tcPr>
            <w:tcW w:w="1590" w:type="dxa"/>
          </w:tcPr>
          <w:p w14:paraId="0479379F">
            <w:pPr>
              <w:ind w:left="420" w:hanging="420"/>
              <w:rPr>
                <w:rFonts w:ascii="宋体" w:hAnsi="Times New Roman" w:eastAsia="宋体" w:cs="Times New Roman"/>
                <w:b/>
                <w:szCs w:val="20"/>
                <w:highlight w:val="none"/>
              </w:rPr>
            </w:pPr>
          </w:p>
        </w:tc>
      </w:tr>
      <w:tr w14:paraId="15084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EF85A1F">
            <w:pPr>
              <w:ind w:left="420" w:hanging="420"/>
              <w:rPr>
                <w:rFonts w:ascii="宋体" w:hAnsi="Times New Roman" w:eastAsia="宋体" w:cs="Times New Roman"/>
                <w:b/>
                <w:szCs w:val="20"/>
                <w:highlight w:val="none"/>
              </w:rPr>
            </w:pPr>
          </w:p>
        </w:tc>
        <w:tc>
          <w:tcPr>
            <w:tcW w:w="2082" w:type="dxa"/>
          </w:tcPr>
          <w:p w14:paraId="576796C5">
            <w:pPr>
              <w:ind w:left="420" w:hanging="420"/>
              <w:rPr>
                <w:rFonts w:ascii="宋体" w:hAnsi="Times New Roman" w:eastAsia="宋体" w:cs="Times New Roman"/>
                <w:b/>
                <w:szCs w:val="20"/>
                <w:highlight w:val="none"/>
              </w:rPr>
            </w:pPr>
          </w:p>
        </w:tc>
        <w:tc>
          <w:tcPr>
            <w:tcW w:w="1355" w:type="dxa"/>
          </w:tcPr>
          <w:p w14:paraId="009FEBD7">
            <w:pPr>
              <w:ind w:left="420" w:hanging="420"/>
              <w:rPr>
                <w:rFonts w:ascii="宋体" w:hAnsi="Times New Roman" w:eastAsia="宋体" w:cs="Times New Roman"/>
                <w:b/>
                <w:szCs w:val="20"/>
                <w:highlight w:val="none"/>
              </w:rPr>
            </w:pPr>
          </w:p>
        </w:tc>
        <w:tc>
          <w:tcPr>
            <w:tcW w:w="826" w:type="dxa"/>
          </w:tcPr>
          <w:p w14:paraId="0DCC300F">
            <w:pPr>
              <w:ind w:left="420" w:hanging="420"/>
              <w:rPr>
                <w:rFonts w:ascii="宋体" w:hAnsi="Times New Roman" w:eastAsia="宋体" w:cs="Times New Roman"/>
                <w:b/>
                <w:szCs w:val="20"/>
                <w:highlight w:val="none"/>
              </w:rPr>
            </w:pPr>
          </w:p>
        </w:tc>
        <w:tc>
          <w:tcPr>
            <w:tcW w:w="1320" w:type="dxa"/>
          </w:tcPr>
          <w:p w14:paraId="0FA7CD80">
            <w:pPr>
              <w:ind w:left="420" w:hanging="420"/>
              <w:rPr>
                <w:rFonts w:ascii="宋体" w:hAnsi="Times New Roman" w:eastAsia="宋体" w:cs="Times New Roman"/>
                <w:b/>
                <w:szCs w:val="20"/>
                <w:highlight w:val="none"/>
              </w:rPr>
            </w:pPr>
          </w:p>
        </w:tc>
        <w:tc>
          <w:tcPr>
            <w:tcW w:w="1023" w:type="dxa"/>
          </w:tcPr>
          <w:p w14:paraId="32CDDCB0">
            <w:pPr>
              <w:ind w:left="420" w:hanging="420"/>
              <w:rPr>
                <w:rFonts w:ascii="宋体" w:hAnsi="Times New Roman" w:eastAsia="宋体" w:cs="Times New Roman"/>
                <w:b/>
                <w:szCs w:val="20"/>
                <w:highlight w:val="none"/>
              </w:rPr>
            </w:pPr>
          </w:p>
        </w:tc>
        <w:tc>
          <w:tcPr>
            <w:tcW w:w="1590" w:type="dxa"/>
          </w:tcPr>
          <w:p w14:paraId="6B6D3A0A">
            <w:pPr>
              <w:ind w:left="420" w:hanging="420"/>
              <w:rPr>
                <w:rFonts w:ascii="宋体" w:hAnsi="Times New Roman" w:eastAsia="宋体" w:cs="Times New Roman"/>
                <w:b/>
                <w:szCs w:val="20"/>
                <w:highlight w:val="none"/>
              </w:rPr>
            </w:pPr>
          </w:p>
        </w:tc>
      </w:tr>
      <w:tr w14:paraId="4DD0B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D763ADC">
            <w:pPr>
              <w:ind w:left="420" w:hanging="420"/>
              <w:rPr>
                <w:rFonts w:ascii="宋体" w:hAnsi="Times New Roman" w:eastAsia="宋体" w:cs="Times New Roman"/>
                <w:b/>
                <w:szCs w:val="20"/>
                <w:highlight w:val="none"/>
              </w:rPr>
            </w:pPr>
          </w:p>
        </w:tc>
        <w:tc>
          <w:tcPr>
            <w:tcW w:w="2082" w:type="dxa"/>
          </w:tcPr>
          <w:p w14:paraId="78CE6702">
            <w:pPr>
              <w:ind w:left="420" w:hanging="420"/>
              <w:rPr>
                <w:rFonts w:ascii="宋体" w:hAnsi="Times New Roman" w:eastAsia="宋体" w:cs="Times New Roman"/>
                <w:b/>
                <w:szCs w:val="20"/>
                <w:highlight w:val="none"/>
              </w:rPr>
            </w:pPr>
          </w:p>
        </w:tc>
        <w:tc>
          <w:tcPr>
            <w:tcW w:w="1355" w:type="dxa"/>
          </w:tcPr>
          <w:p w14:paraId="773B07F5">
            <w:pPr>
              <w:ind w:left="420" w:hanging="420"/>
              <w:rPr>
                <w:rFonts w:ascii="宋体" w:hAnsi="Times New Roman" w:eastAsia="宋体" w:cs="Times New Roman"/>
                <w:b/>
                <w:szCs w:val="20"/>
                <w:highlight w:val="none"/>
              </w:rPr>
            </w:pPr>
          </w:p>
        </w:tc>
        <w:tc>
          <w:tcPr>
            <w:tcW w:w="826" w:type="dxa"/>
          </w:tcPr>
          <w:p w14:paraId="44CEFA92">
            <w:pPr>
              <w:ind w:left="420" w:hanging="420"/>
              <w:rPr>
                <w:rFonts w:ascii="宋体" w:hAnsi="Times New Roman" w:eastAsia="宋体" w:cs="Times New Roman"/>
                <w:b/>
                <w:szCs w:val="20"/>
                <w:highlight w:val="none"/>
              </w:rPr>
            </w:pPr>
          </w:p>
        </w:tc>
        <w:tc>
          <w:tcPr>
            <w:tcW w:w="1320" w:type="dxa"/>
          </w:tcPr>
          <w:p w14:paraId="6039ED5E">
            <w:pPr>
              <w:ind w:left="420" w:hanging="420"/>
              <w:rPr>
                <w:rFonts w:ascii="宋体" w:hAnsi="Times New Roman" w:eastAsia="宋体" w:cs="Times New Roman"/>
                <w:b/>
                <w:szCs w:val="20"/>
                <w:highlight w:val="none"/>
              </w:rPr>
            </w:pPr>
          </w:p>
        </w:tc>
        <w:tc>
          <w:tcPr>
            <w:tcW w:w="1023" w:type="dxa"/>
          </w:tcPr>
          <w:p w14:paraId="12C315E6">
            <w:pPr>
              <w:ind w:left="420" w:hanging="420"/>
              <w:rPr>
                <w:rFonts w:ascii="宋体" w:hAnsi="Times New Roman" w:eastAsia="宋体" w:cs="Times New Roman"/>
                <w:b/>
                <w:szCs w:val="20"/>
                <w:highlight w:val="none"/>
              </w:rPr>
            </w:pPr>
          </w:p>
        </w:tc>
        <w:tc>
          <w:tcPr>
            <w:tcW w:w="1590" w:type="dxa"/>
          </w:tcPr>
          <w:p w14:paraId="618882D8">
            <w:pPr>
              <w:ind w:left="420" w:hanging="420"/>
              <w:rPr>
                <w:rFonts w:ascii="宋体" w:hAnsi="Times New Roman" w:eastAsia="宋体" w:cs="Times New Roman"/>
                <w:b/>
                <w:szCs w:val="20"/>
                <w:highlight w:val="none"/>
              </w:rPr>
            </w:pPr>
          </w:p>
        </w:tc>
      </w:tr>
      <w:tr w14:paraId="1FAEF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982DDCD">
            <w:pPr>
              <w:ind w:left="420" w:hanging="420"/>
              <w:rPr>
                <w:rFonts w:ascii="宋体" w:hAnsi="Times New Roman" w:eastAsia="宋体" w:cs="Times New Roman"/>
                <w:b/>
                <w:szCs w:val="20"/>
                <w:highlight w:val="none"/>
              </w:rPr>
            </w:pPr>
          </w:p>
        </w:tc>
        <w:tc>
          <w:tcPr>
            <w:tcW w:w="2082" w:type="dxa"/>
          </w:tcPr>
          <w:p w14:paraId="0288998A">
            <w:pPr>
              <w:ind w:left="420" w:hanging="420"/>
              <w:rPr>
                <w:rFonts w:ascii="宋体" w:hAnsi="Times New Roman" w:eastAsia="宋体" w:cs="Times New Roman"/>
                <w:b/>
                <w:szCs w:val="20"/>
                <w:highlight w:val="none"/>
              </w:rPr>
            </w:pPr>
          </w:p>
        </w:tc>
        <w:tc>
          <w:tcPr>
            <w:tcW w:w="1355" w:type="dxa"/>
          </w:tcPr>
          <w:p w14:paraId="1CC9EEE5">
            <w:pPr>
              <w:ind w:left="420" w:hanging="420"/>
              <w:rPr>
                <w:rFonts w:ascii="宋体" w:hAnsi="Times New Roman" w:eastAsia="宋体" w:cs="Times New Roman"/>
                <w:b/>
                <w:szCs w:val="20"/>
                <w:highlight w:val="none"/>
              </w:rPr>
            </w:pPr>
          </w:p>
        </w:tc>
        <w:tc>
          <w:tcPr>
            <w:tcW w:w="826" w:type="dxa"/>
          </w:tcPr>
          <w:p w14:paraId="18223336">
            <w:pPr>
              <w:ind w:left="420" w:hanging="420"/>
              <w:rPr>
                <w:rFonts w:ascii="宋体" w:hAnsi="Times New Roman" w:eastAsia="宋体" w:cs="Times New Roman"/>
                <w:b/>
                <w:szCs w:val="20"/>
                <w:highlight w:val="none"/>
              </w:rPr>
            </w:pPr>
          </w:p>
        </w:tc>
        <w:tc>
          <w:tcPr>
            <w:tcW w:w="1320" w:type="dxa"/>
          </w:tcPr>
          <w:p w14:paraId="7692C639">
            <w:pPr>
              <w:ind w:left="420" w:hanging="420"/>
              <w:rPr>
                <w:rFonts w:ascii="宋体" w:hAnsi="Times New Roman" w:eastAsia="宋体" w:cs="Times New Roman"/>
                <w:b/>
                <w:szCs w:val="20"/>
                <w:highlight w:val="none"/>
              </w:rPr>
            </w:pPr>
          </w:p>
        </w:tc>
        <w:tc>
          <w:tcPr>
            <w:tcW w:w="1023" w:type="dxa"/>
          </w:tcPr>
          <w:p w14:paraId="6C35CA82">
            <w:pPr>
              <w:ind w:left="420" w:hanging="420"/>
              <w:rPr>
                <w:rFonts w:ascii="宋体" w:hAnsi="Times New Roman" w:eastAsia="宋体" w:cs="Times New Roman"/>
                <w:b/>
                <w:szCs w:val="20"/>
                <w:highlight w:val="none"/>
              </w:rPr>
            </w:pPr>
          </w:p>
        </w:tc>
        <w:tc>
          <w:tcPr>
            <w:tcW w:w="1590" w:type="dxa"/>
          </w:tcPr>
          <w:p w14:paraId="4600BA42">
            <w:pPr>
              <w:ind w:left="420" w:hanging="420"/>
              <w:rPr>
                <w:rFonts w:ascii="宋体" w:hAnsi="Times New Roman" w:eastAsia="宋体" w:cs="Times New Roman"/>
                <w:b/>
                <w:szCs w:val="20"/>
                <w:highlight w:val="none"/>
              </w:rPr>
            </w:pPr>
          </w:p>
        </w:tc>
      </w:tr>
      <w:tr w14:paraId="0456F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73D87D8">
            <w:pPr>
              <w:ind w:left="420" w:hanging="420"/>
              <w:rPr>
                <w:rFonts w:ascii="宋体" w:hAnsi="Times New Roman" w:eastAsia="宋体" w:cs="Times New Roman"/>
                <w:b/>
                <w:szCs w:val="20"/>
                <w:highlight w:val="none"/>
              </w:rPr>
            </w:pPr>
          </w:p>
        </w:tc>
        <w:tc>
          <w:tcPr>
            <w:tcW w:w="2082" w:type="dxa"/>
          </w:tcPr>
          <w:p w14:paraId="4223FB33">
            <w:pPr>
              <w:ind w:left="420" w:hanging="420"/>
              <w:rPr>
                <w:rFonts w:ascii="宋体" w:hAnsi="Times New Roman" w:eastAsia="宋体" w:cs="Times New Roman"/>
                <w:b/>
                <w:szCs w:val="20"/>
                <w:highlight w:val="none"/>
              </w:rPr>
            </w:pPr>
          </w:p>
        </w:tc>
        <w:tc>
          <w:tcPr>
            <w:tcW w:w="1355" w:type="dxa"/>
          </w:tcPr>
          <w:p w14:paraId="33B0A12B">
            <w:pPr>
              <w:ind w:left="420" w:hanging="420"/>
              <w:rPr>
                <w:rFonts w:ascii="宋体" w:hAnsi="Times New Roman" w:eastAsia="宋体" w:cs="Times New Roman"/>
                <w:b/>
                <w:szCs w:val="20"/>
                <w:highlight w:val="none"/>
              </w:rPr>
            </w:pPr>
          </w:p>
        </w:tc>
        <w:tc>
          <w:tcPr>
            <w:tcW w:w="826" w:type="dxa"/>
          </w:tcPr>
          <w:p w14:paraId="509C1A2E">
            <w:pPr>
              <w:ind w:left="420" w:hanging="420"/>
              <w:rPr>
                <w:rFonts w:ascii="宋体" w:hAnsi="Times New Roman" w:eastAsia="宋体" w:cs="Times New Roman"/>
                <w:b/>
                <w:szCs w:val="20"/>
                <w:highlight w:val="none"/>
              </w:rPr>
            </w:pPr>
          </w:p>
        </w:tc>
        <w:tc>
          <w:tcPr>
            <w:tcW w:w="1320" w:type="dxa"/>
          </w:tcPr>
          <w:p w14:paraId="45301C04">
            <w:pPr>
              <w:ind w:left="420" w:hanging="420"/>
              <w:rPr>
                <w:rFonts w:ascii="宋体" w:hAnsi="Times New Roman" w:eastAsia="宋体" w:cs="Times New Roman"/>
                <w:b/>
                <w:szCs w:val="20"/>
                <w:highlight w:val="none"/>
              </w:rPr>
            </w:pPr>
          </w:p>
        </w:tc>
        <w:tc>
          <w:tcPr>
            <w:tcW w:w="1023" w:type="dxa"/>
          </w:tcPr>
          <w:p w14:paraId="0883052E">
            <w:pPr>
              <w:ind w:left="420" w:hanging="420"/>
              <w:rPr>
                <w:rFonts w:ascii="宋体" w:hAnsi="Times New Roman" w:eastAsia="宋体" w:cs="Times New Roman"/>
                <w:b/>
                <w:szCs w:val="20"/>
                <w:highlight w:val="none"/>
              </w:rPr>
            </w:pPr>
          </w:p>
        </w:tc>
        <w:tc>
          <w:tcPr>
            <w:tcW w:w="1590" w:type="dxa"/>
          </w:tcPr>
          <w:p w14:paraId="4FBB79C8">
            <w:pPr>
              <w:ind w:left="420" w:hanging="420"/>
              <w:rPr>
                <w:rFonts w:ascii="宋体" w:hAnsi="Times New Roman" w:eastAsia="宋体" w:cs="Times New Roman"/>
                <w:b/>
                <w:szCs w:val="20"/>
                <w:highlight w:val="none"/>
              </w:rPr>
            </w:pPr>
          </w:p>
        </w:tc>
      </w:tr>
      <w:tr w14:paraId="455A0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4C7A032">
            <w:pPr>
              <w:ind w:left="420" w:hanging="420"/>
              <w:rPr>
                <w:rFonts w:ascii="宋体" w:hAnsi="Times New Roman" w:eastAsia="宋体" w:cs="Times New Roman"/>
                <w:b/>
                <w:szCs w:val="20"/>
                <w:highlight w:val="none"/>
              </w:rPr>
            </w:pPr>
          </w:p>
        </w:tc>
        <w:tc>
          <w:tcPr>
            <w:tcW w:w="2082" w:type="dxa"/>
          </w:tcPr>
          <w:p w14:paraId="2BE8A519">
            <w:pPr>
              <w:ind w:left="420" w:hanging="420"/>
              <w:rPr>
                <w:rFonts w:ascii="宋体" w:hAnsi="Times New Roman" w:eastAsia="宋体" w:cs="Times New Roman"/>
                <w:b/>
                <w:szCs w:val="20"/>
                <w:highlight w:val="none"/>
              </w:rPr>
            </w:pPr>
          </w:p>
        </w:tc>
        <w:tc>
          <w:tcPr>
            <w:tcW w:w="1355" w:type="dxa"/>
          </w:tcPr>
          <w:p w14:paraId="7EABB4A9">
            <w:pPr>
              <w:ind w:left="420" w:hanging="420"/>
              <w:rPr>
                <w:rFonts w:ascii="宋体" w:hAnsi="Times New Roman" w:eastAsia="宋体" w:cs="Times New Roman"/>
                <w:b/>
                <w:szCs w:val="20"/>
                <w:highlight w:val="none"/>
              </w:rPr>
            </w:pPr>
          </w:p>
        </w:tc>
        <w:tc>
          <w:tcPr>
            <w:tcW w:w="826" w:type="dxa"/>
          </w:tcPr>
          <w:p w14:paraId="0AE11DC1">
            <w:pPr>
              <w:ind w:left="420" w:hanging="420"/>
              <w:rPr>
                <w:rFonts w:ascii="宋体" w:hAnsi="Times New Roman" w:eastAsia="宋体" w:cs="Times New Roman"/>
                <w:b/>
                <w:szCs w:val="20"/>
                <w:highlight w:val="none"/>
              </w:rPr>
            </w:pPr>
          </w:p>
        </w:tc>
        <w:tc>
          <w:tcPr>
            <w:tcW w:w="1320" w:type="dxa"/>
          </w:tcPr>
          <w:p w14:paraId="79DCE88E">
            <w:pPr>
              <w:ind w:left="420" w:hanging="420"/>
              <w:rPr>
                <w:rFonts w:ascii="宋体" w:hAnsi="Times New Roman" w:eastAsia="宋体" w:cs="Times New Roman"/>
                <w:b/>
                <w:szCs w:val="20"/>
                <w:highlight w:val="none"/>
              </w:rPr>
            </w:pPr>
          </w:p>
        </w:tc>
        <w:tc>
          <w:tcPr>
            <w:tcW w:w="1023" w:type="dxa"/>
          </w:tcPr>
          <w:p w14:paraId="3A9654E6">
            <w:pPr>
              <w:ind w:left="420" w:hanging="420"/>
              <w:rPr>
                <w:rFonts w:ascii="宋体" w:hAnsi="Times New Roman" w:eastAsia="宋体" w:cs="Times New Roman"/>
                <w:b/>
                <w:szCs w:val="20"/>
                <w:highlight w:val="none"/>
              </w:rPr>
            </w:pPr>
          </w:p>
        </w:tc>
        <w:tc>
          <w:tcPr>
            <w:tcW w:w="1590" w:type="dxa"/>
          </w:tcPr>
          <w:p w14:paraId="5FFE4295">
            <w:pPr>
              <w:ind w:left="420" w:hanging="420"/>
              <w:rPr>
                <w:rFonts w:ascii="宋体" w:hAnsi="Times New Roman" w:eastAsia="宋体" w:cs="Times New Roman"/>
                <w:b/>
                <w:szCs w:val="20"/>
                <w:highlight w:val="none"/>
              </w:rPr>
            </w:pPr>
          </w:p>
        </w:tc>
      </w:tr>
      <w:tr w14:paraId="3E008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76412DB">
            <w:pPr>
              <w:ind w:left="420" w:hanging="420"/>
              <w:rPr>
                <w:rFonts w:ascii="宋体" w:hAnsi="Times New Roman" w:eastAsia="宋体" w:cs="Times New Roman"/>
                <w:b/>
                <w:szCs w:val="20"/>
                <w:highlight w:val="none"/>
              </w:rPr>
            </w:pPr>
          </w:p>
        </w:tc>
        <w:tc>
          <w:tcPr>
            <w:tcW w:w="2082" w:type="dxa"/>
          </w:tcPr>
          <w:p w14:paraId="31ADFF18">
            <w:pPr>
              <w:ind w:left="420" w:hanging="420"/>
              <w:rPr>
                <w:rFonts w:ascii="宋体" w:hAnsi="Times New Roman" w:eastAsia="宋体" w:cs="Times New Roman"/>
                <w:b/>
                <w:szCs w:val="20"/>
                <w:highlight w:val="none"/>
              </w:rPr>
            </w:pPr>
          </w:p>
        </w:tc>
        <w:tc>
          <w:tcPr>
            <w:tcW w:w="1355" w:type="dxa"/>
          </w:tcPr>
          <w:p w14:paraId="1CD7578C">
            <w:pPr>
              <w:ind w:left="420" w:hanging="420"/>
              <w:rPr>
                <w:rFonts w:ascii="宋体" w:hAnsi="Times New Roman" w:eastAsia="宋体" w:cs="Times New Roman"/>
                <w:b/>
                <w:szCs w:val="20"/>
                <w:highlight w:val="none"/>
              </w:rPr>
            </w:pPr>
          </w:p>
        </w:tc>
        <w:tc>
          <w:tcPr>
            <w:tcW w:w="826" w:type="dxa"/>
          </w:tcPr>
          <w:p w14:paraId="3690A968">
            <w:pPr>
              <w:ind w:left="420" w:hanging="420"/>
              <w:rPr>
                <w:rFonts w:ascii="宋体" w:hAnsi="Times New Roman" w:eastAsia="宋体" w:cs="Times New Roman"/>
                <w:b/>
                <w:szCs w:val="20"/>
                <w:highlight w:val="none"/>
              </w:rPr>
            </w:pPr>
          </w:p>
        </w:tc>
        <w:tc>
          <w:tcPr>
            <w:tcW w:w="1320" w:type="dxa"/>
          </w:tcPr>
          <w:p w14:paraId="792546A1">
            <w:pPr>
              <w:ind w:left="420" w:hanging="420"/>
              <w:rPr>
                <w:rFonts w:ascii="宋体" w:hAnsi="Times New Roman" w:eastAsia="宋体" w:cs="Times New Roman"/>
                <w:b/>
                <w:szCs w:val="20"/>
                <w:highlight w:val="none"/>
              </w:rPr>
            </w:pPr>
          </w:p>
        </w:tc>
        <w:tc>
          <w:tcPr>
            <w:tcW w:w="1023" w:type="dxa"/>
          </w:tcPr>
          <w:p w14:paraId="238A20B3">
            <w:pPr>
              <w:ind w:left="420" w:hanging="420"/>
              <w:rPr>
                <w:rFonts w:ascii="宋体" w:hAnsi="Times New Roman" w:eastAsia="宋体" w:cs="Times New Roman"/>
                <w:b/>
                <w:szCs w:val="20"/>
                <w:highlight w:val="none"/>
              </w:rPr>
            </w:pPr>
          </w:p>
        </w:tc>
        <w:tc>
          <w:tcPr>
            <w:tcW w:w="1590" w:type="dxa"/>
          </w:tcPr>
          <w:p w14:paraId="26554FCE">
            <w:pPr>
              <w:ind w:left="420" w:hanging="420"/>
              <w:rPr>
                <w:rFonts w:ascii="宋体" w:hAnsi="Times New Roman" w:eastAsia="宋体" w:cs="Times New Roman"/>
                <w:b/>
                <w:szCs w:val="20"/>
                <w:highlight w:val="none"/>
              </w:rPr>
            </w:pPr>
          </w:p>
        </w:tc>
      </w:tr>
      <w:tr w14:paraId="3008F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B08E895">
            <w:pPr>
              <w:ind w:left="420" w:hanging="420"/>
              <w:rPr>
                <w:rFonts w:ascii="宋体" w:hAnsi="Times New Roman" w:eastAsia="宋体" w:cs="Times New Roman"/>
                <w:b/>
                <w:szCs w:val="20"/>
                <w:highlight w:val="none"/>
              </w:rPr>
            </w:pPr>
          </w:p>
        </w:tc>
        <w:tc>
          <w:tcPr>
            <w:tcW w:w="2082" w:type="dxa"/>
          </w:tcPr>
          <w:p w14:paraId="1A294A2F">
            <w:pPr>
              <w:ind w:left="420" w:hanging="420"/>
              <w:rPr>
                <w:rFonts w:ascii="宋体" w:hAnsi="Times New Roman" w:eastAsia="宋体" w:cs="Times New Roman"/>
                <w:b/>
                <w:szCs w:val="20"/>
                <w:highlight w:val="none"/>
              </w:rPr>
            </w:pPr>
          </w:p>
        </w:tc>
        <w:tc>
          <w:tcPr>
            <w:tcW w:w="1355" w:type="dxa"/>
          </w:tcPr>
          <w:p w14:paraId="5C4A3A93">
            <w:pPr>
              <w:ind w:left="420" w:hanging="420"/>
              <w:rPr>
                <w:rFonts w:ascii="宋体" w:hAnsi="Times New Roman" w:eastAsia="宋体" w:cs="Times New Roman"/>
                <w:b/>
                <w:szCs w:val="20"/>
                <w:highlight w:val="none"/>
              </w:rPr>
            </w:pPr>
          </w:p>
        </w:tc>
        <w:tc>
          <w:tcPr>
            <w:tcW w:w="826" w:type="dxa"/>
          </w:tcPr>
          <w:p w14:paraId="7DCD9CDF">
            <w:pPr>
              <w:ind w:left="420" w:hanging="420"/>
              <w:rPr>
                <w:rFonts w:ascii="宋体" w:hAnsi="Times New Roman" w:eastAsia="宋体" w:cs="Times New Roman"/>
                <w:b/>
                <w:szCs w:val="20"/>
                <w:highlight w:val="none"/>
              </w:rPr>
            </w:pPr>
          </w:p>
        </w:tc>
        <w:tc>
          <w:tcPr>
            <w:tcW w:w="1320" w:type="dxa"/>
          </w:tcPr>
          <w:p w14:paraId="12D654BC">
            <w:pPr>
              <w:ind w:left="420" w:hanging="420"/>
              <w:rPr>
                <w:rFonts w:ascii="宋体" w:hAnsi="Times New Roman" w:eastAsia="宋体" w:cs="Times New Roman"/>
                <w:b/>
                <w:szCs w:val="20"/>
                <w:highlight w:val="none"/>
              </w:rPr>
            </w:pPr>
          </w:p>
        </w:tc>
        <w:tc>
          <w:tcPr>
            <w:tcW w:w="1023" w:type="dxa"/>
          </w:tcPr>
          <w:p w14:paraId="349E4FC3">
            <w:pPr>
              <w:ind w:left="420" w:hanging="420"/>
              <w:rPr>
                <w:rFonts w:ascii="宋体" w:hAnsi="Times New Roman" w:eastAsia="宋体" w:cs="Times New Roman"/>
                <w:b/>
                <w:szCs w:val="20"/>
                <w:highlight w:val="none"/>
              </w:rPr>
            </w:pPr>
          </w:p>
        </w:tc>
        <w:tc>
          <w:tcPr>
            <w:tcW w:w="1590" w:type="dxa"/>
          </w:tcPr>
          <w:p w14:paraId="3261CD35">
            <w:pPr>
              <w:ind w:left="420" w:hanging="420"/>
              <w:rPr>
                <w:rFonts w:ascii="宋体" w:hAnsi="Times New Roman" w:eastAsia="宋体" w:cs="Times New Roman"/>
                <w:b/>
                <w:szCs w:val="20"/>
                <w:highlight w:val="none"/>
              </w:rPr>
            </w:pPr>
          </w:p>
        </w:tc>
      </w:tr>
      <w:tr w14:paraId="1DF20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423DE87">
            <w:pPr>
              <w:ind w:left="420" w:hanging="420"/>
              <w:rPr>
                <w:rFonts w:ascii="宋体" w:hAnsi="Times New Roman" w:eastAsia="宋体" w:cs="Times New Roman"/>
                <w:b/>
                <w:szCs w:val="20"/>
                <w:highlight w:val="none"/>
              </w:rPr>
            </w:pPr>
          </w:p>
        </w:tc>
        <w:tc>
          <w:tcPr>
            <w:tcW w:w="2082" w:type="dxa"/>
          </w:tcPr>
          <w:p w14:paraId="4738FC7B">
            <w:pPr>
              <w:ind w:left="420" w:hanging="420"/>
              <w:rPr>
                <w:rFonts w:ascii="宋体" w:hAnsi="Times New Roman" w:eastAsia="宋体" w:cs="Times New Roman"/>
                <w:b/>
                <w:szCs w:val="20"/>
                <w:highlight w:val="none"/>
              </w:rPr>
            </w:pPr>
          </w:p>
        </w:tc>
        <w:tc>
          <w:tcPr>
            <w:tcW w:w="1355" w:type="dxa"/>
          </w:tcPr>
          <w:p w14:paraId="2C61FE23">
            <w:pPr>
              <w:ind w:left="420" w:hanging="420"/>
              <w:rPr>
                <w:rFonts w:ascii="宋体" w:hAnsi="Times New Roman" w:eastAsia="宋体" w:cs="Times New Roman"/>
                <w:b/>
                <w:szCs w:val="20"/>
                <w:highlight w:val="none"/>
              </w:rPr>
            </w:pPr>
          </w:p>
        </w:tc>
        <w:tc>
          <w:tcPr>
            <w:tcW w:w="826" w:type="dxa"/>
          </w:tcPr>
          <w:p w14:paraId="25D6A19F">
            <w:pPr>
              <w:ind w:left="420" w:hanging="420"/>
              <w:rPr>
                <w:rFonts w:ascii="宋体" w:hAnsi="Times New Roman" w:eastAsia="宋体" w:cs="Times New Roman"/>
                <w:b/>
                <w:szCs w:val="20"/>
                <w:highlight w:val="none"/>
              </w:rPr>
            </w:pPr>
          </w:p>
        </w:tc>
        <w:tc>
          <w:tcPr>
            <w:tcW w:w="1320" w:type="dxa"/>
          </w:tcPr>
          <w:p w14:paraId="7E776C30">
            <w:pPr>
              <w:ind w:left="420" w:hanging="420"/>
              <w:rPr>
                <w:rFonts w:ascii="宋体" w:hAnsi="Times New Roman" w:eastAsia="宋体" w:cs="Times New Roman"/>
                <w:b/>
                <w:szCs w:val="20"/>
                <w:highlight w:val="none"/>
              </w:rPr>
            </w:pPr>
          </w:p>
        </w:tc>
        <w:tc>
          <w:tcPr>
            <w:tcW w:w="1023" w:type="dxa"/>
          </w:tcPr>
          <w:p w14:paraId="52A2564C">
            <w:pPr>
              <w:ind w:left="420" w:hanging="420"/>
              <w:rPr>
                <w:rFonts w:ascii="宋体" w:hAnsi="Times New Roman" w:eastAsia="宋体" w:cs="Times New Roman"/>
                <w:b/>
                <w:szCs w:val="20"/>
                <w:highlight w:val="none"/>
              </w:rPr>
            </w:pPr>
          </w:p>
        </w:tc>
        <w:tc>
          <w:tcPr>
            <w:tcW w:w="1590" w:type="dxa"/>
          </w:tcPr>
          <w:p w14:paraId="5A8C5E34">
            <w:pPr>
              <w:ind w:left="420" w:hanging="420"/>
              <w:rPr>
                <w:rFonts w:ascii="宋体" w:hAnsi="Times New Roman" w:eastAsia="宋体" w:cs="Times New Roman"/>
                <w:b/>
                <w:szCs w:val="20"/>
                <w:highlight w:val="none"/>
              </w:rPr>
            </w:pPr>
          </w:p>
        </w:tc>
      </w:tr>
      <w:tr w14:paraId="6CB53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6D22C5E9">
            <w:pPr>
              <w:ind w:left="420" w:hanging="420"/>
              <w:rPr>
                <w:rFonts w:ascii="宋体" w:hAnsi="Times New Roman" w:eastAsia="宋体" w:cs="Times New Roman"/>
                <w:b/>
                <w:szCs w:val="20"/>
                <w:highlight w:val="none"/>
              </w:rPr>
            </w:pPr>
            <w:r>
              <w:rPr>
                <w:rFonts w:ascii="宋体" w:hAnsi="宋体" w:eastAsia="宋体" w:cs="宋体"/>
                <w:sz w:val="24"/>
                <w:szCs w:val="24"/>
                <w:highlight w:val="none"/>
              </w:rPr>
              <w:t>20</w:t>
            </w:r>
            <w:r>
              <w:rPr>
                <w:rFonts w:hint="eastAsia" w:ascii="宋体" w:hAnsi="宋体" w:eastAsia="宋体" w:cs="宋体"/>
                <w:sz w:val="24"/>
                <w:szCs w:val="24"/>
                <w:highlight w:val="none"/>
                <w:lang w:val="en-US" w:eastAsia="zh-CN"/>
              </w:rPr>
              <w:t>22</w:t>
            </w:r>
            <w:r>
              <w:rPr>
                <w:rFonts w:ascii="宋体" w:hAnsi="宋体" w:eastAsia="宋体" w:cs="宋体"/>
                <w:sz w:val="24"/>
                <w:szCs w:val="24"/>
                <w:highlight w:val="none"/>
              </w:rPr>
              <w:t>年1月1日至今所有业绩合同总额汇总（必填）</w:t>
            </w:r>
          </w:p>
        </w:tc>
        <w:tc>
          <w:tcPr>
            <w:tcW w:w="826" w:type="dxa"/>
          </w:tcPr>
          <w:p w14:paraId="3304567F">
            <w:pPr>
              <w:ind w:left="420" w:hanging="420"/>
              <w:rPr>
                <w:rFonts w:ascii="宋体" w:hAnsi="Times New Roman" w:eastAsia="宋体" w:cs="Times New Roman"/>
                <w:b/>
                <w:szCs w:val="20"/>
                <w:highlight w:val="none"/>
              </w:rPr>
            </w:pPr>
          </w:p>
        </w:tc>
        <w:tc>
          <w:tcPr>
            <w:tcW w:w="1320" w:type="dxa"/>
          </w:tcPr>
          <w:p w14:paraId="6BCDB6AD">
            <w:pPr>
              <w:ind w:left="420" w:hanging="420"/>
              <w:rPr>
                <w:rFonts w:ascii="宋体" w:hAnsi="Times New Roman" w:eastAsia="宋体" w:cs="Times New Roman"/>
                <w:b/>
                <w:szCs w:val="20"/>
                <w:highlight w:val="none"/>
              </w:rPr>
            </w:pPr>
          </w:p>
        </w:tc>
        <w:tc>
          <w:tcPr>
            <w:tcW w:w="1023" w:type="dxa"/>
          </w:tcPr>
          <w:p w14:paraId="0ECCE3FF">
            <w:pPr>
              <w:ind w:left="420" w:hanging="420"/>
              <w:rPr>
                <w:rFonts w:ascii="宋体" w:hAnsi="Times New Roman" w:eastAsia="宋体" w:cs="Times New Roman"/>
                <w:b/>
                <w:szCs w:val="20"/>
                <w:highlight w:val="none"/>
              </w:rPr>
            </w:pPr>
          </w:p>
        </w:tc>
        <w:tc>
          <w:tcPr>
            <w:tcW w:w="1590" w:type="dxa"/>
          </w:tcPr>
          <w:p w14:paraId="0C266075">
            <w:pPr>
              <w:ind w:left="420" w:hanging="420"/>
              <w:rPr>
                <w:rFonts w:ascii="宋体" w:hAnsi="Times New Roman" w:eastAsia="宋体" w:cs="Times New Roman"/>
                <w:b/>
                <w:szCs w:val="20"/>
                <w:highlight w:val="none"/>
              </w:rPr>
            </w:pPr>
          </w:p>
        </w:tc>
      </w:tr>
    </w:tbl>
    <w:p w14:paraId="642DE24F">
      <w:pPr>
        <w:spacing w:line="240" w:lineRule="atLeast"/>
        <w:rPr>
          <w:rFonts w:ascii="宋体" w:hAnsi="Calibri" w:eastAsia="宋体" w:cs="Times New Roman"/>
          <w:sz w:val="24"/>
          <w:szCs w:val="20"/>
          <w:highlight w:val="none"/>
        </w:rPr>
      </w:pPr>
      <w:r>
        <w:rPr>
          <w:rFonts w:hint="eastAsia" w:ascii="宋体" w:hAnsi="宋体" w:eastAsia="宋体" w:cs="Times New Roman"/>
          <w:sz w:val="24"/>
          <w:szCs w:val="20"/>
          <w:highlight w:val="none"/>
        </w:rPr>
        <w:t>注：</w:t>
      </w:r>
      <w:r>
        <w:rPr>
          <w:rFonts w:hint="eastAsia" w:ascii="宋体" w:hAnsi="宋体" w:eastAsia="宋体" w:cs="宋体"/>
          <w:kern w:val="0"/>
          <w:sz w:val="24"/>
          <w:szCs w:val="20"/>
          <w:highlight w:val="none"/>
        </w:rPr>
        <w:t>提供20</w:t>
      </w:r>
      <w:r>
        <w:rPr>
          <w:rFonts w:hint="eastAsia" w:ascii="宋体" w:hAnsi="宋体" w:eastAsia="宋体" w:cs="宋体"/>
          <w:kern w:val="0"/>
          <w:sz w:val="24"/>
          <w:szCs w:val="20"/>
          <w:highlight w:val="none"/>
          <w:lang w:val="en-US" w:eastAsia="zh-CN"/>
        </w:rPr>
        <w:t>22</w:t>
      </w:r>
      <w:r>
        <w:rPr>
          <w:rFonts w:hint="eastAsia" w:ascii="宋体" w:hAnsi="宋体" w:eastAsia="宋体" w:cs="宋体"/>
          <w:kern w:val="0"/>
          <w:sz w:val="24"/>
          <w:szCs w:val="20"/>
          <w:highlight w:val="none"/>
        </w:rPr>
        <w:t>年1月1日以来同类产品的制造销售业绩（用户名单、联系方式）</w:t>
      </w:r>
      <w:r>
        <w:rPr>
          <w:rFonts w:hint="eastAsia" w:ascii="宋体" w:hAnsi="宋体" w:eastAsia="宋体" w:cs="Times New Roman"/>
          <w:sz w:val="24"/>
          <w:szCs w:val="20"/>
          <w:highlight w:val="none"/>
        </w:rPr>
        <w:t>，并附合同复印件。</w:t>
      </w:r>
      <w:r>
        <w:rPr>
          <w:rFonts w:hint="eastAsia" w:ascii="宋体" w:hAnsi="宋体" w:eastAsia="宋体" w:cs="宋体"/>
          <w:kern w:val="0"/>
          <w:sz w:val="24"/>
          <w:szCs w:val="20"/>
          <w:highlight w:val="none"/>
        </w:rPr>
        <w:t>该同类项目业绩一览表</w:t>
      </w:r>
      <w:r>
        <w:rPr>
          <w:rFonts w:hint="eastAsia" w:ascii="宋体" w:hAnsi="宋体" w:eastAsia="宋体" w:cs="宋体"/>
          <w:b/>
          <w:bCs/>
          <w:kern w:val="0"/>
          <w:sz w:val="24"/>
          <w:szCs w:val="20"/>
          <w:highlight w:val="none"/>
        </w:rPr>
        <w:t>必须如实填写，应全尽全</w:t>
      </w:r>
      <w:r>
        <w:rPr>
          <w:rFonts w:hint="eastAsia" w:ascii="宋体" w:hAnsi="宋体" w:eastAsia="宋体" w:cs="宋体"/>
          <w:kern w:val="0"/>
          <w:sz w:val="24"/>
          <w:szCs w:val="20"/>
          <w:highlight w:val="none"/>
        </w:rPr>
        <w:t>；一览表最终的所有业绩</w:t>
      </w:r>
      <w:r>
        <w:rPr>
          <w:rFonts w:hint="eastAsia" w:ascii="宋体" w:hAnsi="宋体" w:eastAsia="宋体" w:cs="宋体"/>
          <w:b/>
          <w:bCs/>
          <w:kern w:val="0"/>
          <w:sz w:val="24"/>
          <w:szCs w:val="20"/>
          <w:highlight w:val="none"/>
        </w:rPr>
        <w:t>合同总额汇总必填</w:t>
      </w:r>
      <w:r>
        <w:rPr>
          <w:rFonts w:hint="eastAsia" w:ascii="宋体" w:hAnsi="宋体" w:eastAsia="宋体" w:cs="宋体"/>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highlight w:val="none"/>
        </w:rPr>
        <w:t>。</w:t>
      </w:r>
    </w:p>
    <w:p w14:paraId="0277E42C">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22153B0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472E3B82">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1028419F">
      <w:pPr>
        <w:rPr>
          <w:rFonts w:ascii="宋体" w:hAnsi="Calibri" w:eastAsia="宋体" w:cs="宋体"/>
          <w:b/>
          <w:bCs/>
          <w:color w:val="000000"/>
          <w:sz w:val="28"/>
          <w:highlight w:val="none"/>
        </w:rPr>
      </w:pPr>
    </w:p>
    <w:p w14:paraId="6D2372C0">
      <w:pPr>
        <w:rPr>
          <w:rFonts w:ascii="宋体" w:hAnsi="Calibri" w:eastAsia="宋体" w:cs="宋体"/>
          <w:b/>
          <w:bCs/>
          <w:color w:val="000000"/>
          <w:sz w:val="28"/>
          <w:highlight w:val="none"/>
        </w:rPr>
        <w:sectPr>
          <w:pgSz w:w="11906" w:h="16838"/>
          <w:pgMar w:top="1588" w:right="1418" w:bottom="1134" w:left="1418" w:header="851" w:footer="992" w:gutter="0"/>
          <w:cols w:space="720" w:num="1"/>
          <w:titlePg/>
          <w:docGrid w:type="lines" w:linePitch="312" w:charSpace="0"/>
        </w:sectPr>
      </w:pPr>
    </w:p>
    <w:p w14:paraId="365C67E4">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附件7</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设备质量承诺函</w:t>
      </w:r>
    </w:p>
    <w:p w14:paraId="3B3923CC">
      <w:pPr>
        <w:spacing w:line="240" w:lineRule="exact"/>
        <w:rPr>
          <w:rFonts w:ascii="宋体" w:hAnsi="宋体" w:eastAsia="宋体" w:cs="Times New Roman"/>
          <w:szCs w:val="20"/>
          <w:highlight w:val="none"/>
        </w:rPr>
      </w:pPr>
      <w:r>
        <w:rPr>
          <w:rFonts w:ascii="宋体" w:hAnsi="宋体" w:eastAsia="宋体" w:cs="Times New Roman"/>
          <w:szCs w:val="20"/>
          <w:highlight w:val="none"/>
        </w:rPr>
        <w:t xml:space="preserve">                                               </w:t>
      </w:r>
    </w:p>
    <w:p w14:paraId="2D54D985">
      <w:pPr>
        <w:spacing w:line="360" w:lineRule="auto"/>
        <w:rPr>
          <w:rFonts w:ascii="宋体" w:hAnsi="宋体"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ascii="宋体" w:hAnsi="宋体" w:eastAsia="宋体" w:cs="Times New Roman"/>
          <w:sz w:val="24"/>
          <w:szCs w:val="20"/>
          <w:highlight w:val="none"/>
        </w:rPr>
        <w:t xml:space="preserve">: </w:t>
      </w:r>
      <w:r>
        <w:rPr>
          <w:rFonts w:hint="eastAsia" w:ascii="宋体" w:hAnsi="宋体" w:eastAsia="宋体" w:cs="宋体"/>
          <w:sz w:val="24"/>
          <w:szCs w:val="24"/>
          <w:highlight w:val="none"/>
          <w:u w:val="single"/>
          <w:lang w:val="en-US" w:eastAsia="zh-CN"/>
        </w:rPr>
        <w:t>济南发动机厂拉鲁定位装置和台中测量装置开发项目</w:t>
      </w:r>
    </w:p>
    <w:p w14:paraId="46739932">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653454A5">
      <w:pPr>
        <w:spacing w:line="360" w:lineRule="auto"/>
        <w:ind w:firstLine="480" w:firstLineChars="20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ascii="宋体" w:hAnsi="宋体" w:eastAsia="宋体" w:cs="Times New Roman"/>
          <w:sz w:val="24"/>
          <w:szCs w:val="20"/>
          <w:highlight w:val="none"/>
        </w:rPr>
        <w:t>(</w:t>
      </w:r>
      <w:r>
        <w:rPr>
          <w:rFonts w:hint="eastAsia" w:ascii="宋体" w:hAnsi="宋体" w:eastAsia="宋体" w:cs="Times New Roman"/>
          <w:sz w:val="24"/>
          <w:szCs w:val="20"/>
          <w:highlight w:val="none"/>
          <w:lang w:eastAsia="zh-CN"/>
        </w:rPr>
        <w:t>投标人</w:t>
      </w:r>
      <w:r>
        <w:rPr>
          <w:rFonts w:hint="eastAsia" w:ascii="宋体" w:hAnsi="宋体" w:eastAsia="宋体" w:cs="Times New Roman"/>
          <w:sz w:val="24"/>
          <w:szCs w:val="20"/>
          <w:highlight w:val="none"/>
        </w:rPr>
        <w:t>名称</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为保证中标产品的质量特作如下承诺：</w:t>
      </w:r>
    </w:p>
    <w:p w14:paraId="5193502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3E334F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29CE10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72F42F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B78E91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F5AABB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38964A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A6A31E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961C4A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C76F10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EE7155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98AB91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5CA9C2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D382EF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F4E8D8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DB2634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306560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DC8525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A8F9390">
      <w:pPr>
        <w:spacing w:line="360" w:lineRule="auto"/>
        <w:ind w:left="480"/>
        <w:rPr>
          <w:rFonts w:ascii="宋体" w:hAnsi="宋体" w:eastAsia="宋体" w:cs="Times New Roman"/>
          <w:sz w:val="24"/>
          <w:szCs w:val="20"/>
          <w:highlight w:val="none"/>
        </w:rPr>
      </w:pPr>
      <w:r>
        <w:rPr>
          <w:rFonts w:ascii="宋体" w:hAnsi="宋体" w:eastAsia="宋体" w:cs="Times New Roman"/>
          <w:sz w:val="24"/>
          <w:szCs w:val="20"/>
          <w:highlight w:val="none"/>
        </w:rPr>
        <w:t xml:space="preserve">                           </w:t>
      </w:r>
    </w:p>
    <w:p w14:paraId="5ED193EE">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0A219645">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33D2D034">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865CC95">
      <w:pPr>
        <w:rPr>
          <w:rFonts w:ascii="宋体" w:hAnsi="Calibri" w:eastAsia="宋体" w:cs="宋体"/>
          <w:b/>
          <w:bCs/>
          <w:color w:val="000000"/>
          <w:sz w:val="28"/>
          <w:szCs w:val="20"/>
          <w:highlight w:val="none"/>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06C50F89">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附件8</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开标一览表</w:t>
      </w:r>
    </w:p>
    <w:p w14:paraId="0DA76607">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856448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r>
        <w:rPr>
          <w:rFonts w:ascii="宋体" w:hAnsi="宋体" w:eastAsia="宋体" w:cs="Times New Roman"/>
          <w:color w:val="000000"/>
          <w:sz w:val="24"/>
          <w:szCs w:val="24"/>
          <w:highlight w:val="none"/>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20C1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D060F47">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序号</w:t>
            </w:r>
          </w:p>
        </w:tc>
        <w:tc>
          <w:tcPr>
            <w:tcW w:w="1518" w:type="dxa"/>
            <w:vAlign w:val="center"/>
          </w:tcPr>
          <w:p w14:paraId="27DAB352">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货物名称</w:t>
            </w:r>
          </w:p>
        </w:tc>
        <w:tc>
          <w:tcPr>
            <w:tcW w:w="848" w:type="dxa"/>
            <w:vAlign w:val="center"/>
          </w:tcPr>
          <w:p w14:paraId="5EFB54E7">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数量</w:t>
            </w:r>
          </w:p>
        </w:tc>
        <w:tc>
          <w:tcPr>
            <w:tcW w:w="2270" w:type="dxa"/>
            <w:vAlign w:val="center"/>
          </w:tcPr>
          <w:p w14:paraId="63816552">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投标总价</w:t>
            </w:r>
            <w:r>
              <w:rPr>
                <w:rFonts w:hint="eastAsia" w:ascii="等线" w:hAnsi="等线" w:eastAsia="等线" w:cs="Times New Roman"/>
                <w:b/>
                <w:szCs w:val="20"/>
                <w:highlight w:val="none"/>
              </w:rPr>
              <w:t>（元）</w:t>
            </w:r>
          </w:p>
        </w:tc>
        <w:tc>
          <w:tcPr>
            <w:tcW w:w="1100" w:type="dxa"/>
            <w:vAlign w:val="center"/>
          </w:tcPr>
          <w:p w14:paraId="5DE425F5">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质保期</w:t>
            </w:r>
          </w:p>
        </w:tc>
        <w:tc>
          <w:tcPr>
            <w:tcW w:w="1243" w:type="dxa"/>
            <w:vAlign w:val="center"/>
          </w:tcPr>
          <w:p w14:paraId="3BAFCB81">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交货及安装</w:t>
            </w:r>
          </w:p>
          <w:p w14:paraId="7E371D18">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时间</w:t>
            </w:r>
          </w:p>
        </w:tc>
        <w:tc>
          <w:tcPr>
            <w:tcW w:w="705" w:type="dxa"/>
            <w:vAlign w:val="center"/>
          </w:tcPr>
          <w:p w14:paraId="0BEB6F16">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付款方式及比例如何响应</w:t>
            </w:r>
          </w:p>
        </w:tc>
        <w:tc>
          <w:tcPr>
            <w:tcW w:w="699" w:type="dxa"/>
            <w:vAlign w:val="center"/>
          </w:tcPr>
          <w:p w14:paraId="7888D1CE">
            <w:pPr>
              <w:jc w:val="center"/>
              <w:rPr>
                <w:rFonts w:ascii="等线" w:hAnsi="等线" w:eastAsia="等线" w:cs="Times New Roman"/>
                <w:b/>
                <w:szCs w:val="20"/>
                <w:highlight w:val="none"/>
              </w:rPr>
            </w:pPr>
            <w:r>
              <w:rPr>
                <w:rFonts w:hint="eastAsia" w:ascii="等线" w:hAnsi="等线" w:eastAsia="等线" w:cs="Times New Roman"/>
                <w:b/>
                <w:szCs w:val="20"/>
                <w:highlight w:val="none"/>
              </w:rPr>
              <w:t>付款方式及比例是否偏离</w:t>
            </w:r>
          </w:p>
        </w:tc>
      </w:tr>
      <w:tr w14:paraId="299DE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2043DF41">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1518" w:type="dxa"/>
            <w:vAlign w:val="center"/>
          </w:tcPr>
          <w:p w14:paraId="2F8C54E7">
            <w:pPr>
              <w:jc w:val="center"/>
              <w:rPr>
                <w:rFonts w:ascii="Times New Roman" w:hAnsi="Times New Roman" w:eastAsia="宋体" w:cs="Times New Roman"/>
                <w:b/>
                <w:szCs w:val="20"/>
                <w:highlight w:val="none"/>
              </w:rPr>
            </w:pPr>
            <w:r>
              <w:rPr>
                <w:rFonts w:hint="eastAsia" w:ascii="宋体" w:hAnsi="宋体" w:eastAsia="宋体" w:cs="宋体"/>
                <w:sz w:val="24"/>
                <w:szCs w:val="24"/>
                <w:highlight w:val="none"/>
                <w:u w:val="single"/>
                <w:lang w:val="en-US" w:eastAsia="zh-CN"/>
              </w:rPr>
              <w:t>济南发动机厂拉鲁定位装置和台中测量装置开发项目</w:t>
            </w:r>
          </w:p>
        </w:tc>
        <w:tc>
          <w:tcPr>
            <w:tcW w:w="848" w:type="dxa"/>
            <w:vAlign w:val="center"/>
          </w:tcPr>
          <w:p w14:paraId="75C5C4F9">
            <w:pPr>
              <w:jc w:val="center"/>
              <w:rPr>
                <w:rFonts w:hint="eastAsia" w:ascii="Times New Roman" w:hAnsi="Times New Roman" w:eastAsia="宋体" w:cs="Times New Roman"/>
                <w:b/>
                <w:szCs w:val="20"/>
                <w:highlight w:val="none"/>
                <w:lang w:val="en-US" w:eastAsia="zh-CN"/>
              </w:rPr>
            </w:pPr>
            <w:r>
              <w:rPr>
                <w:rFonts w:ascii="Times New Roman" w:hAnsi="Times New Roman" w:eastAsia="宋体" w:cs="Times New Roman"/>
                <w:b/>
                <w:szCs w:val="20"/>
                <w:highlight w:val="none"/>
              </w:rPr>
              <w:t>1</w:t>
            </w:r>
            <w:r>
              <w:rPr>
                <w:rFonts w:hint="eastAsia" w:ascii="Times New Roman" w:hAnsi="Times New Roman" w:eastAsia="宋体" w:cs="Times New Roman"/>
                <w:b/>
                <w:szCs w:val="20"/>
                <w:highlight w:val="none"/>
                <w:lang w:val="en-US" w:eastAsia="zh-CN"/>
              </w:rPr>
              <w:t>套</w:t>
            </w:r>
          </w:p>
        </w:tc>
        <w:tc>
          <w:tcPr>
            <w:tcW w:w="2270" w:type="dxa"/>
            <w:vAlign w:val="center"/>
          </w:tcPr>
          <w:p w14:paraId="10BFCCB7">
            <w:pPr>
              <w:jc w:val="center"/>
              <w:rPr>
                <w:rFonts w:hint="eastAsia" w:ascii="等线" w:hAnsi="等线" w:eastAsia="等线" w:cs="Times New Roman"/>
                <w:b/>
                <w:szCs w:val="20"/>
                <w:highlight w:val="none"/>
                <w:lang w:val="en-US" w:eastAsia="zh-CN"/>
              </w:rPr>
            </w:pPr>
            <w:r>
              <w:rPr>
                <w:rFonts w:hint="eastAsia" w:ascii="等线" w:hAnsi="等线" w:eastAsia="等线" w:cs="Times New Roman"/>
                <w:b/>
                <w:szCs w:val="20"/>
                <w:highlight w:val="none"/>
              </w:rPr>
              <w:t>不含税价</w:t>
            </w:r>
            <w:r>
              <w:rPr>
                <w:rFonts w:hint="eastAsia" w:ascii="等线" w:hAnsi="等线" w:eastAsia="等线" w:cs="Times New Roman"/>
                <w:b/>
                <w:szCs w:val="20"/>
                <w:highlight w:val="none"/>
                <w:lang w:eastAsia="zh-CN"/>
              </w:rPr>
              <w:t>：</w:t>
            </w:r>
          </w:p>
          <w:p w14:paraId="5F8B5029">
            <w:pPr>
              <w:jc w:val="center"/>
              <w:rPr>
                <w:rFonts w:hint="default" w:ascii="等线" w:hAnsi="等线" w:eastAsia="等线" w:cs="Times New Roman"/>
                <w:b/>
                <w:szCs w:val="20"/>
                <w:highlight w:val="none"/>
                <w:lang w:val="en-US" w:eastAsia="zh-CN"/>
              </w:rPr>
            </w:pPr>
            <w:r>
              <w:rPr>
                <w:rFonts w:hint="eastAsia" w:ascii="等线" w:hAnsi="等线" w:eastAsia="等线" w:cs="Times New Roman"/>
                <w:b/>
                <w:szCs w:val="20"/>
                <w:highlight w:val="none"/>
              </w:rPr>
              <w:t>含税价格：</w:t>
            </w:r>
            <w:r>
              <w:rPr>
                <w:rFonts w:hint="eastAsia" w:ascii="等线" w:hAnsi="等线" w:eastAsia="等线" w:cs="Times New Roman"/>
                <w:b/>
                <w:szCs w:val="20"/>
                <w:highlight w:val="none"/>
                <w:u w:val="single"/>
                <w:lang w:val="en-US" w:eastAsia="zh-CN"/>
              </w:rPr>
              <w:t xml:space="preserve">    （大写：    ）</w:t>
            </w:r>
          </w:p>
          <w:p w14:paraId="17BC591A">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税率：</w:t>
            </w:r>
          </w:p>
        </w:tc>
        <w:tc>
          <w:tcPr>
            <w:tcW w:w="1100" w:type="dxa"/>
            <w:vAlign w:val="center"/>
          </w:tcPr>
          <w:p w14:paraId="5BF6BB48">
            <w:pPr>
              <w:jc w:val="center"/>
              <w:rPr>
                <w:rFonts w:ascii="Times New Roman" w:hAnsi="Times New Roman" w:eastAsia="宋体" w:cs="Times New Roman"/>
                <w:b/>
                <w:szCs w:val="20"/>
                <w:highlight w:val="none"/>
              </w:rPr>
            </w:pPr>
          </w:p>
        </w:tc>
        <w:tc>
          <w:tcPr>
            <w:tcW w:w="1243" w:type="dxa"/>
            <w:vAlign w:val="center"/>
          </w:tcPr>
          <w:p w14:paraId="0C32D303">
            <w:pPr>
              <w:jc w:val="center"/>
              <w:rPr>
                <w:rFonts w:ascii="Times New Roman" w:hAnsi="Times New Roman" w:eastAsia="宋体" w:cs="Times New Roman"/>
                <w:b/>
                <w:szCs w:val="20"/>
                <w:highlight w:val="none"/>
              </w:rPr>
            </w:pPr>
          </w:p>
        </w:tc>
        <w:tc>
          <w:tcPr>
            <w:tcW w:w="705" w:type="dxa"/>
            <w:vAlign w:val="center"/>
          </w:tcPr>
          <w:p w14:paraId="141875C8">
            <w:pPr>
              <w:jc w:val="center"/>
              <w:rPr>
                <w:rFonts w:ascii="Times New Roman" w:hAnsi="Times New Roman" w:eastAsia="宋体" w:cs="Times New Roman"/>
                <w:b/>
                <w:szCs w:val="20"/>
                <w:highlight w:val="none"/>
              </w:rPr>
            </w:pPr>
          </w:p>
        </w:tc>
        <w:tc>
          <w:tcPr>
            <w:tcW w:w="699" w:type="dxa"/>
            <w:vAlign w:val="center"/>
          </w:tcPr>
          <w:p w14:paraId="1C79DA0F">
            <w:pPr>
              <w:jc w:val="center"/>
              <w:rPr>
                <w:rFonts w:ascii="Times New Roman" w:hAnsi="Times New Roman" w:eastAsia="宋体" w:cs="Times New Roman"/>
                <w:b/>
                <w:szCs w:val="20"/>
                <w:highlight w:val="none"/>
              </w:rPr>
            </w:pPr>
          </w:p>
        </w:tc>
      </w:tr>
    </w:tbl>
    <w:p w14:paraId="38AC6478">
      <w:pPr>
        <w:rPr>
          <w:rFonts w:ascii="宋体" w:hAnsi="Arial" w:eastAsia="宋体" w:cs="Times New Roman"/>
          <w:sz w:val="24"/>
          <w:szCs w:val="24"/>
          <w:highlight w:val="none"/>
        </w:rPr>
      </w:pPr>
    </w:p>
    <w:p w14:paraId="323F48AA">
      <w:pP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14:paraId="04F1518A">
      <w:pPr>
        <w:spacing w:line="520" w:lineRule="exact"/>
        <w:rPr>
          <w:rFonts w:ascii="宋体" w:hAnsi="Calibri" w:eastAsia="宋体" w:cs="Times New Roman"/>
          <w:b/>
          <w:bCs/>
          <w:szCs w:val="21"/>
          <w:highlight w:val="none"/>
        </w:rPr>
      </w:pPr>
      <w:r>
        <w:rPr>
          <w:rFonts w:ascii="宋体" w:hAnsi="宋体" w:eastAsia="宋体" w:cs="Times New Roman"/>
          <w:b/>
          <w:bCs/>
          <w:szCs w:val="21"/>
          <w:highlight w:val="none"/>
        </w:rPr>
        <w:t>1</w:t>
      </w:r>
      <w:r>
        <w:rPr>
          <w:rFonts w:hint="eastAsia" w:ascii="宋体" w:hAnsi="宋体" w:eastAsia="宋体" w:cs="Times New Roman"/>
          <w:b/>
          <w:bCs/>
          <w:szCs w:val="21"/>
          <w:highlight w:val="none"/>
        </w:rPr>
        <w:t>.此表中的报价必须与相应的报价明细表中的报价一致。</w:t>
      </w:r>
    </w:p>
    <w:p w14:paraId="11657356">
      <w:pPr>
        <w:spacing w:line="300" w:lineRule="auto"/>
        <w:rPr>
          <w:rFonts w:ascii="宋体" w:hAnsi="Calibri" w:eastAsia="宋体" w:cs="Times New Roman"/>
          <w:b/>
          <w:bCs/>
          <w:szCs w:val="21"/>
          <w:highlight w:val="none"/>
        </w:rPr>
      </w:pPr>
      <w:r>
        <w:rPr>
          <w:rFonts w:ascii="宋体" w:hAnsi="宋体" w:eastAsia="宋体" w:cs="Times New Roman"/>
          <w:b/>
          <w:bCs/>
          <w:szCs w:val="21"/>
          <w:highlight w:val="none"/>
        </w:rPr>
        <w:t>2</w:t>
      </w:r>
      <w:r>
        <w:rPr>
          <w:rFonts w:hint="eastAsia" w:ascii="宋体" w:hAnsi="宋体" w:eastAsia="宋体" w:cs="Times New Roman"/>
          <w:b/>
          <w:bCs/>
          <w:szCs w:val="21"/>
          <w:highlight w:val="none"/>
        </w:rPr>
        <w:t>.此表在投递标书时请单独密封两份，否则不予唱标。</w:t>
      </w:r>
    </w:p>
    <w:p w14:paraId="764C218A">
      <w:pPr>
        <w:spacing w:line="300" w:lineRule="auto"/>
        <w:rPr>
          <w:rFonts w:ascii="宋体" w:hAnsi="宋体" w:eastAsia="宋体" w:cs="宋体"/>
          <w:b/>
          <w:szCs w:val="20"/>
          <w:highlight w:val="none"/>
        </w:rPr>
      </w:pPr>
      <w:r>
        <w:rPr>
          <w:rFonts w:hint="eastAsia" w:ascii="宋体" w:hAnsi="宋体" w:eastAsia="宋体" w:cs="宋体"/>
          <w:b/>
          <w:szCs w:val="20"/>
          <w:highlight w:val="none"/>
        </w:rPr>
        <w:t>3.需写明含税价、不含税价格、税率。</w:t>
      </w:r>
    </w:p>
    <w:p w14:paraId="16DD3BBB">
      <w:pPr>
        <w:pStyle w:val="17"/>
        <w:rPr>
          <w:rFonts w:hAnsi="宋体" w:eastAsia="宋体" w:cs="Times New Roman"/>
          <w:b/>
          <w:bCs/>
          <w:szCs w:val="21"/>
          <w:highlight w:val="none"/>
        </w:rPr>
      </w:pPr>
      <w:r>
        <w:rPr>
          <w:rFonts w:hint="eastAsia" w:hAnsi="宋体" w:eastAsia="宋体" w:cs="宋体"/>
          <w:b/>
          <w:szCs w:val="20"/>
          <w:highlight w:val="none"/>
        </w:rPr>
        <w:t>4.</w:t>
      </w:r>
      <w:r>
        <w:rPr>
          <w:rFonts w:hint="eastAsia" w:hAnsi="宋体" w:eastAsia="宋体" w:cs="Times New Roman"/>
          <w:b/>
          <w:bCs/>
          <w:szCs w:val="21"/>
          <w:highlight w:val="none"/>
        </w:rPr>
        <w:t>投标总价包括设备费、调试费、备品备件、特殊工具、运杂费、装卸费、技术服务费、保险费及增值税和其它税费。</w:t>
      </w:r>
    </w:p>
    <w:p w14:paraId="2343E892">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63859D50">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66830802">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527CE98E">
      <w:pPr>
        <w:ind w:firstLine="480"/>
        <w:rPr>
          <w:rFonts w:ascii="宋体" w:hAnsi="Calibri" w:eastAsia="宋体" w:cs="Times New Roman"/>
          <w:color w:val="000000"/>
          <w:sz w:val="24"/>
          <w:szCs w:val="24"/>
          <w:highlight w:val="none"/>
        </w:rPr>
      </w:pPr>
    </w:p>
    <w:p w14:paraId="65DEB599">
      <w:pPr>
        <w:pStyle w:val="17"/>
        <w:rPr>
          <w:highlight w:val="none"/>
        </w:rPr>
        <w:sectPr>
          <w:pgSz w:w="11906" w:h="16838"/>
          <w:pgMar w:top="1588" w:right="1418" w:bottom="1134" w:left="1418" w:header="851" w:footer="992" w:gutter="0"/>
          <w:cols w:space="720" w:num="1"/>
          <w:titlePg/>
          <w:docGrid w:type="lines" w:linePitch="312" w:charSpace="0"/>
        </w:sectPr>
      </w:pPr>
    </w:p>
    <w:p w14:paraId="7161C80E">
      <w:pPr>
        <w:rPr>
          <w:rFonts w:hint="eastAsia" w:ascii="宋体" w:hAnsi="宋体" w:cs="宋体"/>
          <w:color w:val="000000"/>
          <w:sz w:val="24"/>
          <w:szCs w:val="24"/>
          <w:highlight w:val="none"/>
        </w:rPr>
      </w:pPr>
    </w:p>
    <w:p w14:paraId="2D30C416">
      <w:pPr>
        <w:pStyle w:val="5"/>
        <w:spacing w:after="0" w:line="240" w:lineRule="auto"/>
        <w:jc w:val="left"/>
        <w:rPr>
          <w:rFonts w:hint="eastAsia" w:ascii="宋体" w:hAnsi="宋体" w:eastAsia="宋体" w:cs="宋体"/>
          <w:spacing w:val="8"/>
          <w:sz w:val="24"/>
          <w:szCs w:val="24"/>
          <w:highlight w:val="none"/>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highlight w:val="none"/>
        </w:rPr>
        <w:t xml:space="preserve">附件9 </w:t>
      </w:r>
      <w:r>
        <w:rPr>
          <w:rFonts w:ascii="宋体" w:hAnsi="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25FECCBC">
      <w:pPr>
        <w:pStyle w:val="6"/>
        <w:spacing w:after="0"/>
        <w:rPr>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hint="eastAsia" w:ascii="宋体" w:hAnsi="宋体" w:eastAsia="宋体" w:cs="宋体"/>
          <w:spacing w:val="-7"/>
          <w:sz w:val="24"/>
          <w:szCs w:val="24"/>
          <w:highlight w:val="none"/>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p>
    <w:p w14:paraId="61410B9E">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36452B2C">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8"/>
        <w:tblW w:w="144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421"/>
        <w:gridCol w:w="2210"/>
        <w:gridCol w:w="790"/>
        <w:gridCol w:w="929"/>
        <w:gridCol w:w="1147"/>
        <w:gridCol w:w="1428"/>
        <w:gridCol w:w="1783"/>
        <w:gridCol w:w="1192"/>
      </w:tblGrid>
      <w:tr w14:paraId="4C217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14:paraId="7480775E">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vAlign w:val="center"/>
          </w:tcPr>
          <w:p w14:paraId="08953D32">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2</w:t>
            </w:r>
          </w:p>
        </w:tc>
        <w:tc>
          <w:tcPr>
            <w:tcW w:w="2210" w:type="dxa"/>
            <w:tcBorders>
              <w:top w:val="single" w:color="000000" w:sz="2" w:space="0"/>
              <w:left w:val="single" w:color="000000" w:sz="2" w:space="0"/>
              <w:bottom w:val="single" w:color="000000" w:sz="2" w:space="0"/>
              <w:right w:val="single" w:color="000000" w:sz="2" w:space="0"/>
            </w:tcBorders>
            <w:vAlign w:val="center"/>
          </w:tcPr>
          <w:p w14:paraId="7AF0E00D">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3</w:t>
            </w:r>
          </w:p>
        </w:tc>
        <w:tc>
          <w:tcPr>
            <w:tcW w:w="790" w:type="dxa"/>
            <w:tcBorders>
              <w:top w:val="single" w:color="000000" w:sz="2" w:space="0"/>
              <w:left w:val="single" w:color="000000" w:sz="2" w:space="0"/>
              <w:bottom w:val="single" w:color="000000" w:sz="2" w:space="0"/>
              <w:right w:val="single" w:color="000000" w:sz="2" w:space="0"/>
            </w:tcBorders>
            <w:vAlign w:val="center"/>
          </w:tcPr>
          <w:p w14:paraId="4EA1A356">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4</w:t>
            </w:r>
          </w:p>
        </w:tc>
        <w:tc>
          <w:tcPr>
            <w:tcW w:w="929" w:type="dxa"/>
            <w:tcBorders>
              <w:top w:val="single" w:color="000000" w:sz="2" w:space="0"/>
              <w:left w:val="single" w:color="000000" w:sz="2" w:space="0"/>
              <w:bottom w:val="single" w:color="000000" w:sz="2" w:space="0"/>
              <w:right w:val="single" w:color="000000" w:sz="2" w:space="0"/>
            </w:tcBorders>
            <w:vAlign w:val="center"/>
          </w:tcPr>
          <w:p w14:paraId="0229442A">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5</w:t>
            </w:r>
          </w:p>
        </w:tc>
        <w:tc>
          <w:tcPr>
            <w:tcW w:w="1147" w:type="dxa"/>
            <w:tcBorders>
              <w:top w:val="single" w:color="000000" w:sz="2" w:space="0"/>
              <w:left w:val="single" w:color="000000" w:sz="2" w:space="0"/>
              <w:bottom w:val="single" w:color="000000" w:sz="2" w:space="0"/>
              <w:right w:val="single" w:color="000000" w:sz="2" w:space="0"/>
            </w:tcBorders>
            <w:vAlign w:val="center"/>
          </w:tcPr>
          <w:p w14:paraId="70A56C21">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6</w:t>
            </w:r>
          </w:p>
        </w:tc>
        <w:tc>
          <w:tcPr>
            <w:tcW w:w="1428" w:type="dxa"/>
            <w:tcBorders>
              <w:top w:val="single" w:color="000000" w:sz="2" w:space="0"/>
              <w:left w:val="single" w:color="000000" w:sz="2" w:space="0"/>
              <w:bottom w:val="single" w:color="000000" w:sz="2" w:space="0"/>
              <w:right w:val="single" w:color="000000" w:sz="4" w:space="0"/>
            </w:tcBorders>
            <w:vAlign w:val="center"/>
          </w:tcPr>
          <w:p w14:paraId="6333AC42">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7</w:t>
            </w:r>
          </w:p>
        </w:tc>
        <w:tc>
          <w:tcPr>
            <w:tcW w:w="1783" w:type="dxa"/>
            <w:tcBorders>
              <w:top w:val="single" w:color="000000" w:sz="2" w:space="0"/>
              <w:left w:val="nil"/>
              <w:bottom w:val="single" w:color="000000" w:sz="2" w:space="0"/>
              <w:right w:val="single" w:color="000000" w:sz="2" w:space="0"/>
            </w:tcBorders>
            <w:vAlign w:val="center"/>
          </w:tcPr>
          <w:p w14:paraId="69A1F9F7">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8</w:t>
            </w:r>
          </w:p>
        </w:tc>
        <w:tc>
          <w:tcPr>
            <w:tcW w:w="1192" w:type="dxa"/>
            <w:tcBorders>
              <w:top w:val="single" w:color="000000" w:sz="2" w:space="0"/>
              <w:left w:val="single" w:color="000000" w:sz="2" w:space="0"/>
              <w:bottom w:val="single" w:color="000000" w:sz="2" w:space="0"/>
              <w:right w:val="single" w:color="000000" w:sz="2" w:space="0"/>
            </w:tcBorders>
            <w:vAlign w:val="center"/>
          </w:tcPr>
          <w:p w14:paraId="0EFD138A">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9</w:t>
            </w:r>
          </w:p>
        </w:tc>
      </w:tr>
      <w:tr w14:paraId="69CF0C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14:paraId="33C71C7C">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序号</w:t>
            </w:r>
          </w:p>
        </w:tc>
        <w:tc>
          <w:tcPr>
            <w:tcW w:w="4421" w:type="dxa"/>
            <w:tcBorders>
              <w:top w:val="single" w:color="000000" w:sz="2" w:space="0"/>
              <w:left w:val="single" w:color="000000" w:sz="2" w:space="0"/>
              <w:bottom w:val="single" w:color="000000" w:sz="2" w:space="0"/>
              <w:right w:val="single" w:color="000000" w:sz="2" w:space="0"/>
            </w:tcBorders>
            <w:vAlign w:val="center"/>
          </w:tcPr>
          <w:p w14:paraId="5552DC00">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货物名称</w:t>
            </w:r>
          </w:p>
        </w:tc>
        <w:tc>
          <w:tcPr>
            <w:tcW w:w="2210" w:type="dxa"/>
            <w:tcBorders>
              <w:top w:val="single" w:color="000000" w:sz="2" w:space="0"/>
              <w:left w:val="single" w:color="000000" w:sz="2" w:space="0"/>
              <w:bottom w:val="single" w:color="000000" w:sz="2" w:space="0"/>
              <w:right w:val="single" w:color="000000" w:sz="2" w:space="0"/>
            </w:tcBorders>
            <w:vAlign w:val="center"/>
          </w:tcPr>
          <w:p w14:paraId="560ACA3C">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型号和规格</w:t>
            </w:r>
          </w:p>
        </w:tc>
        <w:tc>
          <w:tcPr>
            <w:tcW w:w="790" w:type="dxa"/>
            <w:tcBorders>
              <w:top w:val="single" w:color="000000" w:sz="2" w:space="0"/>
              <w:left w:val="single" w:color="000000" w:sz="2" w:space="0"/>
              <w:bottom w:val="single" w:color="000000" w:sz="2" w:space="0"/>
              <w:right w:val="single" w:color="000000" w:sz="2" w:space="0"/>
            </w:tcBorders>
            <w:vAlign w:val="center"/>
          </w:tcPr>
          <w:p w14:paraId="738EA7D3">
            <w:pPr>
              <w:keepNext w:val="0"/>
              <w:keepLines w:val="0"/>
              <w:widowControl/>
              <w:suppressLineNumbers w:val="0"/>
              <w:jc w:val="center"/>
              <w:textAlignment w:val="center"/>
              <w:rPr>
                <w:rFonts w:hint="eastAsia" w:ascii="宋体" w:hAnsi="宋体" w:eastAsia="宋体" w:cs="宋体"/>
                <w:b/>
                <w:bCs/>
                <w:spacing w:val="-2"/>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单位</w:t>
            </w:r>
          </w:p>
        </w:tc>
        <w:tc>
          <w:tcPr>
            <w:tcW w:w="929" w:type="dxa"/>
            <w:tcBorders>
              <w:top w:val="single" w:color="000000" w:sz="2" w:space="0"/>
              <w:left w:val="single" w:color="000000" w:sz="2" w:space="0"/>
              <w:bottom w:val="single" w:color="000000" w:sz="2" w:space="0"/>
              <w:right w:val="single" w:color="000000" w:sz="2" w:space="0"/>
            </w:tcBorders>
            <w:vAlign w:val="center"/>
          </w:tcPr>
          <w:p w14:paraId="78AA4023">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数量</w:t>
            </w:r>
          </w:p>
        </w:tc>
        <w:tc>
          <w:tcPr>
            <w:tcW w:w="1147" w:type="dxa"/>
            <w:tcBorders>
              <w:top w:val="single" w:color="000000" w:sz="2" w:space="0"/>
              <w:left w:val="single" w:color="000000" w:sz="2" w:space="0"/>
              <w:bottom w:val="single" w:color="000000" w:sz="2" w:space="0"/>
              <w:right w:val="single" w:color="000000" w:sz="2" w:space="0"/>
            </w:tcBorders>
            <w:vAlign w:val="center"/>
          </w:tcPr>
          <w:p w14:paraId="5DCE169C">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原产地和制造商名称</w:t>
            </w:r>
          </w:p>
        </w:tc>
        <w:tc>
          <w:tcPr>
            <w:tcW w:w="1428" w:type="dxa"/>
            <w:tcBorders>
              <w:top w:val="single" w:color="000000" w:sz="2" w:space="0"/>
              <w:left w:val="single" w:color="000000" w:sz="2" w:space="0"/>
              <w:bottom w:val="single" w:color="000000" w:sz="2" w:space="0"/>
              <w:right w:val="single" w:color="000000" w:sz="4" w:space="0"/>
            </w:tcBorders>
            <w:vAlign w:val="center"/>
          </w:tcPr>
          <w:p w14:paraId="65F4197F">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单价（不含税）</w:t>
            </w:r>
          </w:p>
        </w:tc>
        <w:tc>
          <w:tcPr>
            <w:tcW w:w="1783" w:type="dxa"/>
            <w:tcBorders>
              <w:top w:val="single" w:color="000000" w:sz="2" w:space="0"/>
              <w:left w:val="nil"/>
              <w:bottom w:val="single" w:color="000000" w:sz="2" w:space="0"/>
              <w:right w:val="single" w:color="000000" w:sz="2" w:space="0"/>
            </w:tcBorders>
            <w:vAlign w:val="center"/>
          </w:tcPr>
          <w:p w14:paraId="20BC85AD">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总价[5×7]（不含税）</w:t>
            </w:r>
          </w:p>
        </w:tc>
        <w:tc>
          <w:tcPr>
            <w:tcW w:w="1192" w:type="dxa"/>
            <w:tcBorders>
              <w:top w:val="single" w:color="000000" w:sz="2" w:space="0"/>
              <w:left w:val="single" w:color="000000" w:sz="2" w:space="0"/>
              <w:bottom w:val="single" w:color="000000" w:sz="2" w:space="0"/>
              <w:right w:val="single" w:color="000000" w:sz="2" w:space="0"/>
            </w:tcBorders>
            <w:vAlign w:val="center"/>
          </w:tcPr>
          <w:p w14:paraId="5ACF3D6F">
            <w:pPr>
              <w:keepNext w:val="0"/>
              <w:keepLines w:val="0"/>
              <w:widowControl/>
              <w:suppressLineNumbers w:val="0"/>
              <w:jc w:val="center"/>
              <w:textAlignment w:val="center"/>
              <w:rPr>
                <w:rFonts w:hint="eastAsia" w:ascii="宋体" w:hAnsi="宋体" w:eastAsia="宋体" w:cs="宋体"/>
                <w:b/>
                <w:bCs/>
                <w:kern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备  注</w:t>
            </w:r>
          </w:p>
        </w:tc>
      </w:tr>
      <w:tr w14:paraId="0F15D2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22F2B54">
            <w:pPr>
              <w:keepNext w:val="0"/>
              <w:keepLines w:val="0"/>
              <w:widowControl/>
              <w:suppressLineNumbers w:val="0"/>
              <w:jc w:val="center"/>
              <w:textAlignment w:val="center"/>
              <w:rPr>
                <w:rFonts w:hint="eastAsia" w:ascii="宋体" w:hAnsi="宋体" w:eastAsia="宋体" w:cs="宋体"/>
                <w:b w:val="0"/>
                <w:bCs w:val="0"/>
                <w:color w:val="000000"/>
                <w:kern w:val="2"/>
                <w:sz w:val="20"/>
                <w:szCs w:val="20"/>
                <w:highlight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F07B8DD">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支撑结构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8D16D8C">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0F32D93">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597271C">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5DB56A0F">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068003A6">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6DD4F072">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35B26FF0">
            <w:pPr>
              <w:jc w:val="center"/>
              <w:rPr>
                <w:rFonts w:hint="eastAsia" w:ascii="宋体" w:hAnsi="宋体" w:eastAsia="宋体" w:cs="宋体"/>
                <w:b w:val="0"/>
                <w:bCs w:val="0"/>
                <w:kern w:val="0"/>
                <w:sz w:val="20"/>
                <w:szCs w:val="20"/>
                <w:highlight w:val="none"/>
              </w:rPr>
            </w:pPr>
          </w:p>
        </w:tc>
      </w:tr>
      <w:tr w14:paraId="5BE04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C96436E">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0614974">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压装结构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8B7757C">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B4A3BC8">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29582A7">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232E9582">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374FEE6E">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31CF7FE8">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1EC6D5E1">
            <w:pPr>
              <w:jc w:val="center"/>
              <w:rPr>
                <w:rFonts w:hint="eastAsia" w:ascii="宋体" w:hAnsi="宋体" w:eastAsia="宋体" w:cs="宋体"/>
                <w:b w:val="0"/>
                <w:bCs w:val="0"/>
                <w:kern w:val="0"/>
                <w:sz w:val="20"/>
                <w:szCs w:val="20"/>
                <w:highlight w:val="none"/>
              </w:rPr>
            </w:pPr>
          </w:p>
        </w:tc>
      </w:tr>
      <w:tr w14:paraId="00C89F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3EB0F72">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BF0080D">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外围附件</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6DC81DE">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E9908DF">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B173447">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14197CFA">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61BBFC6C">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0B274316">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686D3C1D">
            <w:pPr>
              <w:jc w:val="center"/>
              <w:rPr>
                <w:rFonts w:hint="eastAsia" w:ascii="宋体" w:hAnsi="宋体" w:eastAsia="宋体" w:cs="宋体"/>
                <w:b w:val="0"/>
                <w:bCs w:val="0"/>
                <w:kern w:val="0"/>
                <w:sz w:val="20"/>
                <w:szCs w:val="20"/>
                <w:highlight w:val="none"/>
              </w:rPr>
            </w:pPr>
          </w:p>
        </w:tc>
      </w:tr>
      <w:tr w14:paraId="399626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1BA228F">
            <w:pPr>
              <w:keepNext w:val="0"/>
              <w:keepLines w:val="0"/>
              <w:widowControl/>
              <w:suppressLineNumbers w:val="0"/>
              <w:jc w:val="center"/>
              <w:textAlignment w:val="center"/>
              <w:rPr>
                <w:rFonts w:hint="eastAsia" w:ascii="宋体" w:hAnsi="宋体" w:eastAsia="宋体" w:cs="宋体"/>
                <w:b w:val="0"/>
                <w:bCs w:val="0"/>
                <w:color w:val="000000"/>
                <w:kern w:val="2"/>
                <w:sz w:val="20"/>
                <w:szCs w:val="20"/>
                <w:highlight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1C8C751">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宋体"/>
                <w:i w:val="0"/>
                <w:iCs w:val="0"/>
                <w:color w:val="000000"/>
                <w:kern w:val="0"/>
                <w:sz w:val="20"/>
                <w:szCs w:val="20"/>
                <w:highlight w:val="none"/>
                <w:u w:val="none"/>
                <w:lang w:val="en-US" w:eastAsia="zh-CN" w:bidi="ar"/>
              </w:rPr>
              <w:t>原线体改造</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495E77C">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3CD8D16">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FBEB3A7">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5C9283E6">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0323A432">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563B42C2">
            <w:pPr>
              <w:keepNext w:val="0"/>
              <w:keepLines w:val="0"/>
              <w:widowControl/>
              <w:suppressLineNumbers w:val="0"/>
              <w:jc w:val="center"/>
              <w:textAlignment w:val="center"/>
              <w:rPr>
                <w:rFonts w:hint="eastAsia" w:ascii="宋体" w:hAnsi="宋体" w:eastAsia="宋体" w:cs="宋体"/>
                <w:b w:val="0"/>
                <w:bCs w:val="0"/>
                <w:kern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2602DE64">
            <w:pPr>
              <w:jc w:val="center"/>
              <w:rPr>
                <w:rFonts w:hint="eastAsia" w:ascii="宋体" w:hAnsi="宋体" w:eastAsia="宋体" w:cs="宋体"/>
                <w:b w:val="0"/>
                <w:bCs w:val="0"/>
                <w:kern w:val="0"/>
                <w:sz w:val="20"/>
                <w:szCs w:val="20"/>
                <w:highlight w:val="none"/>
              </w:rPr>
            </w:pPr>
          </w:p>
        </w:tc>
      </w:tr>
      <w:tr w14:paraId="4C6B8B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1DB7108">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281EAAD">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8F76DCA">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F26A9E3">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1846AD2">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520CC005">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086B88D1">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483D0E35">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5BA030CD">
            <w:pPr>
              <w:jc w:val="center"/>
              <w:rPr>
                <w:rFonts w:hint="eastAsia" w:ascii="宋体" w:hAnsi="宋体" w:eastAsia="宋体" w:cs="宋体"/>
                <w:b w:val="0"/>
                <w:bCs w:val="0"/>
                <w:sz w:val="20"/>
                <w:szCs w:val="20"/>
                <w:highlight w:val="none"/>
              </w:rPr>
            </w:pPr>
          </w:p>
        </w:tc>
      </w:tr>
      <w:tr w14:paraId="408404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E9CFBAA">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6473DDF">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E2DAC15">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BB1EC08">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51DAE85">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5C5ACA19">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7D166575">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2147D5A6">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54F9B1BE">
            <w:pPr>
              <w:jc w:val="center"/>
              <w:rPr>
                <w:rFonts w:hint="eastAsia" w:ascii="宋体" w:hAnsi="宋体" w:eastAsia="宋体" w:cs="宋体"/>
                <w:b w:val="0"/>
                <w:bCs w:val="0"/>
                <w:sz w:val="20"/>
                <w:szCs w:val="20"/>
                <w:highlight w:val="none"/>
              </w:rPr>
            </w:pPr>
          </w:p>
        </w:tc>
      </w:tr>
      <w:tr w14:paraId="094736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20E4B14">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E8E3AAA">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0D96DE5">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827F656">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C54CB6D">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68DF20F2">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08024C2A">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1F5F0379">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696D1018">
            <w:pPr>
              <w:jc w:val="center"/>
              <w:rPr>
                <w:rFonts w:hint="eastAsia" w:ascii="宋体" w:hAnsi="宋体" w:eastAsia="宋体" w:cs="宋体"/>
                <w:b w:val="0"/>
                <w:bCs w:val="0"/>
                <w:sz w:val="20"/>
                <w:szCs w:val="20"/>
                <w:highlight w:val="none"/>
              </w:rPr>
            </w:pPr>
          </w:p>
        </w:tc>
      </w:tr>
      <w:tr w14:paraId="1847B9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A9F4206">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A3E97CF">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6A9C5D5">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870DD10">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950B817">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791D07E3">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7E69DE5A">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7617683E">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35F6F37C">
            <w:pPr>
              <w:jc w:val="center"/>
              <w:rPr>
                <w:rFonts w:hint="eastAsia" w:ascii="宋体" w:hAnsi="宋体" w:eastAsia="宋体" w:cs="宋体"/>
                <w:b w:val="0"/>
                <w:bCs w:val="0"/>
                <w:sz w:val="20"/>
                <w:szCs w:val="20"/>
                <w:highlight w:val="none"/>
              </w:rPr>
            </w:pPr>
          </w:p>
        </w:tc>
      </w:tr>
      <w:tr w14:paraId="2B807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101191B">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4064D0D">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6EE679E">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1C38B74">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7097DD8">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5433F529">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1E069910">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30DB9ACE">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37FDEE78">
            <w:pPr>
              <w:jc w:val="center"/>
              <w:rPr>
                <w:rFonts w:hint="eastAsia" w:ascii="宋体" w:hAnsi="宋体" w:eastAsia="宋体" w:cs="宋体"/>
                <w:b w:val="0"/>
                <w:bCs w:val="0"/>
                <w:sz w:val="20"/>
                <w:szCs w:val="20"/>
                <w:highlight w:val="none"/>
              </w:rPr>
            </w:pPr>
          </w:p>
        </w:tc>
      </w:tr>
      <w:tr w14:paraId="5AB04C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7D477FA">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C0A9495">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B8B3265">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0F88F2A">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ABF62EC">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394E4B79">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298776F6">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18061707">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0BB5DF17">
            <w:pPr>
              <w:jc w:val="center"/>
              <w:rPr>
                <w:rFonts w:hint="eastAsia" w:ascii="宋体" w:hAnsi="宋体" w:eastAsia="宋体" w:cs="宋体"/>
                <w:b w:val="0"/>
                <w:bCs w:val="0"/>
                <w:sz w:val="20"/>
                <w:szCs w:val="20"/>
                <w:highlight w:val="none"/>
              </w:rPr>
            </w:pPr>
          </w:p>
        </w:tc>
      </w:tr>
      <w:tr w14:paraId="779A9D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4E2F782">
            <w:pPr>
              <w:keepNext w:val="0"/>
              <w:keepLines w:val="0"/>
              <w:widowControl/>
              <w:suppressLineNumbers w:val="0"/>
              <w:jc w:val="center"/>
              <w:textAlignment w:val="center"/>
              <w:rPr>
                <w:rFonts w:hint="default" w:ascii="宋体" w:hAnsi="宋体" w:eastAsia="宋体" w:cs="宋体"/>
                <w:i w:val="0"/>
                <w:iCs w:val="0"/>
                <w:color w:val="000000"/>
                <w:kern w:val="0"/>
                <w:sz w:val="20"/>
                <w:szCs w:val="20"/>
                <w:highlight w:val="none"/>
                <w:u w:val="none"/>
                <w:lang w:val="en-US" w:eastAsia="zh-CN" w:bidi="ar"/>
              </w:rPr>
            </w:pP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E061731">
            <w:pPr>
              <w:keepNext w:val="0"/>
              <w:keepLines w:val="0"/>
              <w:widowControl/>
              <w:suppressLineNumbers w:val="0"/>
              <w:jc w:val="center"/>
              <w:textAlignment w:val="center"/>
              <w:rPr>
                <w:rFonts w:hint="eastAsia" w:ascii="宋体" w:hAnsi="宋体" w:eastAsia="宋体" w:cs="宋体"/>
                <w:i w:val="0"/>
                <w:iCs w:val="0"/>
                <w:color w:val="000000"/>
                <w:kern w:val="0"/>
                <w:sz w:val="20"/>
                <w:szCs w:val="20"/>
                <w:highlight w:val="none"/>
                <w:u w:val="none"/>
                <w:lang w:val="en-US" w:eastAsia="zh-CN" w:bidi="ar"/>
              </w:rPr>
            </w:pP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4AC0604">
            <w:pPr>
              <w:keepNext w:val="0"/>
              <w:keepLines w:val="0"/>
              <w:widowControl/>
              <w:suppressLineNumbers w:val="0"/>
              <w:jc w:val="center"/>
              <w:textAlignment w:val="center"/>
              <w:rPr>
                <w:rFonts w:hint="eastAsia" w:ascii="宋体" w:hAnsi="宋体" w:eastAsia="宋体" w:cs="宋体"/>
                <w:b w:val="0"/>
                <w:bCs w:val="0"/>
                <w:color w:val="000000"/>
                <w:kern w:val="0"/>
                <w:sz w:val="20"/>
                <w:szCs w:val="20"/>
                <w:highlight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DD6E54B">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AD5806F">
            <w:pPr>
              <w:keepNext w:val="0"/>
              <w:keepLines w:val="0"/>
              <w:widowControl/>
              <w:suppressLineNumbers w:val="0"/>
              <w:jc w:val="center"/>
              <w:textAlignment w:val="center"/>
              <w:rPr>
                <w:rFonts w:hint="eastAsia" w:ascii="宋体" w:hAnsi="宋体" w:eastAsia="宋体" w:cs="宋体"/>
                <w:b w:val="0"/>
                <w:bCs w:val="0"/>
                <w:kern w:val="2"/>
                <w:sz w:val="20"/>
                <w:szCs w:val="20"/>
                <w:highlight w:val="none"/>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14:paraId="6A0B1C83">
            <w:pPr>
              <w:keepNext w:val="0"/>
              <w:keepLines w:val="0"/>
              <w:widowControl/>
              <w:suppressLineNumbers w:val="0"/>
              <w:jc w:val="center"/>
              <w:textAlignment w:val="center"/>
              <w:rPr>
                <w:rFonts w:hint="eastAsia" w:ascii="宋体" w:hAnsi="宋体" w:eastAsia="宋体" w:cs="宋体"/>
                <w:b w:val="0"/>
                <w:bCs w:val="0"/>
                <w:color w:val="000000"/>
                <w:sz w:val="20"/>
                <w:szCs w:val="20"/>
                <w:highlight w:val="none"/>
              </w:rPr>
            </w:pPr>
          </w:p>
        </w:tc>
        <w:tc>
          <w:tcPr>
            <w:tcW w:w="1428" w:type="dxa"/>
            <w:tcBorders>
              <w:top w:val="single" w:color="000000" w:sz="2" w:space="0"/>
              <w:left w:val="single" w:color="000000" w:sz="2" w:space="0"/>
              <w:bottom w:val="single" w:color="000000" w:sz="2" w:space="0"/>
              <w:right w:val="single" w:color="000000" w:sz="4" w:space="0"/>
            </w:tcBorders>
            <w:vAlign w:val="center"/>
          </w:tcPr>
          <w:p w14:paraId="174EE1E8">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783" w:type="dxa"/>
            <w:tcBorders>
              <w:top w:val="single" w:color="000000" w:sz="2" w:space="0"/>
              <w:left w:val="nil"/>
              <w:bottom w:val="single" w:color="000000" w:sz="2" w:space="0"/>
              <w:right w:val="single" w:color="000000" w:sz="2" w:space="0"/>
            </w:tcBorders>
            <w:vAlign w:val="center"/>
          </w:tcPr>
          <w:p w14:paraId="55207DE9">
            <w:pPr>
              <w:keepNext w:val="0"/>
              <w:keepLines w:val="0"/>
              <w:widowControl/>
              <w:suppressLineNumbers w:val="0"/>
              <w:jc w:val="center"/>
              <w:textAlignment w:val="center"/>
              <w:rPr>
                <w:rFonts w:hint="eastAsia" w:ascii="宋体" w:hAnsi="宋体" w:eastAsia="宋体" w:cs="宋体"/>
                <w:b w:val="0"/>
                <w:bCs w:val="0"/>
                <w:sz w:val="20"/>
                <w:szCs w:val="20"/>
                <w:highlight w:val="none"/>
              </w:rPr>
            </w:pPr>
          </w:p>
        </w:tc>
        <w:tc>
          <w:tcPr>
            <w:tcW w:w="1192" w:type="dxa"/>
            <w:tcBorders>
              <w:top w:val="single" w:color="000000" w:sz="2" w:space="0"/>
              <w:left w:val="single" w:color="000000" w:sz="2" w:space="0"/>
              <w:bottom w:val="single" w:color="000000" w:sz="2" w:space="0"/>
              <w:right w:val="single" w:color="000000" w:sz="2" w:space="0"/>
            </w:tcBorders>
            <w:vAlign w:val="center"/>
          </w:tcPr>
          <w:p w14:paraId="29FECF5E">
            <w:pPr>
              <w:jc w:val="center"/>
              <w:rPr>
                <w:rFonts w:hint="eastAsia" w:ascii="宋体" w:hAnsi="宋体" w:eastAsia="宋体" w:cs="宋体"/>
                <w:b w:val="0"/>
                <w:bCs w:val="0"/>
                <w:sz w:val="20"/>
                <w:szCs w:val="20"/>
                <w:highlight w:val="none"/>
              </w:rPr>
            </w:pPr>
          </w:p>
        </w:tc>
      </w:tr>
      <w:tr w14:paraId="7BFD16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CDADD26">
            <w:pPr>
              <w:jc w:val="center"/>
              <w:rPr>
                <w:rFonts w:hint="eastAsia" w:ascii="宋体" w:hAnsi="宋体" w:eastAsia="宋体" w:cs="宋体"/>
                <w:b w:val="0"/>
                <w:bCs w:val="0"/>
                <w:color w:val="000000"/>
                <w:kern w:val="0"/>
                <w:sz w:val="20"/>
                <w:szCs w:val="20"/>
                <w:highlight w:val="none"/>
                <w:lang w:val="en-US" w:eastAsia="zh-CN" w:bidi="ar"/>
              </w:rPr>
            </w:pPr>
          </w:p>
        </w:tc>
        <w:tc>
          <w:tcPr>
            <w:tcW w:w="9497" w:type="dxa"/>
            <w:gridSpan w:val="5"/>
            <w:tcBorders>
              <w:top w:val="single" w:color="000000" w:sz="2" w:space="0"/>
              <w:left w:val="single" w:color="000000" w:sz="2" w:space="0"/>
              <w:bottom w:val="single" w:color="000000" w:sz="2" w:space="0"/>
              <w:right w:val="single" w:color="000000" w:sz="2" w:space="0"/>
            </w:tcBorders>
            <w:shd w:val="clear" w:color="auto" w:fill="auto"/>
            <w:vAlign w:val="center"/>
          </w:tcPr>
          <w:p w14:paraId="7D9AE91F">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highlight w:val="none"/>
                <w:u w:val="none"/>
                <w:lang w:val="en-US" w:eastAsia="zh-CN" w:bidi="ar"/>
              </w:rPr>
            </w:pPr>
            <w:r>
              <w:rPr>
                <w:rFonts w:hint="eastAsia" w:ascii="宋体" w:hAnsi="宋体" w:eastAsia="宋体" w:cs="宋体"/>
                <w:b/>
                <w:bCs/>
                <w:i w:val="0"/>
                <w:iCs w:val="0"/>
                <w:color w:val="000000"/>
                <w:kern w:val="0"/>
                <w:sz w:val="20"/>
                <w:szCs w:val="20"/>
                <w:highlight w:val="none"/>
                <w:u w:val="none"/>
                <w:lang w:val="en-US" w:eastAsia="zh-CN" w:bidi="ar"/>
              </w:rPr>
              <w:t>总</w:t>
            </w:r>
            <w:r>
              <w:rPr>
                <w:rStyle w:val="136"/>
                <w:rFonts w:hint="eastAsia" w:ascii="宋体" w:hAnsi="宋体" w:eastAsia="宋体" w:cs="宋体"/>
                <w:b/>
                <w:bCs/>
                <w:sz w:val="20"/>
                <w:szCs w:val="20"/>
                <w:highlight w:val="none"/>
                <w:lang w:val="en-US" w:eastAsia="zh-CN" w:bidi="ar"/>
              </w:rPr>
              <w:t xml:space="preserve">价合计列入价格汇总表 </w:t>
            </w:r>
            <w:r>
              <w:rPr>
                <w:rStyle w:val="137"/>
                <w:rFonts w:hint="eastAsia" w:ascii="宋体" w:hAnsi="宋体" w:eastAsia="宋体" w:cs="宋体"/>
                <w:b/>
                <w:bCs/>
                <w:sz w:val="20"/>
                <w:szCs w:val="20"/>
                <w:highlight w:val="none"/>
                <w:lang w:val="en-US" w:eastAsia="zh-CN" w:bidi="ar"/>
              </w:rPr>
              <w:t>9-5</w:t>
            </w:r>
          </w:p>
        </w:tc>
        <w:tc>
          <w:tcPr>
            <w:tcW w:w="4403" w:type="dxa"/>
            <w:gridSpan w:val="3"/>
            <w:tcBorders>
              <w:top w:val="single" w:color="000000" w:sz="2" w:space="0"/>
              <w:left w:val="single" w:color="000000" w:sz="2" w:space="0"/>
              <w:bottom w:val="single" w:color="000000" w:sz="2" w:space="0"/>
              <w:right w:val="single" w:color="000000" w:sz="2" w:space="0"/>
            </w:tcBorders>
            <w:shd w:val="clear" w:color="auto" w:fill="auto"/>
            <w:vAlign w:val="center"/>
          </w:tcPr>
          <w:p w14:paraId="78EF11B1">
            <w:pPr>
              <w:jc w:val="center"/>
              <w:rPr>
                <w:rFonts w:hint="eastAsia" w:ascii="宋体" w:hAnsi="宋体" w:eastAsia="宋体" w:cs="宋体"/>
                <w:b w:val="0"/>
                <w:bCs w:val="0"/>
                <w:sz w:val="20"/>
                <w:szCs w:val="20"/>
                <w:highlight w:val="none"/>
              </w:rPr>
            </w:pPr>
            <w:r>
              <w:rPr>
                <w:rFonts w:hint="eastAsia" w:ascii="宋体" w:hAnsi="宋体" w:eastAsia="宋体" w:cs="宋体"/>
                <w:b/>
                <w:bCs/>
                <w:i w:val="0"/>
                <w:iCs w:val="0"/>
                <w:color w:val="000000"/>
                <w:kern w:val="0"/>
                <w:sz w:val="20"/>
                <w:szCs w:val="20"/>
                <w:highlight w:val="none"/>
                <w:u w:val="none"/>
                <w:lang w:val="en-US" w:eastAsia="zh-CN" w:bidi="ar"/>
              </w:rPr>
              <w:t>总价合计（不含税）￥    元</w:t>
            </w:r>
          </w:p>
        </w:tc>
      </w:tr>
    </w:tbl>
    <w:p w14:paraId="7FE68DB2">
      <w:pPr>
        <w:spacing w:before="58" w:line="219" w:lineRule="auto"/>
        <w:ind w:left="8"/>
        <w:rPr>
          <w:rFonts w:ascii="宋体" w:hAnsi="宋体" w:eastAsia="宋体" w:cs="宋体"/>
          <w:spacing w:val="-8"/>
          <w:szCs w:val="21"/>
          <w:highlight w:val="none"/>
        </w:rPr>
      </w:pPr>
    </w:p>
    <w:p w14:paraId="1D9705E9">
      <w:pPr>
        <w:spacing w:before="58" w:line="219" w:lineRule="auto"/>
        <w:ind w:left="8"/>
        <w:rPr>
          <w:rFonts w:ascii="宋体" w:hAnsi="宋体" w:eastAsia="宋体" w:cs="宋体"/>
          <w:szCs w:val="21"/>
          <w:highlight w:val="none"/>
        </w:rPr>
      </w:pPr>
      <w:r>
        <w:rPr>
          <w:rFonts w:ascii="宋体" w:hAnsi="宋体" w:eastAsia="宋体" w:cs="宋体"/>
          <w:spacing w:val="-8"/>
          <w:szCs w:val="21"/>
          <w:highlight w:val="none"/>
        </w:rPr>
        <w:t>注：</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1.以上</w:t>
      </w:r>
      <w:r>
        <w:rPr>
          <w:rFonts w:ascii="宋体" w:hAnsi="宋体" w:eastAsia="宋体" w:cs="宋体"/>
          <w:spacing w:val="-5"/>
          <w:szCs w:val="21"/>
          <w:highlight w:val="none"/>
        </w:rPr>
        <w:t>是</w:t>
      </w:r>
      <w:r>
        <w:rPr>
          <w:rFonts w:ascii="宋体" w:hAnsi="宋体" w:eastAsia="宋体" w:cs="宋体"/>
          <w:spacing w:val="-4"/>
          <w:szCs w:val="21"/>
          <w:highlight w:val="none"/>
        </w:rPr>
        <w:t>各单体设备分项报价应包括的内容， 但不限于此，表中“总价合计”构成主机价格的一部分。</w:t>
      </w:r>
    </w:p>
    <w:p w14:paraId="0168DA7E">
      <w:pPr>
        <w:spacing w:before="78" w:line="219" w:lineRule="auto"/>
        <w:ind w:left="431"/>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计算的结果与总价不一致，以单价为准修正总价。</w:t>
      </w:r>
    </w:p>
    <w:p w14:paraId="54E7C83E">
      <w:pPr>
        <w:spacing w:before="85" w:line="198" w:lineRule="auto"/>
        <w:ind w:left="432"/>
        <w:rPr>
          <w:highlight w:val="none"/>
        </w:rPr>
      </w:pPr>
      <w:r>
        <w:rPr>
          <w:rFonts w:ascii="宋体" w:hAnsi="宋体" w:eastAsia="宋体" w:cs="宋体"/>
          <w:spacing w:val="-4"/>
          <w:szCs w:val="21"/>
          <w:highlight w:val="none"/>
        </w:rPr>
        <w:t>3.此分项报价，仅是为</w:t>
      </w:r>
      <w:r>
        <w:rPr>
          <w:rFonts w:ascii="宋体" w:hAnsi="宋体" w:eastAsia="宋体" w:cs="宋体"/>
          <w:spacing w:val="-2"/>
          <w:szCs w:val="21"/>
          <w:highlight w:val="none"/>
        </w:rPr>
        <w:t>了方便招标人对投标文件进行分析比较，不作为限制订立合同的条件</w:t>
      </w:r>
      <w:r>
        <w:rPr>
          <w:rFonts w:ascii="宋体" w:hAnsi="宋体" w:eastAsia="宋体" w:cs="宋体"/>
          <w:spacing w:val="-2"/>
          <w:sz w:val="24"/>
          <w:szCs w:val="24"/>
          <w:highlight w:val="none"/>
        </w:rPr>
        <w:t>。</w:t>
      </w:r>
    </w:p>
    <w:p w14:paraId="440CDB16">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02048185">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1C88EFCE">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623832E8">
      <w:pPr>
        <w:spacing w:line="105" w:lineRule="exact"/>
        <w:rPr>
          <w:highlight w:val="none"/>
        </w:rPr>
      </w:pPr>
    </w:p>
    <w:p w14:paraId="770E1048">
      <w:pPr>
        <w:rPr>
          <w:highlight w:val="none"/>
        </w:rPr>
        <w:sectPr>
          <w:footerReference r:id="rId31" w:type="default"/>
          <w:pgSz w:w="16841" w:h="11907" w:orient="landscape"/>
          <w:pgMar w:top="400" w:right="1387" w:bottom="1168" w:left="1473" w:header="0" w:footer="990" w:gutter="0"/>
          <w:cols w:equalWidth="0" w:num="1">
            <w:col w:w="13980"/>
          </w:cols>
        </w:sectPr>
      </w:pPr>
    </w:p>
    <w:p w14:paraId="2786D695">
      <w:pPr>
        <w:spacing w:before="85" w:line="198" w:lineRule="auto"/>
        <w:ind w:left="432"/>
        <w:rPr>
          <w:rFonts w:ascii="宋体" w:hAnsi="宋体" w:eastAsia="宋体" w:cs="宋体"/>
          <w:spacing w:val="-4"/>
          <w:sz w:val="24"/>
          <w:szCs w:val="24"/>
          <w:highlight w:val="none"/>
        </w:rPr>
      </w:pPr>
      <w:r>
        <w:rPr>
          <w:rFonts w:hint="eastAsia" w:ascii="宋体" w:hAnsi="宋体" w:eastAsia="宋体" w:cs="宋体"/>
          <w:spacing w:val="-4"/>
          <w:sz w:val="24"/>
          <w:szCs w:val="24"/>
          <w:highlight w:val="none"/>
        </w:rPr>
        <w:t>投标人(章)：</w:t>
      </w:r>
    </w:p>
    <w:p w14:paraId="5087E0CD">
      <w:pPr>
        <w:spacing w:line="14" w:lineRule="auto"/>
        <w:rPr>
          <w:rFonts w:ascii="宋体" w:hAnsi="宋体" w:eastAsia="宋体" w:cs="宋体"/>
          <w:sz w:val="24"/>
          <w:szCs w:val="24"/>
          <w:highlight w:val="none"/>
        </w:rPr>
      </w:pPr>
      <w:r>
        <w:rPr>
          <w:rFonts w:hint="eastAsia" w:ascii="宋体" w:hAnsi="宋体" w:eastAsia="宋体" w:cs="宋体"/>
          <w:sz w:val="24"/>
          <w:szCs w:val="24"/>
          <w:highlight w:val="none"/>
        </w:rPr>
        <w:br w:type="column"/>
      </w:r>
    </w:p>
    <w:p w14:paraId="02D6D1CE">
      <w:pPr>
        <w:spacing w:before="40" w:line="186" w:lineRule="auto"/>
        <w:rPr>
          <w:rFonts w:ascii="宋体" w:hAnsi="宋体" w:eastAsia="宋体" w:cs="宋体"/>
          <w:spacing w:val="-2"/>
          <w:sz w:val="24"/>
          <w:szCs w:val="24"/>
          <w:highlight w:val="none"/>
        </w:rPr>
      </w:pPr>
      <w:r>
        <w:rPr>
          <w:rFonts w:hint="eastAsia" w:ascii="宋体" w:hAnsi="宋体" w:eastAsia="宋体" w:cs="宋体"/>
          <w:spacing w:val="-2"/>
          <w:sz w:val="24"/>
          <w:szCs w:val="24"/>
          <w:highlight w:val="none"/>
        </w:rPr>
        <w:t>授权代表(签字)：</w:t>
      </w:r>
      <w:r>
        <w:rPr>
          <w:rFonts w:hint="eastAsia" w:ascii="宋体" w:hAnsi="宋体" w:eastAsia="宋体" w:cs="宋体"/>
          <w:spacing w:val="4"/>
          <w:sz w:val="24"/>
          <w:szCs w:val="24"/>
          <w:highlight w:val="none"/>
        </w:rPr>
        <w:t xml:space="preserve"> </w:t>
      </w:r>
      <w:r>
        <w:rPr>
          <w:rFonts w:hint="eastAsia" w:ascii="宋体" w:hAnsi="宋体" w:eastAsia="宋体" w:cs="宋体"/>
          <w:spacing w:val="3"/>
          <w:sz w:val="24"/>
          <w:szCs w:val="24"/>
          <w:highlight w:val="none"/>
        </w:rPr>
        <w:t xml:space="preserve">                         </w:t>
      </w:r>
      <w:r>
        <w:rPr>
          <w:rFonts w:hint="eastAsia" w:ascii="宋体" w:hAnsi="宋体" w:eastAsia="宋体" w:cs="宋体"/>
          <w:spacing w:val="-2"/>
          <w:sz w:val="24"/>
          <w:szCs w:val="24"/>
          <w:highlight w:val="none"/>
        </w:rPr>
        <w:t>年    月    日</w:t>
      </w:r>
    </w:p>
    <w:p w14:paraId="4D27C770">
      <w:pPr>
        <w:rPr>
          <w:rFonts w:ascii="宋体" w:hAnsi="宋体" w:eastAsia="宋体" w:cs="宋体"/>
          <w:sz w:val="24"/>
          <w:szCs w:val="24"/>
          <w:highlight w:val="none"/>
        </w:rPr>
        <w:sectPr>
          <w:type w:val="continuous"/>
          <w:pgSz w:w="16841" w:h="11907"/>
          <w:pgMar w:top="400" w:right="1387" w:bottom="1168" w:left="1473" w:header="0" w:footer="990" w:gutter="0"/>
          <w:cols w:equalWidth="0" w:num="2">
            <w:col w:w="4757" w:space="100"/>
            <w:col w:w="9124"/>
          </w:cols>
        </w:sectPr>
      </w:pPr>
    </w:p>
    <w:p w14:paraId="2F931CD7">
      <w:pPr>
        <w:pStyle w:val="6"/>
        <w:jc w:val="left"/>
        <w:rPr>
          <w:rFonts w:hint="eastAsia" w:ascii="宋体" w:hAnsi="宋体" w:eastAsia="宋体" w:cs="宋体"/>
          <w:spacing w:val="-10"/>
          <w:sz w:val="24"/>
          <w:szCs w:val="24"/>
          <w:highlight w:val="none"/>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highlight w:val="none"/>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highlight w:val="none"/>
          <w:lang w:val="en-US" w:eastAsia="zh-CN"/>
          <w14:textOutline w14:w="3835" w14:cap="flat" w14:cmpd="sng" w14:algn="ctr">
            <w14:solidFill>
              <w14:srgbClr w14:val="000000"/>
            </w14:solidFill>
            <w14:prstDash w14:val="solid"/>
            <w14:miter w14:val="0"/>
          </w14:textOutline>
        </w:rPr>
        <w:t>2</w:t>
      </w:r>
    </w:p>
    <w:p w14:paraId="423A880E">
      <w:pPr>
        <w:spacing w:before="186" w:line="224" w:lineRule="auto"/>
        <w:ind w:left="5342"/>
        <w:rPr>
          <w:rFonts w:ascii="宋体" w:hAnsi="宋体" w:eastAsia="宋体" w:cs="宋体"/>
          <w:sz w:val="24"/>
          <w:szCs w:val="24"/>
          <w:highlight w:val="none"/>
        </w:rPr>
      </w:pPr>
      <w:r>
        <w:rPr>
          <w:rFonts w:ascii="宋体" w:hAnsi="宋体" w:eastAsia="宋体" w:cs="宋体"/>
          <w:spacing w:val="16"/>
          <w:sz w:val="24"/>
          <w:szCs w:val="24"/>
          <w:highlight w:val="none"/>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输及服务分项报价表</w:t>
      </w:r>
    </w:p>
    <w:p w14:paraId="2E1D99C5">
      <w:pPr>
        <w:spacing w:before="132" w:line="221" w:lineRule="auto"/>
        <w:ind w:left="310"/>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85852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noWrap w:val="0"/>
            <w:vAlign w:val="top"/>
          </w:tcPr>
          <w:p w14:paraId="33BB772C">
            <w:pPr>
              <w:spacing w:line="296" w:lineRule="auto"/>
              <w:rPr>
                <w:rFonts w:ascii="Arial"/>
                <w:highlight w:val="none"/>
              </w:rPr>
            </w:pPr>
          </w:p>
          <w:p w14:paraId="45D80323">
            <w:pPr>
              <w:spacing w:before="68" w:line="222" w:lineRule="auto"/>
              <w:ind w:left="194"/>
              <w:rPr>
                <w:rFonts w:ascii="宋体" w:hAnsi="宋体" w:eastAsia="宋体" w:cs="宋体"/>
                <w:szCs w:val="21"/>
                <w:highlight w:val="none"/>
              </w:rPr>
            </w:pPr>
            <w:r>
              <w:rPr>
                <w:rFonts w:ascii="宋体" w:hAnsi="宋体" w:eastAsia="宋体" w:cs="宋体"/>
                <w:spacing w:val="-1"/>
                <w:szCs w:val="21"/>
                <w:highlight w:val="none"/>
              </w:rPr>
              <w:t>序号</w:t>
            </w:r>
          </w:p>
        </w:tc>
        <w:tc>
          <w:tcPr>
            <w:tcW w:w="3530" w:type="dxa"/>
            <w:vMerge w:val="restart"/>
            <w:tcBorders>
              <w:bottom w:val="nil"/>
            </w:tcBorders>
            <w:noWrap w:val="0"/>
            <w:vAlign w:val="top"/>
          </w:tcPr>
          <w:p w14:paraId="61F68279">
            <w:pPr>
              <w:spacing w:line="295" w:lineRule="auto"/>
              <w:rPr>
                <w:rFonts w:ascii="Arial"/>
                <w:highlight w:val="none"/>
              </w:rPr>
            </w:pPr>
          </w:p>
          <w:p w14:paraId="4B1151FE">
            <w:pPr>
              <w:spacing w:before="68" w:line="221" w:lineRule="auto"/>
              <w:ind w:left="1476"/>
              <w:rPr>
                <w:rFonts w:ascii="宋体" w:hAnsi="宋体" w:eastAsia="宋体" w:cs="宋体"/>
                <w:szCs w:val="21"/>
                <w:highlight w:val="none"/>
              </w:rPr>
            </w:pPr>
            <w:r>
              <w:rPr>
                <w:rFonts w:ascii="宋体" w:hAnsi="宋体" w:eastAsia="宋体" w:cs="宋体"/>
                <w:spacing w:val="-1"/>
                <w:szCs w:val="21"/>
                <w:highlight w:val="none"/>
              </w:rPr>
              <w:t>内  容</w:t>
            </w:r>
          </w:p>
        </w:tc>
        <w:tc>
          <w:tcPr>
            <w:tcW w:w="2159" w:type="dxa"/>
            <w:noWrap w:val="0"/>
            <w:vAlign w:val="top"/>
          </w:tcPr>
          <w:p w14:paraId="33776060">
            <w:pPr>
              <w:spacing w:before="130" w:line="221" w:lineRule="auto"/>
              <w:ind w:left="766"/>
              <w:rPr>
                <w:rFonts w:ascii="宋体" w:hAnsi="宋体" w:eastAsia="宋体" w:cs="宋体"/>
                <w:szCs w:val="21"/>
                <w:highlight w:val="none"/>
              </w:rPr>
            </w:pPr>
            <w:r>
              <w:rPr>
                <w:rFonts w:ascii="宋体" w:hAnsi="宋体" w:eastAsia="宋体" w:cs="宋体"/>
                <w:spacing w:val="-1"/>
                <w:szCs w:val="21"/>
                <w:highlight w:val="none"/>
              </w:rPr>
              <w:t>数  量</w:t>
            </w:r>
          </w:p>
        </w:tc>
        <w:tc>
          <w:tcPr>
            <w:tcW w:w="2186" w:type="dxa"/>
            <w:noWrap w:val="0"/>
            <w:vAlign w:val="top"/>
          </w:tcPr>
          <w:p w14:paraId="32CC42C8">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单价(元)</w:t>
            </w:r>
            <w:r>
              <w:rPr>
                <w:rFonts w:hint="eastAsia" w:ascii="宋体" w:hAnsi="宋体" w:eastAsia="宋体" w:cs="宋体"/>
                <w:spacing w:val="-1"/>
                <w:szCs w:val="21"/>
                <w:highlight w:val="none"/>
              </w:rPr>
              <w:t>（</w:t>
            </w:r>
            <w:r>
              <w:rPr>
                <w:rFonts w:hint="eastAsia" w:ascii="宋体" w:hAnsi="宋体" w:eastAsia="宋体" w:cs="宋体"/>
                <w:spacing w:val="-1"/>
                <w:szCs w:val="21"/>
                <w:highlight w:val="none"/>
                <w:lang w:val="en-US" w:eastAsia="zh-CN"/>
              </w:rPr>
              <w:t>不</w:t>
            </w:r>
            <w:r>
              <w:rPr>
                <w:rFonts w:hint="eastAsia" w:ascii="宋体" w:hAnsi="宋体" w:eastAsia="宋体" w:cs="宋体"/>
                <w:spacing w:val="-1"/>
                <w:szCs w:val="21"/>
                <w:highlight w:val="none"/>
              </w:rPr>
              <w:t>含税）</w:t>
            </w:r>
          </w:p>
        </w:tc>
        <w:tc>
          <w:tcPr>
            <w:tcW w:w="2596" w:type="dxa"/>
            <w:noWrap w:val="0"/>
            <w:vAlign w:val="top"/>
          </w:tcPr>
          <w:p w14:paraId="79102AAF">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总价(元)</w:t>
            </w:r>
            <w:r>
              <w:rPr>
                <w:rFonts w:hint="eastAsia" w:ascii="宋体" w:hAnsi="宋体" w:eastAsia="宋体" w:cs="宋体"/>
                <w:spacing w:val="-1"/>
                <w:szCs w:val="21"/>
                <w:highlight w:val="none"/>
              </w:rPr>
              <w:t>（</w:t>
            </w:r>
            <w:r>
              <w:rPr>
                <w:rFonts w:hint="eastAsia" w:ascii="宋体" w:hAnsi="宋体" w:eastAsia="宋体" w:cs="宋体"/>
                <w:spacing w:val="-1"/>
                <w:szCs w:val="21"/>
                <w:highlight w:val="none"/>
                <w:lang w:val="en-US" w:eastAsia="zh-CN"/>
              </w:rPr>
              <w:t>不</w:t>
            </w:r>
            <w:r>
              <w:rPr>
                <w:rFonts w:hint="eastAsia" w:ascii="宋体" w:hAnsi="宋体" w:eastAsia="宋体" w:cs="宋体"/>
                <w:spacing w:val="-1"/>
                <w:szCs w:val="21"/>
                <w:highlight w:val="none"/>
              </w:rPr>
              <w:t>含税）</w:t>
            </w:r>
          </w:p>
        </w:tc>
        <w:tc>
          <w:tcPr>
            <w:tcW w:w="2164" w:type="dxa"/>
            <w:noWrap w:val="0"/>
            <w:vAlign w:val="top"/>
          </w:tcPr>
          <w:p w14:paraId="2019A8B3">
            <w:pPr>
              <w:spacing w:before="130" w:line="222" w:lineRule="auto"/>
              <w:ind w:left="770"/>
              <w:rPr>
                <w:rFonts w:ascii="宋体" w:hAnsi="宋体" w:eastAsia="宋体" w:cs="宋体"/>
                <w:szCs w:val="21"/>
                <w:highlight w:val="none"/>
              </w:rPr>
            </w:pPr>
            <w:r>
              <w:rPr>
                <w:rFonts w:ascii="宋体" w:hAnsi="宋体" w:eastAsia="宋体" w:cs="宋体"/>
                <w:spacing w:val="-1"/>
                <w:szCs w:val="21"/>
                <w:highlight w:val="none"/>
              </w:rPr>
              <w:t>备  注</w:t>
            </w:r>
          </w:p>
        </w:tc>
      </w:tr>
      <w:tr w14:paraId="7227CA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noWrap w:val="0"/>
            <w:vAlign w:val="top"/>
          </w:tcPr>
          <w:p w14:paraId="354EB015">
            <w:pPr>
              <w:rPr>
                <w:rFonts w:ascii="Arial"/>
                <w:highlight w:val="none"/>
              </w:rPr>
            </w:pPr>
          </w:p>
        </w:tc>
        <w:tc>
          <w:tcPr>
            <w:tcW w:w="3530" w:type="dxa"/>
            <w:vMerge w:val="continue"/>
            <w:tcBorders>
              <w:top w:val="nil"/>
            </w:tcBorders>
            <w:noWrap w:val="0"/>
            <w:vAlign w:val="top"/>
          </w:tcPr>
          <w:p w14:paraId="370A7F6E">
            <w:pPr>
              <w:rPr>
                <w:rFonts w:ascii="Arial"/>
                <w:highlight w:val="none"/>
              </w:rPr>
            </w:pPr>
          </w:p>
        </w:tc>
        <w:tc>
          <w:tcPr>
            <w:tcW w:w="2159" w:type="dxa"/>
            <w:noWrap w:val="0"/>
            <w:vAlign w:val="top"/>
          </w:tcPr>
          <w:p w14:paraId="2A33CEF8">
            <w:pPr>
              <w:spacing w:before="160" w:line="186" w:lineRule="auto"/>
              <w:ind w:left="1044"/>
              <w:rPr>
                <w:rFonts w:ascii="宋体" w:hAnsi="宋体" w:eastAsia="宋体" w:cs="宋体"/>
                <w:szCs w:val="21"/>
                <w:highlight w:val="none"/>
              </w:rPr>
            </w:pPr>
            <w:r>
              <w:rPr>
                <w:rFonts w:ascii="宋体" w:hAnsi="宋体" w:eastAsia="宋体" w:cs="宋体"/>
                <w:szCs w:val="21"/>
                <w:highlight w:val="none"/>
              </w:rPr>
              <w:t>1</w:t>
            </w:r>
          </w:p>
        </w:tc>
        <w:tc>
          <w:tcPr>
            <w:tcW w:w="2186" w:type="dxa"/>
            <w:noWrap w:val="0"/>
            <w:vAlign w:val="top"/>
          </w:tcPr>
          <w:p w14:paraId="564F75DB">
            <w:pPr>
              <w:spacing w:before="161" w:line="185" w:lineRule="auto"/>
              <w:ind w:left="1047"/>
              <w:rPr>
                <w:rFonts w:ascii="宋体" w:hAnsi="宋体" w:eastAsia="宋体" w:cs="宋体"/>
                <w:szCs w:val="21"/>
                <w:highlight w:val="none"/>
              </w:rPr>
            </w:pPr>
            <w:r>
              <w:rPr>
                <w:rFonts w:ascii="宋体" w:hAnsi="宋体" w:eastAsia="宋体" w:cs="宋体"/>
                <w:szCs w:val="21"/>
                <w:highlight w:val="none"/>
              </w:rPr>
              <w:t>2</w:t>
            </w:r>
          </w:p>
        </w:tc>
        <w:tc>
          <w:tcPr>
            <w:tcW w:w="2596" w:type="dxa"/>
            <w:noWrap w:val="0"/>
            <w:vAlign w:val="top"/>
          </w:tcPr>
          <w:p w14:paraId="02297EAD">
            <w:pPr>
              <w:spacing w:before="126" w:line="223" w:lineRule="auto"/>
              <w:ind w:left="835"/>
              <w:rPr>
                <w:rFonts w:ascii="宋体" w:hAnsi="宋体" w:eastAsia="宋体" w:cs="宋体"/>
                <w:szCs w:val="21"/>
                <w:highlight w:val="none"/>
              </w:rPr>
            </w:pPr>
            <w:r>
              <w:rPr>
                <w:rFonts w:ascii="宋体" w:hAnsi="宋体" w:eastAsia="宋体" w:cs="宋体"/>
                <w:spacing w:val="-2"/>
                <w:szCs w:val="21"/>
                <w:highlight w:val="none"/>
              </w:rPr>
              <w:t>3 (1</w:t>
            </w:r>
            <w:r>
              <w:rPr>
                <w:rFonts w:ascii="宋体" w:hAnsi="宋体" w:eastAsia="宋体" w:cs="宋体"/>
                <w:spacing w:val="-1"/>
                <w:szCs w:val="21"/>
                <w:highlight w:val="none"/>
              </w:rPr>
              <w:t>×2)</w:t>
            </w:r>
          </w:p>
        </w:tc>
        <w:tc>
          <w:tcPr>
            <w:tcW w:w="2164" w:type="dxa"/>
            <w:noWrap w:val="0"/>
            <w:vAlign w:val="top"/>
          </w:tcPr>
          <w:p w14:paraId="50E5180C">
            <w:pPr>
              <w:spacing w:before="161" w:line="185" w:lineRule="auto"/>
              <w:ind w:left="1031"/>
              <w:rPr>
                <w:rFonts w:ascii="宋体" w:hAnsi="宋体" w:eastAsia="宋体" w:cs="宋体"/>
                <w:szCs w:val="21"/>
                <w:highlight w:val="none"/>
              </w:rPr>
            </w:pPr>
            <w:r>
              <w:rPr>
                <w:rFonts w:ascii="宋体" w:hAnsi="宋体" w:eastAsia="宋体" w:cs="宋体"/>
                <w:szCs w:val="21"/>
                <w:highlight w:val="none"/>
              </w:rPr>
              <w:t>4</w:t>
            </w:r>
          </w:p>
        </w:tc>
      </w:tr>
      <w:tr w14:paraId="3DAA05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62A4C211">
            <w:pPr>
              <w:spacing w:before="244" w:line="185" w:lineRule="auto"/>
              <w:ind w:left="353"/>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1</w:t>
            </w:r>
          </w:p>
        </w:tc>
        <w:tc>
          <w:tcPr>
            <w:tcW w:w="3530" w:type="dxa"/>
            <w:noWrap w:val="0"/>
            <w:vAlign w:val="top"/>
          </w:tcPr>
          <w:p w14:paraId="22F2C1AF">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包</w:t>
            </w:r>
            <w:r>
              <w:rPr>
                <w:rFonts w:ascii="宋体" w:hAnsi="宋体" w:eastAsia="宋体" w:cs="宋体"/>
                <w:spacing w:val="-1"/>
                <w:szCs w:val="21"/>
                <w:highlight w:val="none"/>
              </w:rPr>
              <w:t>装费</w:t>
            </w:r>
          </w:p>
        </w:tc>
        <w:tc>
          <w:tcPr>
            <w:tcW w:w="2159" w:type="dxa"/>
            <w:noWrap w:val="0"/>
            <w:vAlign w:val="top"/>
          </w:tcPr>
          <w:p w14:paraId="5A3D476D">
            <w:pPr>
              <w:rPr>
                <w:rFonts w:ascii="Arial"/>
                <w:highlight w:val="none"/>
              </w:rPr>
            </w:pPr>
          </w:p>
        </w:tc>
        <w:tc>
          <w:tcPr>
            <w:tcW w:w="2186" w:type="dxa"/>
            <w:noWrap w:val="0"/>
            <w:vAlign w:val="top"/>
          </w:tcPr>
          <w:p w14:paraId="15834DA9">
            <w:pPr>
              <w:rPr>
                <w:rFonts w:ascii="Arial"/>
                <w:highlight w:val="none"/>
              </w:rPr>
            </w:pPr>
          </w:p>
        </w:tc>
        <w:tc>
          <w:tcPr>
            <w:tcW w:w="2596" w:type="dxa"/>
            <w:noWrap w:val="0"/>
            <w:vAlign w:val="top"/>
          </w:tcPr>
          <w:p w14:paraId="25867D43">
            <w:pPr>
              <w:rPr>
                <w:rFonts w:ascii="Arial"/>
                <w:highlight w:val="none"/>
              </w:rPr>
            </w:pPr>
          </w:p>
        </w:tc>
        <w:tc>
          <w:tcPr>
            <w:tcW w:w="2164" w:type="dxa"/>
            <w:noWrap w:val="0"/>
            <w:vAlign w:val="top"/>
          </w:tcPr>
          <w:p w14:paraId="5285E3DE">
            <w:pPr>
              <w:rPr>
                <w:rFonts w:ascii="Arial"/>
                <w:highlight w:val="none"/>
              </w:rPr>
            </w:pPr>
          </w:p>
        </w:tc>
      </w:tr>
      <w:tr w14:paraId="47CEBC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28D73730">
            <w:pPr>
              <w:spacing w:before="245" w:line="183" w:lineRule="auto"/>
              <w:ind w:left="355"/>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2</w:t>
            </w:r>
          </w:p>
        </w:tc>
        <w:tc>
          <w:tcPr>
            <w:tcW w:w="3530" w:type="dxa"/>
            <w:noWrap w:val="0"/>
            <w:vAlign w:val="top"/>
          </w:tcPr>
          <w:p w14:paraId="7F2ECAC8">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运</w:t>
            </w:r>
            <w:r>
              <w:rPr>
                <w:rFonts w:ascii="宋体" w:hAnsi="宋体" w:eastAsia="宋体" w:cs="宋体"/>
                <w:spacing w:val="-1"/>
                <w:szCs w:val="21"/>
                <w:highlight w:val="none"/>
              </w:rPr>
              <w:t>输费</w:t>
            </w:r>
          </w:p>
        </w:tc>
        <w:tc>
          <w:tcPr>
            <w:tcW w:w="2159" w:type="dxa"/>
            <w:noWrap w:val="0"/>
            <w:vAlign w:val="top"/>
          </w:tcPr>
          <w:p w14:paraId="098F21BD">
            <w:pPr>
              <w:rPr>
                <w:rFonts w:ascii="Arial"/>
                <w:highlight w:val="none"/>
              </w:rPr>
            </w:pPr>
          </w:p>
        </w:tc>
        <w:tc>
          <w:tcPr>
            <w:tcW w:w="2186" w:type="dxa"/>
            <w:noWrap w:val="0"/>
            <w:vAlign w:val="top"/>
          </w:tcPr>
          <w:p w14:paraId="08B09874">
            <w:pPr>
              <w:rPr>
                <w:rFonts w:ascii="Arial"/>
                <w:highlight w:val="none"/>
              </w:rPr>
            </w:pPr>
          </w:p>
        </w:tc>
        <w:tc>
          <w:tcPr>
            <w:tcW w:w="2596" w:type="dxa"/>
            <w:noWrap w:val="0"/>
            <w:vAlign w:val="top"/>
          </w:tcPr>
          <w:p w14:paraId="52093858">
            <w:pPr>
              <w:rPr>
                <w:rFonts w:ascii="Arial"/>
                <w:highlight w:val="none"/>
              </w:rPr>
            </w:pPr>
          </w:p>
        </w:tc>
        <w:tc>
          <w:tcPr>
            <w:tcW w:w="2164" w:type="dxa"/>
            <w:vMerge w:val="restart"/>
            <w:tcBorders>
              <w:bottom w:val="nil"/>
            </w:tcBorders>
            <w:noWrap w:val="0"/>
            <w:vAlign w:val="top"/>
          </w:tcPr>
          <w:p w14:paraId="69708E90">
            <w:pPr>
              <w:spacing w:line="295" w:lineRule="auto"/>
              <w:rPr>
                <w:rFonts w:ascii="Arial"/>
                <w:highlight w:val="none"/>
              </w:rPr>
            </w:pPr>
          </w:p>
          <w:p w14:paraId="15E112AF">
            <w:pPr>
              <w:spacing w:before="68" w:line="300" w:lineRule="auto"/>
              <w:ind w:left="873" w:right="133" w:hanging="734"/>
              <w:rPr>
                <w:rFonts w:ascii="宋体" w:hAnsi="宋体" w:eastAsia="宋体" w:cs="宋体"/>
                <w:szCs w:val="21"/>
                <w:highlight w:val="none"/>
              </w:rPr>
            </w:pPr>
            <w:r>
              <w:rPr>
                <w:rFonts w:ascii="宋体" w:hAnsi="宋体" w:eastAsia="宋体" w:cs="宋体"/>
                <w:spacing w:val="-1"/>
                <w:szCs w:val="21"/>
                <w:highlight w:val="none"/>
              </w:rPr>
              <w:t>运输方式及</w:t>
            </w:r>
            <w:r>
              <w:rPr>
                <w:rFonts w:ascii="宋体" w:hAnsi="宋体" w:eastAsia="宋体" w:cs="宋体"/>
                <w:szCs w:val="21"/>
                <w:highlight w:val="none"/>
              </w:rPr>
              <w:t xml:space="preserve">运输起止 </w:t>
            </w:r>
            <w:r>
              <w:rPr>
                <w:rFonts w:ascii="宋体" w:hAnsi="宋体" w:eastAsia="宋体" w:cs="宋体"/>
                <w:spacing w:val="-2"/>
                <w:szCs w:val="21"/>
                <w:highlight w:val="none"/>
              </w:rPr>
              <w:t>地</w:t>
            </w:r>
            <w:r>
              <w:rPr>
                <w:rFonts w:ascii="宋体" w:hAnsi="宋体" w:eastAsia="宋体" w:cs="宋体"/>
                <w:spacing w:val="-1"/>
                <w:szCs w:val="21"/>
                <w:highlight w:val="none"/>
              </w:rPr>
              <w:t>点</w:t>
            </w:r>
          </w:p>
        </w:tc>
      </w:tr>
      <w:tr w14:paraId="2BB1C8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noWrap w:val="0"/>
            <w:vAlign w:val="top"/>
          </w:tcPr>
          <w:p w14:paraId="53E5FD77">
            <w:pPr>
              <w:spacing w:before="248" w:line="185" w:lineRule="auto"/>
              <w:ind w:left="350"/>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3</w:t>
            </w:r>
          </w:p>
        </w:tc>
        <w:tc>
          <w:tcPr>
            <w:tcW w:w="3530" w:type="dxa"/>
            <w:noWrap w:val="0"/>
            <w:vAlign w:val="top"/>
          </w:tcPr>
          <w:p w14:paraId="54083677">
            <w:pPr>
              <w:spacing w:before="212" w:line="221" w:lineRule="auto"/>
              <w:ind w:left="1241"/>
              <w:rPr>
                <w:rFonts w:ascii="宋体" w:hAnsi="宋体" w:eastAsia="宋体" w:cs="宋体"/>
                <w:szCs w:val="21"/>
                <w:highlight w:val="none"/>
              </w:rPr>
            </w:pPr>
            <w:r>
              <w:rPr>
                <w:rFonts w:ascii="宋体" w:hAnsi="宋体" w:eastAsia="宋体" w:cs="宋体"/>
                <w:spacing w:val="-1"/>
                <w:szCs w:val="21"/>
                <w:highlight w:val="none"/>
              </w:rPr>
              <w:t>运输保险费</w:t>
            </w:r>
          </w:p>
        </w:tc>
        <w:tc>
          <w:tcPr>
            <w:tcW w:w="2159" w:type="dxa"/>
            <w:noWrap w:val="0"/>
            <w:vAlign w:val="top"/>
          </w:tcPr>
          <w:p w14:paraId="1CB52D20">
            <w:pPr>
              <w:rPr>
                <w:rFonts w:ascii="Arial"/>
                <w:highlight w:val="none"/>
              </w:rPr>
            </w:pPr>
          </w:p>
        </w:tc>
        <w:tc>
          <w:tcPr>
            <w:tcW w:w="2186" w:type="dxa"/>
            <w:noWrap w:val="0"/>
            <w:vAlign w:val="top"/>
          </w:tcPr>
          <w:p w14:paraId="4D1C5BA7">
            <w:pPr>
              <w:rPr>
                <w:rFonts w:ascii="Arial"/>
                <w:highlight w:val="none"/>
              </w:rPr>
            </w:pPr>
          </w:p>
        </w:tc>
        <w:tc>
          <w:tcPr>
            <w:tcW w:w="2596" w:type="dxa"/>
            <w:noWrap w:val="0"/>
            <w:vAlign w:val="top"/>
          </w:tcPr>
          <w:p w14:paraId="297F5865">
            <w:pPr>
              <w:rPr>
                <w:rFonts w:ascii="Arial"/>
                <w:highlight w:val="none"/>
              </w:rPr>
            </w:pPr>
          </w:p>
        </w:tc>
        <w:tc>
          <w:tcPr>
            <w:tcW w:w="2164" w:type="dxa"/>
            <w:vMerge w:val="continue"/>
            <w:tcBorders>
              <w:top w:val="nil"/>
            </w:tcBorders>
            <w:noWrap w:val="0"/>
            <w:vAlign w:val="top"/>
          </w:tcPr>
          <w:p w14:paraId="19A79D7F">
            <w:pPr>
              <w:rPr>
                <w:rFonts w:ascii="Arial"/>
                <w:highlight w:val="none"/>
              </w:rPr>
            </w:pPr>
          </w:p>
        </w:tc>
      </w:tr>
      <w:tr w14:paraId="59DC17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3887143E">
            <w:pPr>
              <w:spacing w:before="247" w:line="182" w:lineRule="auto"/>
              <w:ind w:left="355"/>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4</w:t>
            </w:r>
          </w:p>
        </w:tc>
        <w:tc>
          <w:tcPr>
            <w:tcW w:w="3530" w:type="dxa"/>
            <w:noWrap w:val="0"/>
            <w:vAlign w:val="top"/>
          </w:tcPr>
          <w:p w14:paraId="2EF37B6D">
            <w:pPr>
              <w:spacing w:before="210" w:line="221" w:lineRule="auto"/>
              <w:ind w:left="1450"/>
              <w:rPr>
                <w:rFonts w:ascii="宋体" w:hAnsi="宋体" w:eastAsia="宋体" w:cs="宋体"/>
                <w:szCs w:val="21"/>
                <w:highlight w:val="none"/>
              </w:rPr>
            </w:pPr>
            <w:r>
              <w:rPr>
                <w:rFonts w:ascii="宋体" w:hAnsi="宋体" w:eastAsia="宋体" w:cs="宋体"/>
                <w:spacing w:val="-2"/>
                <w:szCs w:val="21"/>
                <w:highlight w:val="none"/>
              </w:rPr>
              <w:t>装</w:t>
            </w:r>
            <w:r>
              <w:rPr>
                <w:rFonts w:ascii="宋体" w:hAnsi="宋体" w:eastAsia="宋体" w:cs="宋体"/>
                <w:spacing w:val="-1"/>
                <w:szCs w:val="21"/>
                <w:highlight w:val="none"/>
              </w:rPr>
              <w:t>卸费</w:t>
            </w:r>
          </w:p>
        </w:tc>
        <w:tc>
          <w:tcPr>
            <w:tcW w:w="2159" w:type="dxa"/>
            <w:noWrap w:val="0"/>
            <w:vAlign w:val="top"/>
          </w:tcPr>
          <w:p w14:paraId="0BD62432">
            <w:pPr>
              <w:rPr>
                <w:rFonts w:ascii="Arial"/>
                <w:highlight w:val="none"/>
              </w:rPr>
            </w:pPr>
          </w:p>
        </w:tc>
        <w:tc>
          <w:tcPr>
            <w:tcW w:w="2186" w:type="dxa"/>
            <w:noWrap w:val="0"/>
            <w:vAlign w:val="top"/>
          </w:tcPr>
          <w:p w14:paraId="48378A97">
            <w:pPr>
              <w:rPr>
                <w:rFonts w:ascii="Arial"/>
                <w:highlight w:val="none"/>
              </w:rPr>
            </w:pPr>
          </w:p>
        </w:tc>
        <w:tc>
          <w:tcPr>
            <w:tcW w:w="2596" w:type="dxa"/>
            <w:noWrap w:val="0"/>
            <w:vAlign w:val="top"/>
          </w:tcPr>
          <w:p w14:paraId="3B9B1B56">
            <w:pPr>
              <w:rPr>
                <w:rFonts w:ascii="Arial"/>
                <w:highlight w:val="none"/>
              </w:rPr>
            </w:pPr>
          </w:p>
        </w:tc>
        <w:tc>
          <w:tcPr>
            <w:tcW w:w="2164" w:type="dxa"/>
            <w:noWrap w:val="0"/>
            <w:vAlign w:val="top"/>
          </w:tcPr>
          <w:p w14:paraId="6DB150B8">
            <w:pPr>
              <w:spacing w:before="210" w:line="221" w:lineRule="auto"/>
              <w:ind w:left="457"/>
              <w:rPr>
                <w:rFonts w:ascii="宋体" w:hAnsi="宋体" w:eastAsia="宋体" w:cs="宋体"/>
                <w:szCs w:val="21"/>
                <w:highlight w:val="none"/>
              </w:rPr>
            </w:pPr>
            <w:r>
              <w:rPr>
                <w:rFonts w:ascii="宋体" w:hAnsi="宋体" w:eastAsia="宋体" w:cs="宋体"/>
                <w:spacing w:val="-2"/>
                <w:szCs w:val="21"/>
                <w:highlight w:val="none"/>
              </w:rPr>
              <w:t>发生</w:t>
            </w:r>
            <w:r>
              <w:rPr>
                <w:rFonts w:ascii="宋体" w:hAnsi="宋体" w:eastAsia="宋体" w:cs="宋体"/>
                <w:spacing w:val="-1"/>
                <w:szCs w:val="21"/>
                <w:highlight w:val="none"/>
              </w:rPr>
              <w:t>费用地点</w:t>
            </w:r>
          </w:p>
        </w:tc>
      </w:tr>
      <w:tr w14:paraId="26D827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14:paraId="5A8A8803">
            <w:pPr>
              <w:spacing w:before="247" w:line="183" w:lineRule="auto"/>
              <w:ind w:left="352" w:leftChars="0"/>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5</w:t>
            </w:r>
          </w:p>
        </w:tc>
        <w:tc>
          <w:tcPr>
            <w:tcW w:w="3530" w:type="dxa"/>
            <w:noWrap w:val="0"/>
            <w:vAlign w:val="top"/>
          </w:tcPr>
          <w:p w14:paraId="1758B5CD">
            <w:pPr>
              <w:spacing w:before="211" w:line="221" w:lineRule="auto"/>
              <w:ind w:left="1557" w:leftChars="0"/>
              <w:rPr>
                <w:rFonts w:ascii="宋体" w:hAnsi="宋体" w:eastAsia="宋体" w:cs="宋体"/>
                <w:spacing w:val="-2"/>
                <w:szCs w:val="21"/>
                <w:highlight w:val="none"/>
              </w:rPr>
            </w:pPr>
            <w:r>
              <w:rPr>
                <w:rFonts w:ascii="宋体" w:hAnsi="宋体" w:eastAsia="宋体" w:cs="宋体"/>
                <w:spacing w:val="-2"/>
                <w:szCs w:val="21"/>
                <w:highlight w:val="none"/>
              </w:rPr>
              <w:t>其他</w:t>
            </w:r>
          </w:p>
        </w:tc>
        <w:tc>
          <w:tcPr>
            <w:tcW w:w="2159" w:type="dxa"/>
            <w:noWrap w:val="0"/>
            <w:vAlign w:val="top"/>
          </w:tcPr>
          <w:p w14:paraId="3A79208C">
            <w:pPr>
              <w:rPr>
                <w:rFonts w:ascii="Arial"/>
                <w:highlight w:val="none"/>
              </w:rPr>
            </w:pPr>
          </w:p>
        </w:tc>
        <w:tc>
          <w:tcPr>
            <w:tcW w:w="2186" w:type="dxa"/>
            <w:noWrap w:val="0"/>
            <w:vAlign w:val="top"/>
          </w:tcPr>
          <w:p w14:paraId="42047CA9">
            <w:pPr>
              <w:rPr>
                <w:rFonts w:ascii="Arial"/>
                <w:highlight w:val="none"/>
              </w:rPr>
            </w:pPr>
          </w:p>
        </w:tc>
        <w:tc>
          <w:tcPr>
            <w:tcW w:w="2596" w:type="dxa"/>
            <w:noWrap w:val="0"/>
            <w:vAlign w:val="top"/>
          </w:tcPr>
          <w:p w14:paraId="04BAD58D">
            <w:pPr>
              <w:rPr>
                <w:rFonts w:ascii="Arial"/>
                <w:highlight w:val="none"/>
              </w:rPr>
            </w:pPr>
          </w:p>
        </w:tc>
        <w:tc>
          <w:tcPr>
            <w:tcW w:w="2164" w:type="dxa"/>
            <w:noWrap w:val="0"/>
            <w:vAlign w:val="top"/>
          </w:tcPr>
          <w:p w14:paraId="4B242DA5">
            <w:pPr>
              <w:spacing w:before="210" w:line="221" w:lineRule="auto"/>
              <w:ind w:left="456" w:leftChars="0"/>
              <w:rPr>
                <w:rFonts w:ascii="宋体" w:hAnsi="宋体" w:eastAsia="宋体" w:cs="宋体"/>
                <w:spacing w:val="-2"/>
                <w:szCs w:val="21"/>
                <w:highlight w:val="none"/>
              </w:rPr>
            </w:pPr>
            <w:r>
              <w:rPr>
                <w:rFonts w:ascii="宋体" w:hAnsi="宋体" w:eastAsia="宋体" w:cs="宋体"/>
                <w:spacing w:val="-2"/>
                <w:szCs w:val="21"/>
                <w:highlight w:val="none"/>
              </w:rPr>
              <w:t>说明</w:t>
            </w:r>
            <w:r>
              <w:rPr>
                <w:rFonts w:ascii="宋体" w:hAnsi="宋体" w:eastAsia="宋体" w:cs="宋体"/>
                <w:spacing w:val="-1"/>
                <w:szCs w:val="21"/>
                <w:highlight w:val="none"/>
              </w:rPr>
              <w:t>具体内容</w:t>
            </w:r>
          </w:p>
        </w:tc>
      </w:tr>
      <w:tr w14:paraId="24A8A7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noWrap w:val="0"/>
            <w:vAlign w:val="top"/>
          </w:tcPr>
          <w:p w14:paraId="055A83C4">
            <w:pPr>
              <w:spacing w:before="211" w:line="219" w:lineRule="auto"/>
              <w:ind w:left="3008"/>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lang w:val="en-US" w:eastAsia="zh-CN"/>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760" w:type="dxa"/>
            <w:gridSpan w:val="2"/>
            <w:noWrap w:val="0"/>
            <w:vAlign w:val="top"/>
          </w:tcPr>
          <w:p w14:paraId="445D84E4">
            <w:pPr>
              <w:spacing w:before="211"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 w:val="21"/>
                <w:szCs w:val="21"/>
                <w:highlight w:val="none"/>
                <w:lang w:eastAsia="zh-CN"/>
              </w:rPr>
              <w:t>（</w:t>
            </w:r>
            <w:r>
              <w:rPr>
                <w:rFonts w:hint="eastAsia" w:ascii="宋体" w:hAnsi="宋体" w:eastAsia="宋体" w:cs="宋体"/>
                <w:b/>
                <w:bCs/>
                <w:sz w:val="21"/>
                <w:szCs w:val="21"/>
                <w:highlight w:val="none"/>
                <w:lang w:val="en-US" w:eastAsia="zh-CN"/>
              </w:rPr>
              <w:t>不含税</w:t>
            </w:r>
            <w:r>
              <w:rPr>
                <w:rFonts w:hint="eastAsia" w:ascii="宋体" w:hAnsi="宋体" w:eastAsia="宋体" w:cs="宋体"/>
                <w:b/>
                <w:bCs/>
                <w:sz w:val="21"/>
                <w:szCs w:val="21"/>
                <w:highlight w:val="none"/>
                <w:lang w:eastAsia="zh-CN"/>
              </w:rPr>
              <w:t>）</w:t>
            </w:r>
            <w:r>
              <w:rPr>
                <w:rFonts w:ascii="宋体" w:hAnsi="宋体" w:eastAsia="宋体" w:cs="宋体"/>
                <w:b/>
                <w:bCs/>
                <w:szCs w:val="21"/>
                <w:highlight w:val="none"/>
              </w:rPr>
              <w:t>￥    元</w:t>
            </w:r>
          </w:p>
        </w:tc>
      </w:tr>
    </w:tbl>
    <w:p w14:paraId="37DFF32F">
      <w:pPr>
        <w:spacing w:line="172" w:lineRule="exact"/>
        <w:rPr>
          <w:highlight w:val="none"/>
        </w:rPr>
      </w:pPr>
    </w:p>
    <w:p w14:paraId="7948481B">
      <w:pPr>
        <w:spacing w:before="59" w:line="219" w:lineRule="auto"/>
        <w:ind w:left="211"/>
        <w:rPr>
          <w:rFonts w:ascii="宋体" w:hAnsi="宋体" w:eastAsia="宋体" w:cs="宋体"/>
          <w:szCs w:val="21"/>
          <w:highlight w:val="none"/>
        </w:rPr>
      </w:pPr>
      <w:r>
        <w:rPr>
          <w:rFonts w:ascii="宋体" w:hAnsi="宋体" w:eastAsia="宋体" w:cs="宋体"/>
          <w:spacing w:val="-10"/>
          <w:szCs w:val="21"/>
          <w:highlight w:val="none"/>
        </w:rPr>
        <w:t>注：</w:t>
      </w:r>
      <w:r>
        <w:rPr>
          <w:rFonts w:hint="eastAsia" w:ascii="宋体" w:hAnsi="宋体" w:eastAsia="宋体" w:cs="宋体"/>
          <w:spacing w:val="-10"/>
          <w:szCs w:val="21"/>
          <w:highlight w:val="none"/>
        </w:rPr>
        <w:t xml:space="preserve"> </w:t>
      </w:r>
      <w:r>
        <w:rPr>
          <w:rFonts w:ascii="宋体" w:hAnsi="宋体" w:eastAsia="宋体" w:cs="宋体"/>
          <w:spacing w:val="-5"/>
          <w:szCs w:val="21"/>
          <w:highlight w:val="none"/>
        </w:rPr>
        <w:t>1.投标人需另附页给出价格的详细说明。</w:t>
      </w:r>
    </w:p>
    <w:p w14:paraId="78FFF2DC">
      <w:pPr>
        <w:spacing w:before="77"/>
        <w:ind w:left="633"/>
        <w:rPr>
          <w:rFonts w:ascii="宋体" w:hAnsi="宋体" w:eastAsia="宋体" w:cs="宋体"/>
          <w:szCs w:val="21"/>
          <w:highlight w:val="none"/>
        </w:rPr>
      </w:pPr>
      <w:r>
        <w:rPr>
          <w:rFonts w:ascii="宋体" w:hAnsi="宋体" w:eastAsia="宋体" w:cs="宋体"/>
          <w:spacing w:val="-1"/>
          <w:szCs w:val="21"/>
          <w:highlight w:val="none"/>
        </w:rPr>
        <w:t>2.如果按单价计算的结果与总价不一致，以单</w:t>
      </w:r>
      <w:r>
        <w:rPr>
          <w:rFonts w:ascii="宋体" w:hAnsi="宋体" w:eastAsia="宋体" w:cs="宋体"/>
          <w:szCs w:val="21"/>
          <w:highlight w:val="none"/>
        </w:rPr>
        <w:t>价为准修正总价。</w:t>
      </w:r>
    </w:p>
    <w:p w14:paraId="2616C01E">
      <w:pPr>
        <w:spacing w:before="64" w:line="198" w:lineRule="auto"/>
        <w:ind w:firstLine="606" w:firstLineChars="300"/>
        <w:rPr>
          <w:rFonts w:ascii="宋体" w:hAnsi="宋体" w:eastAsia="宋体" w:cs="宋体"/>
          <w:sz w:val="24"/>
          <w:szCs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szCs w:val="24"/>
          <w:highlight w:val="none"/>
        </w:rPr>
        <w:t>。</w:t>
      </w:r>
    </w:p>
    <w:p w14:paraId="6679DB7C">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6A994DDD">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CAD3EFF">
      <w:pPr>
        <w:spacing w:before="78" w:line="219" w:lineRule="auto"/>
        <w:ind w:firstLine="594" w:firstLineChars="300"/>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highlight w:val="none"/>
        </w:rPr>
        <w:t>6.因填写不规范造成废标及终止招标的，责任由投标人自负。</w:t>
      </w:r>
    </w:p>
    <w:p w14:paraId="13860AD0">
      <w:pPr>
        <w:spacing w:before="140" w:line="220" w:lineRule="auto"/>
        <w:ind w:left="2" w:firstLine="464" w:firstLineChars="200"/>
        <w:rPr>
          <w:rFonts w:ascii="宋体" w:hAnsi="宋体" w:eastAsia="宋体" w:cs="宋体"/>
          <w:spacing w:val="-2"/>
          <w:sz w:val="24"/>
          <w:szCs w:val="24"/>
          <w:highlight w:val="none"/>
        </w:rPr>
      </w:pPr>
      <w:r>
        <w:rPr>
          <w:rFonts w:ascii="宋体" w:hAnsi="宋体" w:eastAsia="宋体" w:cs="宋体"/>
          <w:spacing w:val="-4"/>
          <w:sz w:val="24"/>
          <w:szCs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 xml:space="preserve"> 授权代表(签字)：    </w:t>
      </w:r>
      <w:r>
        <w:rPr>
          <w:rFonts w:ascii="宋体" w:hAnsi="宋体" w:eastAsia="宋体" w:cs="宋体"/>
          <w:spacing w:val="3"/>
          <w:sz w:val="24"/>
          <w:szCs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年  月  日</w:t>
      </w:r>
    </w:p>
    <w:p w14:paraId="2A08F61F">
      <w:pPr>
        <w:rPr>
          <w:sz w:val="24"/>
          <w:szCs w:val="24"/>
          <w:highlight w:val="none"/>
        </w:rPr>
        <w:sectPr>
          <w:footerReference r:id="rId32" w:type="default"/>
          <w:pgSz w:w="16841" w:h="11907"/>
          <w:pgMar w:top="400" w:right="1699" w:bottom="1184" w:left="1481" w:header="0" w:footer="1022" w:gutter="0"/>
          <w:cols w:space="720" w:num="1"/>
        </w:sectPr>
      </w:pPr>
    </w:p>
    <w:p w14:paraId="335943C9">
      <w:pPr>
        <w:pStyle w:val="6"/>
        <w:jc w:val="left"/>
        <w:rPr>
          <w:rFonts w:hint="eastAsia" w:ascii="宋体" w:hAnsi="宋体" w:eastAsia="宋体" w:cs="宋体"/>
          <w:spacing w:val="-10"/>
          <w:sz w:val="24"/>
          <w:szCs w:val="24"/>
          <w:highlight w:val="none"/>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highlight w:val="none"/>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highlight w:val="none"/>
          <w:lang w:val="en-US" w:eastAsia="zh-CN"/>
          <w14:textOutline w14:w="3835" w14:cap="flat" w14:cmpd="sng" w14:algn="ctr">
            <w14:solidFill>
              <w14:srgbClr w14:val="000000"/>
            </w14:solidFill>
            <w14:prstDash w14:val="solid"/>
            <w14:miter w14:val="0"/>
          </w14:textOutline>
        </w:rPr>
        <w:t>3</w:t>
      </w:r>
    </w:p>
    <w:p w14:paraId="301F1B3D">
      <w:pPr>
        <w:spacing w:before="104" w:line="224" w:lineRule="auto"/>
        <w:ind w:left="5024"/>
        <w:rPr>
          <w:rFonts w:ascii="宋体" w:hAnsi="宋体" w:eastAsia="宋体" w:cs="宋体"/>
          <w:sz w:val="31"/>
          <w:szCs w:val="31"/>
          <w:highlight w:val="none"/>
        </w:rPr>
      </w:pPr>
      <w:r>
        <w:rPr>
          <w:rFonts w:ascii="宋体" w:hAnsi="宋体" w:eastAsia="宋体" w:cs="宋体"/>
          <w:spacing w:val="10"/>
          <w:sz w:val="24"/>
          <w:szCs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表</w:t>
      </w:r>
    </w:p>
    <w:p w14:paraId="4D4140BB">
      <w:pPr>
        <w:spacing w:before="134" w:line="221" w:lineRule="auto"/>
        <w:ind w:left="212"/>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4584104E">
      <w:pPr>
        <w:rPr>
          <w:highlight w:val="none"/>
        </w:rPr>
      </w:pPr>
    </w:p>
    <w:p w14:paraId="363BBA19">
      <w:pPr>
        <w:spacing w:line="20" w:lineRule="exact"/>
        <w:rPr>
          <w:highlight w:val="none"/>
        </w:rPr>
      </w:pPr>
    </w:p>
    <w:tbl>
      <w:tblPr>
        <w:tblStyle w:val="12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7D8D6B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750EEB05">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5864AFF2">
            <w:pPr>
              <w:spacing w:before="0" w:line="221" w:lineRule="auto"/>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3F280DBB">
            <w:pPr>
              <w:spacing w:before="0" w:line="221" w:lineRule="auto"/>
              <w:jc w:val="cente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606B0ABA">
            <w:pPr>
              <w:spacing w:before="0" w:line="221" w:lineRule="auto"/>
              <w:jc w:val="center"/>
              <w:rPr>
                <w:rFonts w:hint="default"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含税）</w:t>
            </w:r>
          </w:p>
        </w:tc>
        <w:tc>
          <w:tcPr>
            <w:tcW w:w="1138" w:type="dxa"/>
            <w:vAlign w:val="center"/>
          </w:tcPr>
          <w:p w14:paraId="1174EFBB">
            <w:pPr>
              <w:spacing w:before="0" w:line="221" w:lineRule="auto"/>
              <w:jc w:val="cente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137F9292">
            <w:pPr>
              <w:spacing w:before="0" w:line="221" w:lineRule="auto"/>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含税）</w:t>
            </w:r>
          </w:p>
        </w:tc>
        <w:tc>
          <w:tcPr>
            <w:tcW w:w="3328" w:type="dxa"/>
            <w:vAlign w:val="center"/>
          </w:tcPr>
          <w:p w14:paraId="2F6F43E8">
            <w:pPr>
              <w:spacing w:before="0" w:line="221" w:lineRule="auto"/>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详 细 说 明</w:t>
            </w:r>
          </w:p>
        </w:tc>
      </w:tr>
      <w:tr w14:paraId="0837F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AA51D22">
            <w:pPr>
              <w:spacing w:before="300"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3625" w:type="dxa"/>
            <w:vAlign w:val="center"/>
          </w:tcPr>
          <w:p w14:paraId="641E68D9">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现场</w:t>
            </w:r>
            <w:r>
              <w:rPr>
                <w:rFonts w:hint="eastAsia" w:ascii="宋体" w:hAnsi="宋体" w:eastAsia="宋体" w:cs="宋体"/>
                <w:spacing w:val="-1"/>
                <w:szCs w:val="21"/>
                <w:highlight w:val="none"/>
                <w:lang w:val="en-US" w:eastAsia="zh-CN"/>
              </w:rPr>
              <w:t>安装调试</w:t>
            </w:r>
          </w:p>
        </w:tc>
        <w:tc>
          <w:tcPr>
            <w:tcW w:w="1126" w:type="dxa"/>
            <w:vAlign w:val="top"/>
          </w:tcPr>
          <w:p w14:paraId="264609B1">
            <w:pPr>
              <w:spacing w:before="266" w:line="221" w:lineRule="auto"/>
              <w:jc w:val="center"/>
              <w:rPr>
                <w:rFonts w:hint="eastAsia" w:ascii="宋体" w:hAnsi="宋体" w:eastAsia="宋体" w:cs="宋体"/>
                <w:spacing w:val="-2"/>
                <w:szCs w:val="21"/>
                <w:highlight w:val="none"/>
                <w:lang w:val="en-US" w:eastAsia="zh-CN"/>
              </w:rPr>
            </w:pPr>
            <w:r>
              <w:rPr>
                <w:rFonts w:ascii="宋体" w:hAnsi="宋体" w:eastAsia="宋体" w:cs="宋体"/>
                <w:spacing w:val="-1"/>
                <w:sz w:val="21"/>
                <w:szCs w:val="21"/>
                <w:highlight w:val="none"/>
              </w:rPr>
              <w:t>人</w:t>
            </w:r>
            <w:r>
              <w:rPr>
                <w:rFonts w:hint="eastAsia" w:ascii="宋体" w:hAnsi="宋体" w:eastAsia="宋体" w:cs="宋体"/>
                <w:spacing w:val="-1"/>
                <w:sz w:val="21"/>
                <w:szCs w:val="21"/>
                <w:highlight w:val="none"/>
              </w:rPr>
              <w:t>·</w:t>
            </w:r>
            <w:r>
              <w:rPr>
                <w:rFonts w:ascii="宋体" w:hAnsi="宋体" w:eastAsia="宋体" w:cs="宋体"/>
                <w:spacing w:val="-1"/>
                <w:sz w:val="21"/>
                <w:szCs w:val="21"/>
                <w:highlight w:val="none"/>
              </w:rPr>
              <w:t>天</w:t>
            </w:r>
          </w:p>
        </w:tc>
        <w:tc>
          <w:tcPr>
            <w:tcW w:w="1138" w:type="dxa"/>
          </w:tcPr>
          <w:p w14:paraId="3FF3997A">
            <w:pPr>
              <w:spacing w:before="266" w:line="221" w:lineRule="auto"/>
              <w:jc w:val="center"/>
              <w:rPr>
                <w:rFonts w:ascii="宋体" w:hAnsi="宋体" w:eastAsia="宋体" w:cs="宋体"/>
                <w:spacing w:val="-2"/>
                <w:szCs w:val="21"/>
                <w:highlight w:val="none"/>
              </w:rPr>
            </w:pPr>
          </w:p>
        </w:tc>
        <w:tc>
          <w:tcPr>
            <w:tcW w:w="1138" w:type="dxa"/>
          </w:tcPr>
          <w:p w14:paraId="09C6A4E0">
            <w:pPr>
              <w:spacing w:before="266" w:line="221" w:lineRule="auto"/>
              <w:jc w:val="center"/>
              <w:rPr>
                <w:rFonts w:ascii="宋体" w:hAnsi="宋体" w:eastAsia="宋体" w:cs="宋体"/>
                <w:spacing w:val="-2"/>
                <w:szCs w:val="21"/>
                <w:highlight w:val="none"/>
              </w:rPr>
            </w:pPr>
          </w:p>
        </w:tc>
        <w:tc>
          <w:tcPr>
            <w:tcW w:w="2449" w:type="dxa"/>
          </w:tcPr>
          <w:p w14:paraId="5B6564A5">
            <w:pPr>
              <w:rPr>
                <w:rFonts w:ascii="Arial"/>
                <w:highlight w:val="none"/>
              </w:rPr>
            </w:pPr>
          </w:p>
        </w:tc>
        <w:tc>
          <w:tcPr>
            <w:tcW w:w="3328" w:type="dxa"/>
          </w:tcPr>
          <w:p w14:paraId="58D71106">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27C77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30C5FEB2">
            <w:pPr>
              <w:spacing w:before="302"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3625" w:type="dxa"/>
            <w:vAlign w:val="center"/>
          </w:tcPr>
          <w:p w14:paraId="346CBA60">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性能考核验</w:t>
            </w:r>
            <w:r>
              <w:rPr>
                <w:rFonts w:ascii="宋体" w:hAnsi="宋体" w:eastAsia="宋体" w:cs="宋体"/>
                <w:szCs w:val="21"/>
                <w:highlight w:val="none"/>
              </w:rPr>
              <w:t>收</w:t>
            </w:r>
          </w:p>
        </w:tc>
        <w:tc>
          <w:tcPr>
            <w:tcW w:w="1126" w:type="dxa"/>
            <w:vAlign w:val="top"/>
          </w:tcPr>
          <w:p w14:paraId="2AA557C7">
            <w:pPr>
              <w:spacing w:before="266" w:line="221" w:lineRule="auto"/>
              <w:jc w:val="center"/>
              <w:rPr>
                <w:rFonts w:ascii="宋体" w:hAnsi="宋体" w:eastAsia="宋体" w:cs="宋体"/>
                <w:spacing w:val="-2"/>
                <w:szCs w:val="21"/>
                <w:highlight w:val="none"/>
              </w:rPr>
            </w:pPr>
          </w:p>
        </w:tc>
        <w:tc>
          <w:tcPr>
            <w:tcW w:w="1138" w:type="dxa"/>
          </w:tcPr>
          <w:p w14:paraId="5DFAEB71">
            <w:pPr>
              <w:spacing w:before="266" w:line="221" w:lineRule="auto"/>
              <w:jc w:val="center"/>
              <w:rPr>
                <w:rFonts w:ascii="宋体" w:hAnsi="宋体" w:eastAsia="宋体" w:cs="宋体"/>
                <w:spacing w:val="-2"/>
                <w:szCs w:val="21"/>
                <w:highlight w:val="none"/>
              </w:rPr>
            </w:pPr>
          </w:p>
        </w:tc>
        <w:tc>
          <w:tcPr>
            <w:tcW w:w="1138" w:type="dxa"/>
          </w:tcPr>
          <w:p w14:paraId="6A67D4BE">
            <w:pPr>
              <w:spacing w:before="266" w:line="221" w:lineRule="auto"/>
              <w:jc w:val="center"/>
              <w:rPr>
                <w:rFonts w:ascii="宋体" w:hAnsi="宋体" w:eastAsia="宋体" w:cs="宋体"/>
                <w:spacing w:val="-2"/>
                <w:szCs w:val="21"/>
                <w:highlight w:val="none"/>
              </w:rPr>
            </w:pPr>
          </w:p>
        </w:tc>
        <w:tc>
          <w:tcPr>
            <w:tcW w:w="2449" w:type="dxa"/>
          </w:tcPr>
          <w:p w14:paraId="11D347F8">
            <w:pPr>
              <w:rPr>
                <w:rFonts w:ascii="Arial"/>
                <w:highlight w:val="none"/>
              </w:rPr>
            </w:pPr>
          </w:p>
        </w:tc>
        <w:tc>
          <w:tcPr>
            <w:tcW w:w="3328" w:type="dxa"/>
          </w:tcPr>
          <w:p w14:paraId="53D21558">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189C2B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CA0D916">
            <w:pPr>
              <w:spacing w:before="303"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3625" w:type="dxa"/>
            <w:vAlign w:val="center"/>
          </w:tcPr>
          <w:p w14:paraId="53652F9F">
            <w:pPr>
              <w:spacing w:before="266" w:line="221" w:lineRule="auto"/>
              <w:jc w:val="center"/>
              <w:rPr>
                <w:rFonts w:ascii="宋体" w:hAnsi="宋体" w:eastAsia="宋体" w:cs="宋体"/>
                <w:szCs w:val="21"/>
                <w:highlight w:val="none"/>
              </w:rPr>
            </w:pPr>
            <w:r>
              <w:rPr>
                <w:rFonts w:hint="eastAsia" w:ascii="宋体" w:hAnsi="宋体" w:eastAsia="宋体" w:cs="宋体"/>
                <w:spacing w:val="-2"/>
                <w:szCs w:val="21"/>
                <w:highlight w:val="none"/>
                <w:lang w:val="en-US" w:eastAsia="zh-CN"/>
              </w:rPr>
              <w:t>技术</w:t>
            </w:r>
            <w:r>
              <w:rPr>
                <w:rFonts w:ascii="宋体" w:hAnsi="宋体" w:eastAsia="宋体" w:cs="宋体"/>
                <w:spacing w:val="-2"/>
                <w:szCs w:val="21"/>
                <w:highlight w:val="none"/>
              </w:rPr>
              <w:t>培</w:t>
            </w:r>
            <w:r>
              <w:rPr>
                <w:rFonts w:ascii="宋体" w:hAnsi="宋体" w:eastAsia="宋体" w:cs="宋体"/>
                <w:spacing w:val="-1"/>
                <w:szCs w:val="21"/>
                <w:highlight w:val="none"/>
              </w:rPr>
              <w:t>训费</w:t>
            </w:r>
          </w:p>
        </w:tc>
        <w:tc>
          <w:tcPr>
            <w:tcW w:w="1126" w:type="dxa"/>
            <w:vAlign w:val="top"/>
          </w:tcPr>
          <w:p w14:paraId="17F08AB5">
            <w:pPr>
              <w:spacing w:before="266" w:line="221" w:lineRule="auto"/>
              <w:jc w:val="center"/>
              <w:rPr>
                <w:rFonts w:ascii="宋体" w:hAnsi="宋体" w:eastAsia="宋体" w:cs="宋体"/>
                <w:spacing w:val="-2"/>
                <w:szCs w:val="21"/>
                <w:highlight w:val="none"/>
              </w:rPr>
            </w:pPr>
            <w:r>
              <w:rPr>
                <w:rFonts w:ascii="宋体" w:hAnsi="宋体" w:eastAsia="宋体" w:cs="宋体"/>
                <w:spacing w:val="-1"/>
                <w:sz w:val="21"/>
                <w:szCs w:val="21"/>
                <w:highlight w:val="none"/>
              </w:rPr>
              <w:t>人</w:t>
            </w:r>
            <w:r>
              <w:rPr>
                <w:rFonts w:hint="eastAsia" w:ascii="宋体" w:hAnsi="宋体" w:eastAsia="宋体" w:cs="宋体"/>
                <w:spacing w:val="-1"/>
                <w:sz w:val="21"/>
                <w:szCs w:val="21"/>
                <w:highlight w:val="none"/>
              </w:rPr>
              <w:t>·</w:t>
            </w:r>
            <w:r>
              <w:rPr>
                <w:rFonts w:ascii="宋体" w:hAnsi="宋体" w:eastAsia="宋体" w:cs="宋体"/>
                <w:spacing w:val="-1"/>
                <w:sz w:val="21"/>
                <w:szCs w:val="21"/>
                <w:highlight w:val="none"/>
              </w:rPr>
              <w:t>天</w:t>
            </w:r>
          </w:p>
        </w:tc>
        <w:tc>
          <w:tcPr>
            <w:tcW w:w="1138" w:type="dxa"/>
          </w:tcPr>
          <w:p w14:paraId="59A42E9C">
            <w:pPr>
              <w:spacing w:before="266" w:line="221" w:lineRule="auto"/>
              <w:jc w:val="center"/>
              <w:rPr>
                <w:rFonts w:ascii="宋体" w:hAnsi="宋体" w:eastAsia="宋体" w:cs="宋体"/>
                <w:spacing w:val="-2"/>
                <w:szCs w:val="21"/>
                <w:highlight w:val="none"/>
              </w:rPr>
            </w:pPr>
          </w:p>
        </w:tc>
        <w:tc>
          <w:tcPr>
            <w:tcW w:w="1138" w:type="dxa"/>
          </w:tcPr>
          <w:p w14:paraId="5FD8D9F9">
            <w:pPr>
              <w:spacing w:before="266" w:line="221" w:lineRule="auto"/>
              <w:jc w:val="center"/>
              <w:rPr>
                <w:rFonts w:ascii="宋体" w:hAnsi="宋体" w:eastAsia="宋体" w:cs="宋体"/>
                <w:spacing w:val="-2"/>
                <w:szCs w:val="21"/>
                <w:highlight w:val="none"/>
              </w:rPr>
            </w:pPr>
          </w:p>
        </w:tc>
        <w:tc>
          <w:tcPr>
            <w:tcW w:w="2449" w:type="dxa"/>
          </w:tcPr>
          <w:p w14:paraId="3255FBA7">
            <w:pPr>
              <w:rPr>
                <w:rFonts w:ascii="Arial"/>
                <w:highlight w:val="none"/>
              </w:rPr>
            </w:pPr>
          </w:p>
        </w:tc>
        <w:tc>
          <w:tcPr>
            <w:tcW w:w="3328" w:type="dxa"/>
          </w:tcPr>
          <w:p w14:paraId="031ED76B">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57F6BF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BF378C5">
            <w:pPr>
              <w:spacing w:before="306" w:line="182" w:lineRule="auto"/>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4</w:t>
            </w:r>
          </w:p>
        </w:tc>
        <w:tc>
          <w:tcPr>
            <w:tcW w:w="3625" w:type="dxa"/>
            <w:vAlign w:val="center"/>
          </w:tcPr>
          <w:p w14:paraId="1D90FBA3">
            <w:pPr>
              <w:spacing w:before="268" w:line="221" w:lineRule="auto"/>
              <w:jc w:val="center"/>
              <w:rPr>
                <w:rFonts w:ascii="宋体" w:hAnsi="宋体" w:eastAsia="宋体" w:cs="宋体"/>
                <w:szCs w:val="21"/>
                <w:highlight w:val="none"/>
              </w:rPr>
            </w:pPr>
            <w:r>
              <w:rPr>
                <w:rFonts w:ascii="宋体" w:hAnsi="宋体" w:eastAsia="宋体" w:cs="宋体"/>
                <w:spacing w:val="15"/>
                <w:szCs w:val="21"/>
                <w:highlight w:val="none"/>
              </w:rPr>
              <w:t>其</w:t>
            </w:r>
            <w:r>
              <w:rPr>
                <w:rFonts w:ascii="宋体" w:hAnsi="宋体" w:eastAsia="宋体" w:cs="宋体"/>
                <w:spacing w:val="12"/>
                <w:szCs w:val="21"/>
                <w:highlight w:val="none"/>
              </w:rPr>
              <w:t>它(列出明细)</w:t>
            </w:r>
          </w:p>
        </w:tc>
        <w:tc>
          <w:tcPr>
            <w:tcW w:w="1126" w:type="dxa"/>
          </w:tcPr>
          <w:p w14:paraId="674A3762">
            <w:pPr>
              <w:spacing w:before="266" w:line="221" w:lineRule="auto"/>
              <w:jc w:val="center"/>
              <w:rPr>
                <w:rFonts w:ascii="宋体" w:hAnsi="宋体" w:eastAsia="宋体" w:cs="宋体"/>
                <w:spacing w:val="-2"/>
                <w:szCs w:val="21"/>
                <w:highlight w:val="none"/>
              </w:rPr>
            </w:pPr>
          </w:p>
        </w:tc>
        <w:tc>
          <w:tcPr>
            <w:tcW w:w="1138" w:type="dxa"/>
          </w:tcPr>
          <w:p w14:paraId="016C7659">
            <w:pPr>
              <w:spacing w:before="266" w:line="221" w:lineRule="auto"/>
              <w:jc w:val="center"/>
              <w:rPr>
                <w:rFonts w:ascii="宋体" w:hAnsi="宋体" w:eastAsia="宋体" w:cs="宋体"/>
                <w:spacing w:val="-2"/>
                <w:szCs w:val="21"/>
                <w:highlight w:val="none"/>
              </w:rPr>
            </w:pPr>
          </w:p>
        </w:tc>
        <w:tc>
          <w:tcPr>
            <w:tcW w:w="1138" w:type="dxa"/>
          </w:tcPr>
          <w:p w14:paraId="67A6211D">
            <w:pPr>
              <w:spacing w:before="266" w:line="221" w:lineRule="auto"/>
              <w:jc w:val="center"/>
              <w:rPr>
                <w:rFonts w:ascii="宋体" w:hAnsi="宋体" w:eastAsia="宋体" w:cs="宋体"/>
                <w:spacing w:val="-2"/>
                <w:szCs w:val="21"/>
                <w:highlight w:val="none"/>
              </w:rPr>
            </w:pPr>
          </w:p>
        </w:tc>
        <w:tc>
          <w:tcPr>
            <w:tcW w:w="2449" w:type="dxa"/>
          </w:tcPr>
          <w:p w14:paraId="00F60304">
            <w:pPr>
              <w:rPr>
                <w:rFonts w:ascii="Arial"/>
                <w:highlight w:val="none"/>
              </w:rPr>
            </w:pPr>
          </w:p>
        </w:tc>
        <w:tc>
          <w:tcPr>
            <w:tcW w:w="3328" w:type="dxa"/>
          </w:tcPr>
          <w:p w14:paraId="37EB56E3">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08DB47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034161E9">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7C5D436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12F31D9C">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56DF311C">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3BF9F365">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highlight w:val="none"/>
                <w:lang w:eastAsia="zh-CN"/>
              </w:rPr>
              <w:t>（</w:t>
            </w:r>
            <w:r>
              <w:rPr>
                <w:rFonts w:hint="eastAsia" w:ascii="宋体" w:hAnsi="宋体" w:eastAsia="宋体" w:cs="宋体"/>
                <w:b/>
                <w:bCs/>
                <w:sz w:val="21"/>
                <w:szCs w:val="21"/>
                <w:highlight w:val="none"/>
                <w:lang w:val="en-US" w:eastAsia="zh-CN"/>
              </w:rPr>
              <w:t>不含税</w:t>
            </w:r>
            <w:r>
              <w:rPr>
                <w:rFonts w:hint="eastAsia" w:ascii="宋体" w:hAnsi="宋体" w:eastAsia="宋体" w:cs="宋体"/>
                <w:b/>
                <w:bCs/>
                <w:sz w:val="21"/>
                <w:szCs w:val="21"/>
                <w:highlight w:val="none"/>
                <w:lang w:eastAsia="zh-CN"/>
              </w:rPr>
              <w:t>）</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49083D45">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bl>
    <w:p w14:paraId="1AC5E77E">
      <w:pPr>
        <w:spacing w:before="78" w:line="224" w:lineRule="auto"/>
        <w:ind w:firstLine="178" w:firstLineChars="100"/>
        <w:rPr>
          <w:rFonts w:ascii="宋体" w:hAnsi="宋体" w:eastAsia="宋体" w:cs="宋体"/>
          <w:spacing w:val="-8"/>
          <w:szCs w:val="21"/>
          <w:highlight w:val="none"/>
        </w:rPr>
      </w:pPr>
      <w:r>
        <w:rPr>
          <w:rFonts w:ascii="宋体" w:hAnsi="宋体" w:eastAsia="宋体" w:cs="宋体"/>
          <w:spacing w:val="-16"/>
          <w:szCs w:val="21"/>
          <w:highlight w:val="none"/>
        </w:rPr>
        <w:t>注</w:t>
      </w:r>
      <w:r>
        <w:rPr>
          <w:rFonts w:ascii="宋体" w:hAnsi="宋体" w:eastAsia="宋体" w:cs="宋体"/>
          <w:spacing w:val="-8"/>
          <w:szCs w:val="21"/>
          <w:highlight w:val="none"/>
        </w:rPr>
        <w:t xml:space="preserve">： </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1.投标人需给出价格的详细说明。</w:t>
      </w:r>
    </w:p>
    <w:p w14:paraId="5B650585">
      <w:pPr>
        <w:spacing w:before="75" w:line="219" w:lineRule="auto"/>
        <w:ind w:left="409" w:firstLine="396" w:firstLineChars="200"/>
        <w:rPr>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3F75E8B1">
      <w:pPr>
        <w:spacing w:before="35" w:line="239" w:lineRule="auto"/>
        <w:ind w:firstLine="824" w:firstLineChars="400"/>
        <w:rPr>
          <w:rFonts w:ascii="宋体" w:hAnsi="宋体" w:eastAsia="宋体" w:cs="宋体"/>
          <w:szCs w:val="21"/>
          <w:highlight w:val="none"/>
        </w:rPr>
      </w:pPr>
      <w:r>
        <w:rPr>
          <w:rFonts w:hint="eastAsia" w:ascii="宋体" w:hAnsi="宋体" w:eastAsia="宋体" w:cs="宋体"/>
          <w:spacing w:val="-2"/>
          <w:szCs w:val="21"/>
          <w:highlight w:val="none"/>
        </w:rPr>
        <w:t>3</w:t>
      </w:r>
      <w:r>
        <w:rPr>
          <w:rFonts w:ascii="宋体" w:hAnsi="宋体" w:eastAsia="宋体" w:cs="宋体"/>
          <w:spacing w:val="-2"/>
          <w:szCs w:val="21"/>
          <w:highlight w:val="none"/>
        </w:rPr>
        <w:t>.此分项</w:t>
      </w:r>
      <w:r>
        <w:rPr>
          <w:rFonts w:ascii="宋体" w:hAnsi="宋体" w:eastAsia="宋体" w:cs="宋体"/>
          <w:spacing w:val="-1"/>
          <w:szCs w:val="21"/>
          <w:highlight w:val="none"/>
        </w:rPr>
        <w:t>报价，仅是为了方便招标人对投标文件进行比较，不作为限制订立合同的条件。</w:t>
      </w:r>
    </w:p>
    <w:p w14:paraId="692D4750">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4178313D">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30C01475">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1A88B427">
      <w:pPr>
        <w:rPr>
          <w:highlight w:val="none"/>
        </w:rPr>
      </w:pPr>
    </w:p>
    <w:p w14:paraId="568AB00A">
      <w:pPr>
        <w:pStyle w:val="17"/>
        <w:rPr>
          <w:highlight w:val="none"/>
        </w:rPr>
      </w:pPr>
    </w:p>
    <w:p w14:paraId="5AE57E9F">
      <w:pPr>
        <w:spacing w:before="35" w:line="239" w:lineRule="auto"/>
        <w:ind w:left="724"/>
        <w:rPr>
          <w:rFonts w:ascii="宋体" w:hAnsi="宋体" w:eastAsia="宋体" w:cs="宋体"/>
          <w:spacing w:val="-1"/>
          <w:sz w:val="24"/>
          <w:szCs w:val="24"/>
          <w:highlight w:val="none"/>
        </w:rPr>
      </w:pPr>
      <w:r>
        <w:rPr>
          <w:rFonts w:ascii="宋体" w:hAnsi="宋体" w:eastAsia="宋体" w:cs="宋体"/>
          <w:spacing w:val="-2"/>
          <w:sz w:val="24"/>
          <w:szCs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1"/>
          <w:sz w:val="24"/>
          <w:szCs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1"/>
          <w:sz w:val="24"/>
          <w:szCs w:val="24"/>
          <w:highlight w:val="none"/>
        </w:rPr>
        <w:t>年  月  日</w:t>
      </w:r>
    </w:p>
    <w:p w14:paraId="173837D5">
      <w:pPr>
        <w:spacing w:before="35" w:line="239" w:lineRule="auto"/>
        <w:ind w:left="724"/>
        <w:rPr>
          <w:rFonts w:ascii="宋体" w:hAnsi="宋体" w:eastAsia="宋体" w:cs="宋体"/>
          <w:spacing w:val="-1"/>
          <w:sz w:val="24"/>
          <w:szCs w:val="24"/>
          <w:highlight w:val="none"/>
        </w:rPr>
        <w:sectPr>
          <w:footerReference r:id="rId33" w:type="default"/>
          <w:pgSz w:w="16841" w:h="11907"/>
          <w:pgMar w:top="400" w:right="1699" w:bottom="1184" w:left="1481" w:header="0" w:footer="1022" w:gutter="0"/>
          <w:cols w:space="720" w:num="1"/>
        </w:sectPr>
      </w:pPr>
    </w:p>
    <w:p w14:paraId="5916D300">
      <w:pPr>
        <w:pStyle w:val="6"/>
        <w:jc w:val="left"/>
        <w:rPr>
          <w:rFonts w:hint="eastAsia" w:ascii="宋体" w:hAnsi="宋体" w:eastAsia="宋体" w:cs="宋体"/>
          <w:sz w:val="24"/>
          <w:szCs w:val="24"/>
          <w:highlight w:val="none"/>
          <w:lang w:eastAsia="zh-CN"/>
        </w:rPr>
      </w:pPr>
      <w:r>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highlight w:val="none"/>
        </w:rPr>
        <w:t xml:space="preserve"> </w:t>
      </w:r>
      <w:r>
        <w:rPr>
          <w:rFonts w:hint="eastAsia" w:ascii="宋体" w:hAnsi="宋体" w:eastAsia="宋体" w:cs="宋体"/>
          <w:spacing w:val="-9"/>
          <w:sz w:val="24"/>
          <w:szCs w:val="24"/>
          <w:highlight w:val="none"/>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highlight w:val="none"/>
          <w:lang w:val="en-US" w:eastAsia="zh-CN"/>
          <w14:textOutline w14:w="3835" w14:cap="flat" w14:cmpd="sng" w14:algn="ctr">
            <w14:solidFill>
              <w14:srgbClr w14:val="000000"/>
            </w14:solidFill>
            <w14:prstDash w14:val="solid"/>
            <w14:miter w14:val="0"/>
          </w14:textOutline>
        </w:rPr>
        <w:t>4</w:t>
      </w:r>
    </w:p>
    <w:p w14:paraId="643352A0">
      <w:pPr>
        <w:spacing w:before="125" w:line="294" w:lineRule="auto"/>
        <w:ind w:left="6150" w:right="1626" w:hanging="4500"/>
        <w:rPr>
          <w:rFonts w:ascii="宋体" w:hAnsi="宋体" w:eastAsia="宋体" w:cs="宋体"/>
          <w:sz w:val="24"/>
          <w:szCs w:val="24"/>
          <w:highlight w:val="none"/>
        </w:rPr>
      </w:pPr>
      <w:r>
        <w:rPr>
          <w:rFonts w:ascii="宋体" w:hAnsi="宋体" w:eastAsia="宋体" w:cs="宋体"/>
          <w:spacing w:val="10"/>
          <w:sz w:val="24"/>
          <w:szCs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highlight w:val="none"/>
        </w:rPr>
        <w:t xml:space="preserve"> </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highlight w:val="none"/>
          <w14:textOutline w14:w="5791" w14:cap="flat" w14:cmpd="sng" w14:algn="ctr">
            <w14:solidFill>
              <w14:srgbClr w14:val="000000"/>
            </w14:solidFill>
            <w14:prstDash w14:val="solid"/>
            <w14:miter w14:val="0"/>
          </w14:textOutline>
        </w:rPr>
        <w:t>表</w:t>
      </w:r>
    </w:p>
    <w:p w14:paraId="353F1CC8">
      <w:pPr>
        <w:spacing w:line="220" w:lineRule="auto"/>
        <w:ind w:left="1"/>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21E56618">
      <w:pPr>
        <w:spacing w:line="172" w:lineRule="exact"/>
        <w:rPr>
          <w:highlight w:val="none"/>
        </w:rPr>
      </w:pPr>
    </w:p>
    <w:tbl>
      <w:tblPr>
        <w:tblStyle w:val="12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599F7B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5523EC73">
            <w:pPr>
              <w:spacing w:before="100" w:line="186" w:lineRule="auto"/>
              <w:ind w:left="223"/>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543" w:type="dxa"/>
          </w:tcPr>
          <w:p w14:paraId="5573DAB1">
            <w:pPr>
              <w:spacing w:before="101" w:line="185" w:lineRule="auto"/>
              <w:ind w:left="122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100" w:type="dxa"/>
          </w:tcPr>
          <w:p w14:paraId="3889A064">
            <w:pPr>
              <w:spacing w:before="102" w:line="183" w:lineRule="auto"/>
              <w:ind w:left="100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840" w:type="dxa"/>
          </w:tcPr>
          <w:p w14:paraId="3CAF3EAB">
            <w:pPr>
              <w:spacing w:before="101" w:line="185" w:lineRule="auto"/>
              <w:ind w:left="3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239" w:type="dxa"/>
          </w:tcPr>
          <w:p w14:paraId="6DDD517C">
            <w:pPr>
              <w:spacing w:before="103" w:line="182"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1498" w:type="dxa"/>
          </w:tcPr>
          <w:p w14:paraId="7CB4F03F">
            <w:pPr>
              <w:spacing w:before="102" w:line="183" w:lineRule="auto"/>
              <w:ind w:left="58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6</w:t>
            </w:r>
          </w:p>
        </w:tc>
        <w:tc>
          <w:tcPr>
            <w:tcW w:w="1861" w:type="dxa"/>
          </w:tcPr>
          <w:p w14:paraId="32918B7D">
            <w:pPr>
              <w:spacing w:before="103" w:line="182" w:lineRule="auto"/>
              <w:ind w:left="101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120" w:type="dxa"/>
          </w:tcPr>
          <w:p w14:paraId="52C9BC5B">
            <w:pPr>
              <w:spacing w:before="102" w:line="183" w:lineRule="auto"/>
              <w:ind w:left="516"/>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c>
          <w:tcPr>
            <w:tcW w:w="1125" w:type="dxa"/>
          </w:tcPr>
          <w:p w14:paraId="1DF46F9B">
            <w:pPr>
              <w:spacing w:before="102" w:line="183" w:lineRule="auto"/>
              <w:ind w:left="51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9</w:t>
            </w:r>
          </w:p>
        </w:tc>
      </w:tr>
      <w:tr w14:paraId="1C2357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FA7450A">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25734CDD">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03D3FAF4">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4405B798">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081D0572">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highlight w:val="none"/>
                <w14:textOutline w14:w="3835" w14:cap="flat" w14:cmpd="sng" w14:algn="ctr">
                  <w14:solidFill>
                    <w14:srgbClr w14:val="000000"/>
                  </w14:solidFill>
                  <w14:prstDash w14:val="solid"/>
                  <w14:miter w14:val="0"/>
                </w14:textOutline>
              </w:rPr>
              <w:t>原产地和</w:t>
            </w:r>
          </w:p>
          <w:p w14:paraId="371885A2">
            <w:pPr>
              <w:spacing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26A9DC14">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含税）</w:t>
            </w:r>
          </w:p>
          <w:p w14:paraId="35F6F891">
            <w:pPr>
              <w:spacing w:before="0" w:line="221" w:lineRule="auto"/>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249CDBDA">
            <w:pPr>
              <w:spacing w:before="0" w:line="221" w:lineRule="auto"/>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含税）(元)</w:t>
            </w:r>
          </w:p>
        </w:tc>
        <w:tc>
          <w:tcPr>
            <w:tcW w:w="1120" w:type="dxa"/>
            <w:vAlign w:val="center"/>
          </w:tcPr>
          <w:p w14:paraId="5B519725">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highlight w:val="none"/>
                <w14:textOutline w14:w="3835" w14:cap="flat" w14:cmpd="sng" w14:algn="ctr">
                  <w14:solidFill>
                    <w14:srgbClr w14:val="000000"/>
                  </w14:solidFill>
                  <w14:prstDash w14:val="solid"/>
                  <w14:miter w14:val="0"/>
                </w14:textOutline>
              </w:rPr>
              <w:t>更换</w:t>
            </w:r>
          </w:p>
          <w:p w14:paraId="6C84C0FA">
            <w:pPr>
              <w:spacing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1FD1D54E">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注</w:t>
            </w:r>
          </w:p>
        </w:tc>
      </w:tr>
      <w:tr w14:paraId="0B37D1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A2FC379">
            <w:pPr>
              <w:spacing w:before="237" w:line="186" w:lineRule="auto"/>
              <w:ind w:left="223"/>
              <w:rPr>
                <w:rFonts w:ascii="宋体" w:hAnsi="宋体" w:eastAsia="宋体" w:cs="宋体"/>
                <w:szCs w:val="21"/>
                <w:highlight w:val="none"/>
              </w:rPr>
            </w:pPr>
            <w:r>
              <w:rPr>
                <w:rFonts w:ascii="宋体" w:hAnsi="宋体" w:eastAsia="宋体" w:cs="宋体"/>
                <w:szCs w:val="21"/>
                <w:highlight w:val="none"/>
              </w:rPr>
              <w:t>1</w:t>
            </w:r>
          </w:p>
        </w:tc>
        <w:tc>
          <w:tcPr>
            <w:tcW w:w="2543" w:type="dxa"/>
          </w:tcPr>
          <w:p w14:paraId="43EA2F21">
            <w:pPr>
              <w:rPr>
                <w:rFonts w:ascii="Arial"/>
                <w:highlight w:val="none"/>
              </w:rPr>
            </w:pPr>
          </w:p>
        </w:tc>
        <w:tc>
          <w:tcPr>
            <w:tcW w:w="2100" w:type="dxa"/>
          </w:tcPr>
          <w:p w14:paraId="546D67F1">
            <w:pPr>
              <w:rPr>
                <w:rFonts w:ascii="Arial"/>
                <w:highlight w:val="none"/>
              </w:rPr>
            </w:pPr>
          </w:p>
        </w:tc>
        <w:tc>
          <w:tcPr>
            <w:tcW w:w="840" w:type="dxa"/>
          </w:tcPr>
          <w:p w14:paraId="1DC11CD0">
            <w:pPr>
              <w:rPr>
                <w:rFonts w:ascii="Arial"/>
                <w:highlight w:val="none"/>
              </w:rPr>
            </w:pPr>
          </w:p>
        </w:tc>
        <w:tc>
          <w:tcPr>
            <w:tcW w:w="2239" w:type="dxa"/>
          </w:tcPr>
          <w:p w14:paraId="2C912479">
            <w:pPr>
              <w:rPr>
                <w:rFonts w:ascii="Arial"/>
                <w:highlight w:val="none"/>
              </w:rPr>
            </w:pPr>
          </w:p>
        </w:tc>
        <w:tc>
          <w:tcPr>
            <w:tcW w:w="1498" w:type="dxa"/>
          </w:tcPr>
          <w:p w14:paraId="3B1DBE33">
            <w:pPr>
              <w:rPr>
                <w:rFonts w:ascii="Arial"/>
                <w:highlight w:val="none"/>
              </w:rPr>
            </w:pPr>
          </w:p>
        </w:tc>
        <w:tc>
          <w:tcPr>
            <w:tcW w:w="1861" w:type="dxa"/>
          </w:tcPr>
          <w:p w14:paraId="3CA9BF25">
            <w:pPr>
              <w:rPr>
                <w:rFonts w:ascii="Arial"/>
                <w:highlight w:val="none"/>
              </w:rPr>
            </w:pPr>
          </w:p>
        </w:tc>
        <w:tc>
          <w:tcPr>
            <w:tcW w:w="1120" w:type="dxa"/>
          </w:tcPr>
          <w:p w14:paraId="512FEA87">
            <w:pPr>
              <w:rPr>
                <w:rFonts w:ascii="Arial"/>
                <w:highlight w:val="none"/>
              </w:rPr>
            </w:pPr>
          </w:p>
        </w:tc>
        <w:tc>
          <w:tcPr>
            <w:tcW w:w="1125" w:type="dxa"/>
          </w:tcPr>
          <w:p w14:paraId="13754D09">
            <w:pPr>
              <w:rPr>
                <w:rFonts w:ascii="Arial"/>
                <w:highlight w:val="none"/>
              </w:rPr>
            </w:pPr>
          </w:p>
        </w:tc>
      </w:tr>
      <w:tr w14:paraId="6E0DC1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7E2F119F">
            <w:pPr>
              <w:spacing w:before="239" w:line="185" w:lineRule="auto"/>
              <w:ind w:left="210"/>
              <w:rPr>
                <w:rFonts w:ascii="宋体" w:hAnsi="宋体" w:eastAsia="宋体" w:cs="宋体"/>
                <w:szCs w:val="21"/>
                <w:highlight w:val="none"/>
              </w:rPr>
            </w:pPr>
            <w:r>
              <w:rPr>
                <w:rFonts w:ascii="宋体" w:hAnsi="宋体" w:eastAsia="宋体" w:cs="宋体"/>
                <w:szCs w:val="21"/>
                <w:highlight w:val="none"/>
              </w:rPr>
              <w:t>2</w:t>
            </w:r>
          </w:p>
        </w:tc>
        <w:tc>
          <w:tcPr>
            <w:tcW w:w="2543" w:type="dxa"/>
          </w:tcPr>
          <w:p w14:paraId="4245BCC8">
            <w:pPr>
              <w:rPr>
                <w:rFonts w:ascii="Arial"/>
                <w:highlight w:val="none"/>
              </w:rPr>
            </w:pPr>
          </w:p>
        </w:tc>
        <w:tc>
          <w:tcPr>
            <w:tcW w:w="2100" w:type="dxa"/>
          </w:tcPr>
          <w:p w14:paraId="7A754D5A">
            <w:pPr>
              <w:rPr>
                <w:rFonts w:ascii="Arial"/>
                <w:highlight w:val="none"/>
              </w:rPr>
            </w:pPr>
          </w:p>
        </w:tc>
        <w:tc>
          <w:tcPr>
            <w:tcW w:w="840" w:type="dxa"/>
          </w:tcPr>
          <w:p w14:paraId="5E7DC6EC">
            <w:pPr>
              <w:rPr>
                <w:rFonts w:ascii="Arial"/>
                <w:highlight w:val="none"/>
              </w:rPr>
            </w:pPr>
          </w:p>
        </w:tc>
        <w:tc>
          <w:tcPr>
            <w:tcW w:w="2239" w:type="dxa"/>
          </w:tcPr>
          <w:p w14:paraId="2AC2A0F7">
            <w:pPr>
              <w:rPr>
                <w:rFonts w:ascii="Arial"/>
                <w:highlight w:val="none"/>
              </w:rPr>
            </w:pPr>
          </w:p>
        </w:tc>
        <w:tc>
          <w:tcPr>
            <w:tcW w:w="1498" w:type="dxa"/>
          </w:tcPr>
          <w:p w14:paraId="6C1D5F7D">
            <w:pPr>
              <w:rPr>
                <w:rFonts w:ascii="Arial"/>
                <w:highlight w:val="none"/>
              </w:rPr>
            </w:pPr>
          </w:p>
        </w:tc>
        <w:tc>
          <w:tcPr>
            <w:tcW w:w="1861" w:type="dxa"/>
          </w:tcPr>
          <w:p w14:paraId="16837983">
            <w:pPr>
              <w:rPr>
                <w:rFonts w:ascii="Arial"/>
                <w:highlight w:val="none"/>
              </w:rPr>
            </w:pPr>
          </w:p>
        </w:tc>
        <w:tc>
          <w:tcPr>
            <w:tcW w:w="1120" w:type="dxa"/>
          </w:tcPr>
          <w:p w14:paraId="7975D1FD">
            <w:pPr>
              <w:rPr>
                <w:rFonts w:ascii="Arial"/>
                <w:highlight w:val="none"/>
              </w:rPr>
            </w:pPr>
          </w:p>
        </w:tc>
        <w:tc>
          <w:tcPr>
            <w:tcW w:w="1125" w:type="dxa"/>
          </w:tcPr>
          <w:p w14:paraId="40B3B51A">
            <w:pPr>
              <w:rPr>
                <w:rFonts w:ascii="Arial"/>
                <w:highlight w:val="none"/>
              </w:rPr>
            </w:pPr>
          </w:p>
        </w:tc>
      </w:tr>
      <w:tr w14:paraId="49745B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8ADCCB2">
            <w:pPr>
              <w:rPr>
                <w:rFonts w:ascii="Arial"/>
                <w:highlight w:val="none"/>
              </w:rPr>
            </w:pPr>
          </w:p>
        </w:tc>
        <w:tc>
          <w:tcPr>
            <w:tcW w:w="2543" w:type="dxa"/>
          </w:tcPr>
          <w:p w14:paraId="29BADE7E">
            <w:pPr>
              <w:rPr>
                <w:rFonts w:ascii="Arial"/>
                <w:highlight w:val="none"/>
              </w:rPr>
            </w:pPr>
          </w:p>
        </w:tc>
        <w:tc>
          <w:tcPr>
            <w:tcW w:w="2100" w:type="dxa"/>
          </w:tcPr>
          <w:p w14:paraId="1F79277A">
            <w:pPr>
              <w:rPr>
                <w:rFonts w:ascii="Arial"/>
                <w:highlight w:val="none"/>
              </w:rPr>
            </w:pPr>
          </w:p>
        </w:tc>
        <w:tc>
          <w:tcPr>
            <w:tcW w:w="840" w:type="dxa"/>
          </w:tcPr>
          <w:p w14:paraId="20D56890">
            <w:pPr>
              <w:rPr>
                <w:rFonts w:ascii="Arial"/>
                <w:highlight w:val="none"/>
              </w:rPr>
            </w:pPr>
          </w:p>
        </w:tc>
        <w:tc>
          <w:tcPr>
            <w:tcW w:w="2239" w:type="dxa"/>
          </w:tcPr>
          <w:p w14:paraId="7FC4060D">
            <w:pPr>
              <w:rPr>
                <w:rFonts w:ascii="Arial"/>
                <w:highlight w:val="none"/>
              </w:rPr>
            </w:pPr>
          </w:p>
        </w:tc>
        <w:tc>
          <w:tcPr>
            <w:tcW w:w="1498" w:type="dxa"/>
          </w:tcPr>
          <w:p w14:paraId="4C528470">
            <w:pPr>
              <w:rPr>
                <w:rFonts w:ascii="Arial"/>
                <w:highlight w:val="none"/>
              </w:rPr>
            </w:pPr>
          </w:p>
        </w:tc>
        <w:tc>
          <w:tcPr>
            <w:tcW w:w="1861" w:type="dxa"/>
          </w:tcPr>
          <w:p w14:paraId="0A3F2B60">
            <w:pPr>
              <w:rPr>
                <w:rFonts w:ascii="Arial"/>
                <w:highlight w:val="none"/>
              </w:rPr>
            </w:pPr>
          </w:p>
        </w:tc>
        <w:tc>
          <w:tcPr>
            <w:tcW w:w="1120" w:type="dxa"/>
          </w:tcPr>
          <w:p w14:paraId="1D92C1F6">
            <w:pPr>
              <w:rPr>
                <w:rFonts w:ascii="Arial"/>
                <w:highlight w:val="none"/>
              </w:rPr>
            </w:pPr>
          </w:p>
        </w:tc>
        <w:tc>
          <w:tcPr>
            <w:tcW w:w="1125" w:type="dxa"/>
          </w:tcPr>
          <w:p w14:paraId="09DB147F">
            <w:pPr>
              <w:rPr>
                <w:rFonts w:ascii="Arial"/>
                <w:highlight w:val="none"/>
              </w:rPr>
            </w:pPr>
          </w:p>
        </w:tc>
      </w:tr>
      <w:tr w14:paraId="284A8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B979540">
            <w:pPr>
              <w:rPr>
                <w:rFonts w:ascii="Arial"/>
                <w:highlight w:val="none"/>
              </w:rPr>
            </w:pPr>
          </w:p>
        </w:tc>
        <w:tc>
          <w:tcPr>
            <w:tcW w:w="2543" w:type="dxa"/>
          </w:tcPr>
          <w:p w14:paraId="1C9DF921">
            <w:pPr>
              <w:rPr>
                <w:rFonts w:ascii="Arial"/>
                <w:highlight w:val="none"/>
              </w:rPr>
            </w:pPr>
          </w:p>
        </w:tc>
        <w:tc>
          <w:tcPr>
            <w:tcW w:w="2100" w:type="dxa"/>
          </w:tcPr>
          <w:p w14:paraId="11EF58F6">
            <w:pPr>
              <w:rPr>
                <w:rFonts w:ascii="Arial"/>
                <w:highlight w:val="none"/>
              </w:rPr>
            </w:pPr>
          </w:p>
        </w:tc>
        <w:tc>
          <w:tcPr>
            <w:tcW w:w="840" w:type="dxa"/>
          </w:tcPr>
          <w:p w14:paraId="618B965C">
            <w:pPr>
              <w:rPr>
                <w:rFonts w:ascii="Arial"/>
                <w:highlight w:val="none"/>
              </w:rPr>
            </w:pPr>
          </w:p>
        </w:tc>
        <w:tc>
          <w:tcPr>
            <w:tcW w:w="2239" w:type="dxa"/>
          </w:tcPr>
          <w:p w14:paraId="23DD1728">
            <w:pPr>
              <w:rPr>
                <w:rFonts w:ascii="Arial"/>
                <w:highlight w:val="none"/>
              </w:rPr>
            </w:pPr>
          </w:p>
        </w:tc>
        <w:tc>
          <w:tcPr>
            <w:tcW w:w="1498" w:type="dxa"/>
          </w:tcPr>
          <w:p w14:paraId="6ED53FF2">
            <w:pPr>
              <w:rPr>
                <w:rFonts w:ascii="Arial"/>
                <w:highlight w:val="none"/>
              </w:rPr>
            </w:pPr>
          </w:p>
        </w:tc>
        <w:tc>
          <w:tcPr>
            <w:tcW w:w="1861" w:type="dxa"/>
          </w:tcPr>
          <w:p w14:paraId="41F828C8">
            <w:pPr>
              <w:rPr>
                <w:rFonts w:ascii="Arial"/>
                <w:highlight w:val="none"/>
              </w:rPr>
            </w:pPr>
          </w:p>
        </w:tc>
        <w:tc>
          <w:tcPr>
            <w:tcW w:w="1120" w:type="dxa"/>
          </w:tcPr>
          <w:p w14:paraId="3FE74D52">
            <w:pPr>
              <w:rPr>
                <w:rFonts w:ascii="Arial"/>
                <w:highlight w:val="none"/>
              </w:rPr>
            </w:pPr>
          </w:p>
        </w:tc>
        <w:tc>
          <w:tcPr>
            <w:tcW w:w="1125" w:type="dxa"/>
          </w:tcPr>
          <w:p w14:paraId="49DC4E98">
            <w:pPr>
              <w:rPr>
                <w:rFonts w:ascii="Arial"/>
                <w:highlight w:val="none"/>
              </w:rPr>
            </w:pPr>
          </w:p>
        </w:tc>
      </w:tr>
      <w:tr w14:paraId="6A0F17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8BAD3FB">
            <w:pPr>
              <w:rPr>
                <w:rFonts w:ascii="Arial"/>
                <w:highlight w:val="none"/>
              </w:rPr>
            </w:pPr>
          </w:p>
        </w:tc>
        <w:tc>
          <w:tcPr>
            <w:tcW w:w="2543" w:type="dxa"/>
          </w:tcPr>
          <w:p w14:paraId="55B3AD56">
            <w:pPr>
              <w:rPr>
                <w:rFonts w:ascii="Arial"/>
                <w:highlight w:val="none"/>
              </w:rPr>
            </w:pPr>
          </w:p>
        </w:tc>
        <w:tc>
          <w:tcPr>
            <w:tcW w:w="2100" w:type="dxa"/>
          </w:tcPr>
          <w:p w14:paraId="3B935E4C">
            <w:pPr>
              <w:rPr>
                <w:rFonts w:ascii="Arial"/>
                <w:highlight w:val="none"/>
              </w:rPr>
            </w:pPr>
          </w:p>
        </w:tc>
        <w:tc>
          <w:tcPr>
            <w:tcW w:w="840" w:type="dxa"/>
          </w:tcPr>
          <w:p w14:paraId="268748C6">
            <w:pPr>
              <w:rPr>
                <w:rFonts w:ascii="Arial"/>
                <w:highlight w:val="none"/>
              </w:rPr>
            </w:pPr>
          </w:p>
        </w:tc>
        <w:tc>
          <w:tcPr>
            <w:tcW w:w="2239" w:type="dxa"/>
          </w:tcPr>
          <w:p w14:paraId="08952FE5">
            <w:pPr>
              <w:rPr>
                <w:rFonts w:ascii="Arial"/>
                <w:highlight w:val="none"/>
              </w:rPr>
            </w:pPr>
          </w:p>
        </w:tc>
        <w:tc>
          <w:tcPr>
            <w:tcW w:w="1498" w:type="dxa"/>
          </w:tcPr>
          <w:p w14:paraId="7584CCE9">
            <w:pPr>
              <w:rPr>
                <w:rFonts w:ascii="Arial"/>
                <w:highlight w:val="none"/>
              </w:rPr>
            </w:pPr>
          </w:p>
        </w:tc>
        <w:tc>
          <w:tcPr>
            <w:tcW w:w="1861" w:type="dxa"/>
          </w:tcPr>
          <w:p w14:paraId="540343DC">
            <w:pPr>
              <w:rPr>
                <w:rFonts w:ascii="Arial"/>
                <w:highlight w:val="none"/>
              </w:rPr>
            </w:pPr>
          </w:p>
        </w:tc>
        <w:tc>
          <w:tcPr>
            <w:tcW w:w="1120" w:type="dxa"/>
          </w:tcPr>
          <w:p w14:paraId="102336AD">
            <w:pPr>
              <w:rPr>
                <w:rFonts w:ascii="Arial"/>
                <w:highlight w:val="none"/>
              </w:rPr>
            </w:pPr>
          </w:p>
        </w:tc>
        <w:tc>
          <w:tcPr>
            <w:tcW w:w="1125" w:type="dxa"/>
          </w:tcPr>
          <w:p w14:paraId="75D783C1">
            <w:pPr>
              <w:rPr>
                <w:rFonts w:ascii="Arial"/>
                <w:highlight w:val="none"/>
              </w:rPr>
            </w:pPr>
          </w:p>
        </w:tc>
      </w:tr>
      <w:tr w14:paraId="24B3BF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158E603D">
            <w:pPr>
              <w:spacing w:before="207" w:line="219" w:lineRule="auto"/>
              <w:ind w:left="3416"/>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lang w:val="en-US" w:eastAsia="zh-CN"/>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106" w:type="dxa"/>
            <w:gridSpan w:val="3"/>
          </w:tcPr>
          <w:p w14:paraId="44BA0158">
            <w:pPr>
              <w:spacing w:before="207"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 w:val="21"/>
                <w:szCs w:val="21"/>
                <w:highlight w:val="none"/>
                <w:lang w:eastAsia="zh-CN"/>
              </w:rPr>
              <w:t>（</w:t>
            </w:r>
            <w:r>
              <w:rPr>
                <w:rFonts w:hint="eastAsia" w:ascii="宋体" w:hAnsi="宋体" w:eastAsia="宋体" w:cs="宋体"/>
                <w:b/>
                <w:bCs/>
                <w:sz w:val="21"/>
                <w:szCs w:val="21"/>
                <w:highlight w:val="none"/>
                <w:lang w:val="en-US" w:eastAsia="zh-CN"/>
              </w:rPr>
              <w:t>不含税</w:t>
            </w:r>
            <w:r>
              <w:rPr>
                <w:rFonts w:hint="eastAsia" w:ascii="宋体" w:hAnsi="宋体" w:eastAsia="宋体" w:cs="宋体"/>
                <w:b/>
                <w:bCs/>
                <w:sz w:val="21"/>
                <w:szCs w:val="21"/>
                <w:highlight w:val="none"/>
                <w:lang w:eastAsia="zh-CN"/>
              </w:rPr>
              <w:t>）</w:t>
            </w:r>
            <w:r>
              <w:rPr>
                <w:rFonts w:ascii="宋体" w:hAnsi="宋体" w:eastAsia="宋体" w:cs="宋体"/>
                <w:b/>
                <w:bCs/>
                <w:szCs w:val="21"/>
                <w:highlight w:val="none"/>
              </w:rPr>
              <w:t>￥    元</w:t>
            </w:r>
          </w:p>
        </w:tc>
      </w:tr>
    </w:tbl>
    <w:p w14:paraId="289C53ED">
      <w:pPr>
        <w:spacing w:before="69" w:line="219" w:lineRule="auto"/>
        <w:rPr>
          <w:rFonts w:ascii="宋体" w:hAnsi="宋体" w:eastAsia="宋体" w:cs="宋体"/>
          <w:szCs w:val="21"/>
          <w:highlight w:val="none"/>
        </w:rPr>
      </w:pPr>
      <w:r>
        <w:rPr>
          <w:rFonts w:ascii="宋体" w:hAnsi="宋体" w:eastAsia="宋体" w:cs="宋体"/>
          <w:spacing w:val="-3"/>
          <w:szCs w:val="21"/>
          <w:highlight w:val="none"/>
        </w:rPr>
        <w:t>注：1.本表须详细列出质保期内全部随机备品备件和专用工具等的详细价格</w:t>
      </w:r>
      <w:r>
        <w:rPr>
          <w:rFonts w:ascii="宋体" w:hAnsi="宋体" w:eastAsia="宋体" w:cs="宋体"/>
          <w:spacing w:val="-1"/>
          <w:szCs w:val="21"/>
          <w:highlight w:val="none"/>
        </w:rPr>
        <w:t>。</w:t>
      </w:r>
    </w:p>
    <w:p w14:paraId="078F1BA4">
      <w:pPr>
        <w:spacing w:before="75" w:line="219" w:lineRule="auto"/>
        <w:ind w:left="409"/>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083EB53C">
      <w:pPr>
        <w:spacing w:before="87" w:line="198" w:lineRule="auto"/>
        <w:ind w:left="411"/>
        <w:rPr>
          <w:rFonts w:ascii="宋体" w:hAnsi="宋体" w:eastAsia="宋体" w:cs="宋体"/>
          <w:sz w:val="24"/>
          <w:szCs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szCs w:val="24"/>
          <w:highlight w:val="none"/>
        </w:rPr>
        <w:t>。</w:t>
      </w:r>
    </w:p>
    <w:p w14:paraId="3421A346">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2A92C91A">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61AFBAC9">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2AB326AC">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4612C168">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5737F2CB">
      <w:pPr>
        <w:spacing w:before="87" w:line="198" w:lineRule="auto"/>
        <w:ind w:left="411"/>
        <w:rPr>
          <w:rFonts w:ascii="宋体" w:hAnsi="宋体" w:eastAsia="宋体" w:cs="宋体"/>
          <w:spacing w:val="-2"/>
          <w:sz w:val="24"/>
          <w:szCs w:val="24"/>
          <w:highlight w:val="none"/>
        </w:rPr>
      </w:pPr>
      <w:r>
        <w:rPr>
          <w:rFonts w:ascii="宋体" w:hAnsi="宋体" w:eastAsia="宋体" w:cs="宋体"/>
          <w:spacing w:val="-4"/>
          <w:sz w:val="24"/>
          <w:szCs w:val="24"/>
          <w:highlight w:val="none"/>
        </w:rPr>
        <w:t xml:space="preserve">投标人(章)： </w:t>
      </w:r>
      <w:r>
        <w:rPr>
          <w:rFonts w:ascii="宋体" w:hAnsi="宋体" w:eastAsia="宋体" w:cs="宋体"/>
          <w:spacing w:val="6"/>
          <w:sz w:val="24"/>
          <w:szCs w:val="24"/>
          <w:highlight w:val="none"/>
        </w:rPr>
        <w:t xml:space="preserve">    </w:t>
      </w:r>
      <w:r>
        <w:rPr>
          <w:rFonts w:ascii="宋体" w:hAnsi="宋体" w:eastAsia="宋体" w:cs="宋体"/>
          <w:spacing w:val="4"/>
          <w:sz w:val="24"/>
          <w:szCs w:val="24"/>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年  月  日</w:t>
      </w:r>
    </w:p>
    <w:p w14:paraId="6338682D">
      <w:pPr>
        <w:spacing w:before="87" w:line="198" w:lineRule="auto"/>
        <w:ind w:left="411"/>
        <w:rPr>
          <w:rFonts w:ascii="宋体" w:hAnsi="宋体" w:eastAsia="宋体" w:cs="宋体"/>
          <w:spacing w:val="-2"/>
          <w:sz w:val="24"/>
          <w:szCs w:val="24"/>
          <w:highlight w:val="none"/>
        </w:rPr>
        <w:sectPr>
          <w:footerReference r:id="rId34" w:type="default"/>
          <w:pgSz w:w="16841" w:h="11907"/>
          <w:pgMar w:top="400" w:right="1500" w:bottom="1184" w:left="1480" w:header="0" w:footer="1022" w:gutter="0"/>
          <w:cols w:space="720" w:num="1"/>
        </w:sectPr>
      </w:pPr>
    </w:p>
    <w:p w14:paraId="3E5E25E3">
      <w:pPr>
        <w:pStyle w:val="6"/>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highlight w:val="none"/>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-5</w:t>
      </w:r>
    </w:p>
    <w:p w14:paraId="56FD446E">
      <w:pPr>
        <w:spacing w:before="253" w:line="224" w:lineRule="auto"/>
        <w:ind w:left="6488"/>
        <w:rPr>
          <w:rFonts w:ascii="宋体" w:hAnsi="宋体" w:eastAsia="宋体" w:cs="宋体"/>
          <w:sz w:val="31"/>
          <w:szCs w:val="31"/>
          <w:highlight w:val="none"/>
        </w:rPr>
      </w:pP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格汇总表</w:t>
      </w:r>
    </w:p>
    <w:p w14:paraId="4E529DB5">
      <w:pPr>
        <w:spacing w:before="24" w:line="221" w:lineRule="auto"/>
        <w:ind w:left="211" w:firstLine="2310" w:firstLineChars="1100"/>
        <w:jc w:val="right"/>
        <w:rPr>
          <w:rFonts w:ascii="宋体" w:hAnsi="宋体" w:eastAsia="宋体" w:cs="宋体"/>
          <w:szCs w:val="21"/>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52B8EBA1">
      <w:pPr>
        <w:spacing w:line="127" w:lineRule="exact"/>
        <w:rPr>
          <w:highlight w:val="none"/>
        </w:rPr>
      </w:pPr>
    </w:p>
    <w:tbl>
      <w:tblPr>
        <w:tblStyle w:val="12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0E21E2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7FBF881">
            <w:pPr>
              <w:spacing w:before="276" w:line="222" w:lineRule="auto"/>
              <w:ind w:left="334"/>
              <w:rPr>
                <w:rFonts w:ascii="宋体" w:hAnsi="宋体" w:eastAsia="宋体" w:cs="宋体"/>
                <w:szCs w:val="21"/>
                <w:highlight w:val="none"/>
              </w:rPr>
            </w:pPr>
            <w:r>
              <w:rPr>
                <w:rFonts w:ascii="宋体" w:hAnsi="宋体" w:eastAsia="宋体" w:cs="宋体"/>
                <w:spacing w:val="-2"/>
                <w:szCs w:val="21"/>
                <w:highlight w:val="none"/>
              </w:rPr>
              <w:t>序</w:t>
            </w:r>
            <w:r>
              <w:rPr>
                <w:rFonts w:ascii="宋体" w:hAnsi="宋体" w:eastAsia="宋体" w:cs="宋体"/>
                <w:spacing w:val="-1"/>
                <w:szCs w:val="21"/>
                <w:highlight w:val="none"/>
              </w:rPr>
              <w:t>号</w:t>
            </w:r>
          </w:p>
        </w:tc>
        <w:tc>
          <w:tcPr>
            <w:tcW w:w="5765" w:type="dxa"/>
          </w:tcPr>
          <w:p w14:paraId="0A8E21AE">
            <w:pPr>
              <w:spacing w:before="276" w:line="221" w:lineRule="auto"/>
              <w:ind w:left="2544"/>
              <w:rPr>
                <w:rFonts w:ascii="宋体" w:hAnsi="宋体" w:eastAsia="宋体" w:cs="宋体"/>
                <w:szCs w:val="21"/>
                <w:highlight w:val="none"/>
              </w:rPr>
            </w:pPr>
            <w:r>
              <w:rPr>
                <w:rFonts w:ascii="宋体" w:hAnsi="宋体" w:eastAsia="宋体" w:cs="宋体"/>
                <w:spacing w:val="-6"/>
                <w:szCs w:val="21"/>
                <w:highlight w:val="none"/>
              </w:rPr>
              <w:t>内</w:t>
            </w:r>
            <w:r>
              <w:rPr>
                <w:rFonts w:ascii="宋体" w:hAnsi="宋体" w:eastAsia="宋体" w:cs="宋体"/>
                <w:spacing w:val="-4"/>
                <w:szCs w:val="21"/>
                <w:highlight w:val="none"/>
              </w:rPr>
              <w:t xml:space="preserve">   容</w:t>
            </w:r>
          </w:p>
        </w:tc>
        <w:tc>
          <w:tcPr>
            <w:tcW w:w="3354" w:type="dxa"/>
          </w:tcPr>
          <w:p w14:paraId="273F9BF0">
            <w:pPr>
              <w:spacing w:before="276" w:line="219" w:lineRule="auto"/>
              <w:jc w:val="center"/>
              <w:rPr>
                <w:rFonts w:ascii="宋体" w:hAnsi="宋体" w:eastAsia="宋体" w:cs="宋体"/>
                <w:szCs w:val="21"/>
                <w:highlight w:val="none"/>
              </w:rPr>
            </w:pPr>
            <w:r>
              <w:rPr>
                <w:rFonts w:ascii="宋体" w:hAnsi="宋体" w:eastAsia="宋体" w:cs="宋体"/>
                <w:spacing w:val="18"/>
                <w:szCs w:val="21"/>
                <w:highlight w:val="none"/>
              </w:rPr>
              <w:t>总</w:t>
            </w:r>
            <w:r>
              <w:rPr>
                <w:rFonts w:ascii="宋体" w:hAnsi="宋体" w:eastAsia="宋体" w:cs="宋体"/>
                <w:spacing w:val="14"/>
                <w:szCs w:val="21"/>
                <w:highlight w:val="none"/>
              </w:rPr>
              <w:t>价(元)</w:t>
            </w:r>
            <w:r>
              <w:rPr>
                <w:rFonts w:hint="eastAsia" w:ascii="宋体" w:hAnsi="宋体" w:eastAsia="宋体" w:cs="宋体"/>
                <w:spacing w:val="-3"/>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highlight w:val="none"/>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highlight w:val="none"/>
                <w14:textOutline w14:w="3835" w14:cap="flat" w14:cmpd="sng" w14:algn="ctr">
                  <w14:solidFill>
                    <w14:srgbClr w14:val="000000"/>
                  </w14:solidFill>
                  <w14:prstDash w14:val="solid"/>
                  <w14:miter w14:val="0"/>
                </w14:textOutline>
              </w:rPr>
              <w:t>含税）</w:t>
            </w:r>
          </w:p>
        </w:tc>
        <w:tc>
          <w:tcPr>
            <w:tcW w:w="3362" w:type="dxa"/>
          </w:tcPr>
          <w:p w14:paraId="00FC6E6B">
            <w:pPr>
              <w:spacing w:before="276" w:line="222" w:lineRule="auto"/>
              <w:ind w:left="1215"/>
              <w:rPr>
                <w:rFonts w:ascii="宋体" w:hAnsi="宋体" w:eastAsia="宋体" w:cs="宋体"/>
                <w:szCs w:val="21"/>
                <w:highlight w:val="none"/>
              </w:rPr>
            </w:pPr>
            <w:r>
              <w:rPr>
                <w:rFonts w:ascii="宋体" w:hAnsi="宋体" w:eastAsia="宋体" w:cs="宋体"/>
                <w:spacing w:val="-1"/>
                <w:szCs w:val="21"/>
                <w:highlight w:val="none"/>
              </w:rPr>
              <w:t>备</w:t>
            </w:r>
            <w:r>
              <w:rPr>
                <w:rFonts w:ascii="宋体" w:hAnsi="宋体" w:eastAsia="宋体" w:cs="宋体"/>
                <w:szCs w:val="21"/>
                <w:highlight w:val="none"/>
              </w:rPr>
              <w:t xml:space="preserve">     注</w:t>
            </w:r>
          </w:p>
        </w:tc>
      </w:tr>
      <w:tr w14:paraId="7013C3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13A3BAC">
            <w:pPr>
              <w:spacing w:before="309" w:line="186" w:lineRule="auto"/>
              <w:ind w:left="508"/>
              <w:rPr>
                <w:rFonts w:ascii="宋体" w:hAnsi="宋体" w:eastAsia="宋体" w:cs="宋体"/>
                <w:szCs w:val="21"/>
                <w:highlight w:val="none"/>
              </w:rPr>
            </w:pPr>
            <w:r>
              <w:rPr>
                <w:rFonts w:ascii="宋体" w:hAnsi="宋体" w:eastAsia="宋体" w:cs="宋体"/>
                <w:szCs w:val="21"/>
                <w:highlight w:val="none"/>
              </w:rPr>
              <w:t>1</w:t>
            </w:r>
          </w:p>
        </w:tc>
        <w:tc>
          <w:tcPr>
            <w:tcW w:w="5765" w:type="dxa"/>
          </w:tcPr>
          <w:p w14:paraId="5BC6FDE3">
            <w:pPr>
              <w:spacing w:before="275" w:line="222" w:lineRule="auto"/>
              <w:ind w:left="2378"/>
              <w:rPr>
                <w:rFonts w:ascii="宋体" w:hAnsi="宋体" w:eastAsia="宋体" w:cs="宋体"/>
                <w:szCs w:val="21"/>
                <w:highlight w:val="none"/>
              </w:rPr>
            </w:pPr>
            <w:r>
              <w:rPr>
                <w:rFonts w:ascii="宋体" w:hAnsi="宋体" w:eastAsia="宋体" w:cs="宋体"/>
                <w:spacing w:val="-17"/>
                <w:szCs w:val="21"/>
                <w:highlight w:val="none"/>
              </w:rPr>
              <w:t>表</w:t>
            </w:r>
            <w:r>
              <w:rPr>
                <w:rFonts w:ascii="宋体" w:hAnsi="宋体" w:eastAsia="宋体" w:cs="宋体"/>
                <w:spacing w:val="-11"/>
                <w:szCs w:val="21"/>
                <w:highlight w:val="none"/>
              </w:rPr>
              <w:t xml:space="preserve"> </w:t>
            </w:r>
            <w:r>
              <w:rPr>
                <w:rFonts w:hint="eastAsia" w:ascii="Times New Roman" w:hAnsi="Times New Roman" w:eastAsia="宋体" w:cs="Times New Roman"/>
                <w:spacing w:val="-11"/>
                <w:szCs w:val="21"/>
                <w:highlight w:val="none"/>
                <w:lang w:val="en-US" w:eastAsia="zh-CN"/>
              </w:rPr>
              <w:t>9</w:t>
            </w:r>
            <w:r>
              <w:rPr>
                <w:rFonts w:ascii="Times New Roman" w:hAnsi="Times New Roman" w:eastAsia="Times New Roman" w:cs="Times New Roman"/>
                <w:spacing w:val="-11"/>
                <w:szCs w:val="21"/>
                <w:highlight w:val="none"/>
              </w:rPr>
              <w:t xml:space="preserve">- 1 </w:t>
            </w:r>
            <w:r>
              <w:rPr>
                <w:rFonts w:ascii="宋体" w:hAnsi="宋体" w:eastAsia="宋体" w:cs="宋体"/>
                <w:spacing w:val="-11"/>
                <w:szCs w:val="21"/>
                <w:highlight w:val="none"/>
              </w:rPr>
              <w:t>总计</w:t>
            </w:r>
          </w:p>
        </w:tc>
        <w:tc>
          <w:tcPr>
            <w:tcW w:w="3354" w:type="dxa"/>
          </w:tcPr>
          <w:p w14:paraId="743B0AB4">
            <w:pPr>
              <w:rPr>
                <w:rFonts w:ascii="Arial"/>
                <w:highlight w:val="none"/>
              </w:rPr>
            </w:pPr>
          </w:p>
        </w:tc>
        <w:tc>
          <w:tcPr>
            <w:tcW w:w="3362" w:type="dxa"/>
          </w:tcPr>
          <w:p w14:paraId="63A00E01">
            <w:pPr>
              <w:rPr>
                <w:rFonts w:ascii="Arial"/>
                <w:highlight w:val="none"/>
              </w:rPr>
            </w:pPr>
          </w:p>
        </w:tc>
      </w:tr>
      <w:tr w14:paraId="525116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7BC2CEB6">
            <w:pPr>
              <w:spacing w:before="299" w:line="185" w:lineRule="auto"/>
              <w:ind w:left="495"/>
              <w:rPr>
                <w:rFonts w:ascii="宋体" w:hAnsi="宋体" w:eastAsia="宋体" w:cs="宋体"/>
                <w:szCs w:val="21"/>
                <w:highlight w:val="none"/>
              </w:rPr>
            </w:pPr>
            <w:r>
              <w:rPr>
                <w:rFonts w:ascii="宋体" w:hAnsi="宋体" w:eastAsia="宋体" w:cs="宋体"/>
                <w:szCs w:val="21"/>
                <w:highlight w:val="none"/>
              </w:rPr>
              <w:t>2</w:t>
            </w:r>
          </w:p>
        </w:tc>
        <w:tc>
          <w:tcPr>
            <w:tcW w:w="5765" w:type="dxa"/>
          </w:tcPr>
          <w:p w14:paraId="1711A8F5">
            <w:pPr>
              <w:spacing w:before="263"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lang w:val="en-US" w:eastAsia="zh-CN"/>
              </w:rPr>
              <w:t>9</w:t>
            </w:r>
            <w:r>
              <w:rPr>
                <w:rFonts w:ascii="Times New Roman" w:hAnsi="Times New Roman" w:eastAsia="Times New Roman" w:cs="Times New Roman"/>
                <w:spacing w:val="-6"/>
                <w:szCs w:val="21"/>
                <w:highlight w:val="none"/>
              </w:rPr>
              <w:t xml:space="preserve">-2 </w:t>
            </w:r>
            <w:r>
              <w:rPr>
                <w:rFonts w:ascii="宋体" w:hAnsi="宋体" w:eastAsia="宋体" w:cs="宋体"/>
                <w:spacing w:val="-6"/>
                <w:szCs w:val="21"/>
                <w:highlight w:val="none"/>
              </w:rPr>
              <w:t>总计</w:t>
            </w:r>
          </w:p>
        </w:tc>
        <w:tc>
          <w:tcPr>
            <w:tcW w:w="3354" w:type="dxa"/>
          </w:tcPr>
          <w:p w14:paraId="504102DE">
            <w:pPr>
              <w:rPr>
                <w:rFonts w:ascii="Arial"/>
                <w:highlight w:val="none"/>
              </w:rPr>
            </w:pPr>
          </w:p>
        </w:tc>
        <w:tc>
          <w:tcPr>
            <w:tcW w:w="3362" w:type="dxa"/>
          </w:tcPr>
          <w:p w14:paraId="24074BE3">
            <w:pPr>
              <w:rPr>
                <w:rFonts w:ascii="Arial"/>
                <w:highlight w:val="none"/>
              </w:rPr>
            </w:pPr>
          </w:p>
        </w:tc>
      </w:tr>
      <w:tr w14:paraId="67A188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229D445C">
            <w:pPr>
              <w:rPr>
                <w:rFonts w:ascii="Arial"/>
                <w:highlight w:val="none"/>
              </w:rPr>
            </w:pPr>
          </w:p>
          <w:p w14:paraId="462E403E">
            <w:pPr>
              <w:spacing w:before="68" w:line="183" w:lineRule="auto"/>
              <w:ind w:left="497"/>
              <w:rPr>
                <w:rFonts w:ascii="宋体" w:hAnsi="宋体" w:eastAsia="宋体" w:cs="宋体"/>
                <w:szCs w:val="21"/>
                <w:highlight w:val="none"/>
              </w:rPr>
            </w:pPr>
            <w:r>
              <w:rPr>
                <w:rFonts w:ascii="宋体" w:hAnsi="宋体" w:eastAsia="宋体" w:cs="宋体"/>
                <w:szCs w:val="21"/>
                <w:highlight w:val="none"/>
              </w:rPr>
              <w:t>3</w:t>
            </w:r>
          </w:p>
        </w:tc>
        <w:tc>
          <w:tcPr>
            <w:tcW w:w="5765" w:type="dxa"/>
          </w:tcPr>
          <w:p w14:paraId="488DF71E">
            <w:pPr>
              <w:spacing w:before="274"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lang w:val="en-US" w:eastAsia="zh-CN"/>
              </w:rPr>
              <w:t>9</w:t>
            </w:r>
            <w:r>
              <w:rPr>
                <w:rFonts w:ascii="Times New Roman" w:hAnsi="Times New Roman" w:eastAsia="Times New Roman" w:cs="Times New Roman"/>
                <w:spacing w:val="-6"/>
                <w:szCs w:val="21"/>
                <w:highlight w:val="none"/>
              </w:rPr>
              <w:t xml:space="preserve">-3 </w:t>
            </w:r>
            <w:r>
              <w:rPr>
                <w:rFonts w:ascii="宋体" w:hAnsi="宋体" w:eastAsia="宋体" w:cs="宋体"/>
                <w:spacing w:val="-6"/>
                <w:szCs w:val="21"/>
                <w:highlight w:val="none"/>
              </w:rPr>
              <w:t>总计</w:t>
            </w:r>
          </w:p>
        </w:tc>
        <w:tc>
          <w:tcPr>
            <w:tcW w:w="3354" w:type="dxa"/>
          </w:tcPr>
          <w:p w14:paraId="4DA7D118">
            <w:pPr>
              <w:rPr>
                <w:rFonts w:ascii="Arial"/>
                <w:highlight w:val="none"/>
              </w:rPr>
            </w:pPr>
          </w:p>
        </w:tc>
        <w:tc>
          <w:tcPr>
            <w:tcW w:w="3362" w:type="dxa"/>
          </w:tcPr>
          <w:p w14:paraId="4A8C0C0A">
            <w:pPr>
              <w:rPr>
                <w:rFonts w:ascii="Arial"/>
                <w:highlight w:val="none"/>
              </w:rPr>
            </w:pPr>
          </w:p>
        </w:tc>
      </w:tr>
      <w:tr w14:paraId="45627B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563C4582">
            <w:pPr>
              <w:spacing w:before="300" w:line="185" w:lineRule="auto"/>
              <w:ind w:left="492"/>
              <w:rPr>
                <w:rFonts w:ascii="宋体" w:hAnsi="宋体" w:eastAsia="宋体" w:cs="宋体"/>
                <w:szCs w:val="21"/>
                <w:highlight w:val="none"/>
              </w:rPr>
            </w:pPr>
            <w:r>
              <w:rPr>
                <w:rFonts w:ascii="宋体" w:hAnsi="宋体" w:eastAsia="宋体" w:cs="宋体"/>
                <w:szCs w:val="21"/>
                <w:highlight w:val="none"/>
              </w:rPr>
              <w:t>4</w:t>
            </w:r>
          </w:p>
        </w:tc>
        <w:tc>
          <w:tcPr>
            <w:tcW w:w="5765" w:type="dxa"/>
          </w:tcPr>
          <w:p w14:paraId="157F5D9C">
            <w:pPr>
              <w:spacing w:before="265"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lang w:val="en-US" w:eastAsia="zh-CN"/>
              </w:rPr>
              <w:t>9</w:t>
            </w:r>
            <w:r>
              <w:rPr>
                <w:rFonts w:ascii="Times New Roman" w:hAnsi="Times New Roman" w:eastAsia="Times New Roman" w:cs="Times New Roman"/>
                <w:spacing w:val="-6"/>
                <w:szCs w:val="21"/>
                <w:highlight w:val="none"/>
              </w:rPr>
              <w:t xml:space="preserve">-4 </w:t>
            </w:r>
            <w:r>
              <w:rPr>
                <w:rFonts w:ascii="宋体" w:hAnsi="宋体" w:eastAsia="宋体" w:cs="宋体"/>
                <w:spacing w:val="-6"/>
                <w:szCs w:val="21"/>
                <w:highlight w:val="none"/>
              </w:rPr>
              <w:t>总计</w:t>
            </w:r>
          </w:p>
        </w:tc>
        <w:tc>
          <w:tcPr>
            <w:tcW w:w="3354" w:type="dxa"/>
          </w:tcPr>
          <w:p w14:paraId="74F6700B">
            <w:pPr>
              <w:rPr>
                <w:rFonts w:ascii="Arial"/>
                <w:highlight w:val="none"/>
              </w:rPr>
            </w:pPr>
          </w:p>
        </w:tc>
        <w:tc>
          <w:tcPr>
            <w:tcW w:w="3362" w:type="dxa"/>
          </w:tcPr>
          <w:p w14:paraId="13A52562">
            <w:pPr>
              <w:rPr>
                <w:rFonts w:ascii="Arial"/>
                <w:highlight w:val="none"/>
              </w:rPr>
            </w:pPr>
          </w:p>
        </w:tc>
      </w:tr>
      <w:tr w14:paraId="1F6CA7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8C27D4E">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58634866">
            <w:pPr>
              <w:spacing w:before="266" w:line="221" w:lineRule="auto"/>
              <w:jc w:val="left"/>
              <w:rPr>
                <w:rFonts w:hint="default"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highlight w:val="none"/>
                <w:lang w:eastAsia="zh-CN"/>
              </w:rPr>
              <w:t>（</w:t>
            </w:r>
            <w:r>
              <w:rPr>
                <w:rFonts w:hint="eastAsia" w:ascii="宋体" w:hAnsi="宋体" w:eastAsia="宋体" w:cs="宋体"/>
                <w:b/>
                <w:bCs/>
                <w:spacing w:val="-3"/>
                <w:sz w:val="21"/>
                <w:szCs w:val="21"/>
                <w:highlight w:val="none"/>
                <w:lang w:val="en-US" w:eastAsia="zh-CN"/>
              </w:rPr>
              <w:t>不含税</w:t>
            </w:r>
            <w:r>
              <w:rPr>
                <w:rFonts w:hint="eastAsia" w:ascii="宋体" w:hAnsi="宋体" w:eastAsia="宋体" w:cs="宋体"/>
                <w:b/>
                <w:bCs/>
                <w:spacing w:val="-3"/>
                <w:sz w:val="21"/>
                <w:szCs w:val="21"/>
                <w:highlight w:val="none"/>
                <w:lang w:eastAsia="zh-CN"/>
              </w:rPr>
              <w:t>）</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C1EAC77">
            <w:pPr>
              <w:spacing w:before="266" w:line="221" w:lineRule="auto"/>
              <w:ind w:firstLine="416" w:firstLineChars="200"/>
              <w:jc w:val="left"/>
              <w:rPr>
                <w:rFonts w:hint="eastAsia" w:ascii="宋体" w:hAnsi="宋体" w:eastAsia="宋体" w:cs="宋体"/>
                <w:spacing w:val="-1"/>
                <w:szCs w:val="21"/>
                <w:highlight w:val="none"/>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r w14:paraId="713901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092276FD">
            <w:pPr>
              <w:spacing w:before="266" w:line="221" w:lineRule="auto"/>
              <w:jc w:val="center"/>
              <w:rPr>
                <w:rFonts w:ascii="宋体" w:hAnsi="宋体" w:eastAsia="宋体" w:cs="宋体"/>
                <w:spacing w:val="-1"/>
                <w:kern w:val="2"/>
                <w:sz w:val="21"/>
                <w:szCs w:val="21"/>
                <w:highlight w:val="none"/>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33A77700">
            <w:pPr>
              <w:spacing w:before="266" w:line="221" w:lineRule="auto"/>
              <w:jc w:val="left"/>
              <w:rPr>
                <w:rFonts w:hint="default" w:ascii="宋体" w:hAnsi="宋体" w:eastAsia="宋体" w:cs="宋体"/>
                <w:spacing w:val="-1"/>
                <w:kern w:val="2"/>
                <w:sz w:val="21"/>
                <w:szCs w:val="21"/>
                <w:highlight w:val="none"/>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highlight w:val="none"/>
                <w:lang w:eastAsia="zh-CN"/>
              </w:rPr>
              <w:t>（</w:t>
            </w:r>
            <w:r>
              <w:rPr>
                <w:rFonts w:hint="eastAsia" w:ascii="宋体" w:hAnsi="宋体" w:eastAsia="宋体" w:cs="宋体"/>
                <w:b/>
                <w:bCs/>
                <w:spacing w:val="-3"/>
                <w:sz w:val="21"/>
                <w:szCs w:val="21"/>
                <w:highlight w:val="none"/>
                <w:lang w:val="en-US" w:eastAsia="zh-CN"/>
              </w:rPr>
              <w:t>含税</w:t>
            </w:r>
            <w:r>
              <w:rPr>
                <w:rFonts w:hint="eastAsia" w:ascii="宋体" w:hAnsi="宋体" w:eastAsia="宋体" w:cs="宋体"/>
                <w:b/>
                <w:bCs/>
                <w:spacing w:val="-3"/>
                <w:sz w:val="21"/>
                <w:szCs w:val="21"/>
                <w:highlight w:val="none"/>
                <w:lang w:eastAsia="zh-CN"/>
              </w:rPr>
              <w:t>）</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5AC1D88F">
            <w:pPr>
              <w:spacing w:before="266" w:line="221" w:lineRule="auto"/>
              <w:ind w:firstLine="416" w:firstLineChars="200"/>
              <w:jc w:val="left"/>
              <w:rPr>
                <w:rFonts w:hint="eastAsia" w:ascii="宋体" w:hAnsi="宋体" w:eastAsia="宋体" w:cs="宋体"/>
                <w:spacing w:val="-1"/>
                <w:kern w:val="2"/>
                <w:sz w:val="21"/>
                <w:szCs w:val="21"/>
                <w:highlight w:val="none"/>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highlight w:val="none"/>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highlight w:val="none"/>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lang w:eastAsia="zh-CN"/>
                <w14:textOutline w14:w="3835" w14:cap="flat" w14:cmpd="sng" w14:algn="ctr">
                  <w14:solidFill>
                    <w14:srgbClr w14:val="000000"/>
                  </w14:solidFill>
                  <w14:prstDash w14:val="solid"/>
                  <w14:miter w14:val="0"/>
                </w14:textOutline>
              </w:rPr>
              <w:t>）</w:t>
            </w:r>
          </w:p>
        </w:tc>
      </w:tr>
    </w:tbl>
    <w:p w14:paraId="637E58DC">
      <w:pPr>
        <w:spacing w:line="291" w:lineRule="auto"/>
        <w:rPr>
          <w:rFonts w:ascii="Arial"/>
          <w:highlight w:val="none"/>
        </w:rPr>
      </w:pPr>
    </w:p>
    <w:p w14:paraId="6EE93560">
      <w:pPr>
        <w:spacing w:before="78" w:line="198" w:lineRule="auto"/>
        <w:ind w:left="211" w:firstLine="202" w:firstLineChars="100"/>
        <w:rPr>
          <w:rFonts w:ascii="宋体" w:hAnsi="宋体" w:eastAsia="宋体" w:cs="宋体"/>
          <w:sz w:val="24"/>
          <w:szCs w:val="24"/>
          <w:highlight w:val="none"/>
        </w:rPr>
      </w:pPr>
      <w:r>
        <w:rPr>
          <w:rFonts w:ascii="宋体" w:hAnsi="宋体" w:eastAsia="宋体" w:cs="宋体"/>
          <w:spacing w:val="-4"/>
          <w:szCs w:val="21"/>
          <w:highlight w:val="none"/>
        </w:rPr>
        <w:t xml:space="preserve">注： </w:t>
      </w:r>
      <w:r>
        <w:rPr>
          <w:rFonts w:hint="eastAsia" w:ascii="宋体" w:hAnsi="宋体" w:eastAsia="宋体" w:cs="宋体"/>
          <w:spacing w:val="-4"/>
          <w:szCs w:val="21"/>
          <w:highlight w:val="none"/>
        </w:rPr>
        <w:t xml:space="preserve"> </w:t>
      </w:r>
      <w:r>
        <w:rPr>
          <w:rFonts w:ascii="宋体" w:hAnsi="宋体" w:eastAsia="宋体" w:cs="宋体"/>
          <w:spacing w:val="-4"/>
          <w:szCs w:val="21"/>
          <w:highlight w:val="none"/>
        </w:rPr>
        <w:t>1.此表格中的总价合</w:t>
      </w:r>
      <w:r>
        <w:rPr>
          <w:rFonts w:ascii="宋体" w:hAnsi="宋体" w:eastAsia="宋体" w:cs="宋体"/>
          <w:spacing w:val="-2"/>
          <w:szCs w:val="21"/>
          <w:highlight w:val="none"/>
        </w:rPr>
        <w:t>计应与“投标货物数量及价目表”及开标一览表的价格一致</w:t>
      </w:r>
      <w:r>
        <w:rPr>
          <w:rFonts w:ascii="宋体" w:hAnsi="宋体" w:eastAsia="宋体" w:cs="宋体"/>
          <w:spacing w:val="-2"/>
          <w:sz w:val="24"/>
          <w:szCs w:val="24"/>
          <w:highlight w:val="none"/>
        </w:rPr>
        <w:t>。</w:t>
      </w:r>
    </w:p>
    <w:p w14:paraId="51A5B247">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2.该明细表所有信息均为必填项，不得删减，价格部分不得合并，可细化可增加。</w:t>
      </w:r>
    </w:p>
    <w:p w14:paraId="4FCC399D">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3.因填写不规范造成废标及终止招标的，责任由投标人自负。</w:t>
      </w:r>
    </w:p>
    <w:p w14:paraId="79BB6B06">
      <w:pPr>
        <w:pStyle w:val="17"/>
        <w:rPr>
          <w:highlight w:val="none"/>
        </w:rPr>
      </w:pPr>
    </w:p>
    <w:p w14:paraId="5D394268">
      <w:pPr>
        <w:pStyle w:val="17"/>
        <w:rPr>
          <w:highlight w:val="none"/>
        </w:rPr>
      </w:pPr>
    </w:p>
    <w:p w14:paraId="5FA31C51">
      <w:pPr>
        <w:spacing w:before="140" w:line="220" w:lineRule="auto"/>
        <w:ind w:left="2" w:firstLine="464" w:firstLineChars="200"/>
        <w:rPr>
          <w:rFonts w:ascii="宋体" w:hAnsi="宋体" w:eastAsia="宋体" w:cs="宋体"/>
          <w:spacing w:val="-2"/>
          <w:szCs w:val="21"/>
          <w:highlight w:val="none"/>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highlight w:val="none"/>
        </w:rPr>
        <w:t xml:space="preserve">投标人(章)： </w:t>
      </w:r>
      <w:r>
        <w:rPr>
          <w:rFonts w:ascii="宋体" w:hAnsi="宋体" w:eastAsia="宋体" w:cs="宋体"/>
          <w:spacing w:val="6"/>
          <w:sz w:val="24"/>
          <w:szCs w:val="24"/>
          <w:highlight w:val="none"/>
        </w:rPr>
        <w:t xml:space="preserve"> </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 xml:space="preserve"> 授权代表(签字)：</w:t>
      </w:r>
      <w:r>
        <w:rPr>
          <w:rFonts w:ascii="宋体" w:hAnsi="宋体" w:eastAsia="宋体" w:cs="宋体"/>
          <w:spacing w:val="-2"/>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 xml:space="preserve">年  月  </w:t>
      </w:r>
      <w:r>
        <w:rPr>
          <w:rFonts w:hint="eastAsia" w:ascii="宋体" w:hAnsi="宋体" w:eastAsia="宋体" w:cs="宋体"/>
          <w:spacing w:val="-2"/>
          <w:sz w:val="24"/>
          <w:szCs w:val="24"/>
          <w:highlight w:val="none"/>
        </w:rPr>
        <w:t>日</w:t>
      </w:r>
    </w:p>
    <w:p w14:paraId="0883A840">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附件10</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商务条款偏离表</w:t>
      </w:r>
    </w:p>
    <w:p w14:paraId="06D94B98">
      <w:pPr>
        <w:rPr>
          <w:rFonts w:ascii="Calibri" w:hAnsi="Calibri" w:eastAsia="宋体" w:cs="Times New Roman"/>
          <w:szCs w:val="20"/>
          <w:highlight w:val="none"/>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9BAA8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0BC5FC4">
            <w:pPr>
              <w:jc w:val="center"/>
              <w:rPr>
                <w:rFonts w:ascii="Times New Roman" w:hAnsi="Times New Roman" w:eastAsia="宋体" w:cs="Times New Roman"/>
                <w:b/>
                <w:szCs w:val="20"/>
                <w:highlight w:val="none"/>
              </w:rPr>
            </w:pPr>
            <w:r>
              <w:rPr>
                <w:rFonts w:hint="eastAsia" w:ascii="宋体" w:hAnsi="宋体" w:eastAsia="宋体" w:cs="宋体"/>
                <w:sz w:val="24"/>
                <w:szCs w:val="24"/>
                <w:highlight w:val="none"/>
                <w:u w:val="single"/>
                <w:lang w:val="en-US" w:eastAsia="zh-CN"/>
              </w:rPr>
              <w:t>济南发动机厂拉鲁定位装置和台中测量装置开发项目</w:t>
            </w:r>
          </w:p>
        </w:tc>
        <w:tc>
          <w:tcPr>
            <w:tcW w:w="2875" w:type="dxa"/>
            <w:tcBorders>
              <w:top w:val="single" w:color="auto" w:sz="4" w:space="0"/>
              <w:left w:val="single" w:color="auto" w:sz="4" w:space="0"/>
              <w:bottom w:val="single" w:color="auto" w:sz="4" w:space="0"/>
              <w:right w:val="single" w:color="auto" w:sz="4" w:space="0"/>
            </w:tcBorders>
            <w:vAlign w:val="center"/>
          </w:tcPr>
          <w:p w14:paraId="573265AB">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C5E1A8E">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519F3E3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p w14:paraId="3D318A9A">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（提供说明）</w:t>
            </w:r>
          </w:p>
        </w:tc>
      </w:tr>
      <w:tr w14:paraId="385F80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AA3CBCE">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0F1B05B4">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4FBB341E">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6EC3C0E9">
            <w:pPr>
              <w:jc w:val="center"/>
              <w:rPr>
                <w:rFonts w:ascii="Times New Roman" w:hAnsi="Times New Roman" w:eastAsia="宋体" w:cs="Times New Roman"/>
                <w:b/>
                <w:szCs w:val="20"/>
                <w:highlight w:val="none"/>
              </w:rPr>
            </w:pPr>
          </w:p>
        </w:tc>
      </w:tr>
      <w:tr w14:paraId="51E7CC9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AAB33B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0987F61">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6BEE70C7">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23DE06C4">
            <w:pPr>
              <w:jc w:val="center"/>
              <w:rPr>
                <w:rFonts w:ascii="Times New Roman" w:hAnsi="Times New Roman" w:eastAsia="宋体" w:cs="Times New Roman"/>
                <w:b/>
                <w:szCs w:val="21"/>
                <w:highlight w:val="none"/>
              </w:rPr>
            </w:pPr>
          </w:p>
        </w:tc>
      </w:tr>
      <w:tr w14:paraId="10E833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17BCE8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14:paraId="4752EC27">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1551DE32">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6353665A">
            <w:pPr>
              <w:jc w:val="center"/>
              <w:rPr>
                <w:rFonts w:ascii="Times New Roman" w:hAnsi="Times New Roman" w:eastAsia="宋体" w:cs="Times New Roman"/>
                <w:b/>
                <w:szCs w:val="20"/>
                <w:highlight w:val="none"/>
              </w:rPr>
            </w:pPr>
          </w:p>
        </w:tc>
      </w:tr>
      <w:tr w14:paraId="101488B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F81267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5DFC56DE">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6A51323D">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1ED35288">
            <w:pPr>
              <w:jc w:val="center"/>
              <w:rPr>
                <w:rFonts w:ascii="Times New Roman" w:hAnsi="Times New Roman" w:eastAsia="宋体" w:cs="Times New Roman"/>
                <w:b/>
                <w:szCs w:val="21"/>
                <w:highlight w:val="none"/>
              </w:rPr>
            </w:pPr>
          </w:p>
          <w:p w14:paraId="111909D1">
            <w:pPr>
              <w:jc w:val="center"/>
              <w:rPr>
                <w:rFonts w:ascii="Times New Roman" w:hAnsi="Times New Roman" w:eastAsia="宋体" w:cs="Times New Roman"/>
                <w:b/>
                <w:szCs w:val="21"/>
                <w:highlight w:val="none"/>
              </w:rPr>
            </w:pPr>
          </w:p>
          <w:p w14:paraId="6CE606C6">
            <w:pPr>
              <w:jc w:val="center"/>
              <w:rPr>
                <w:rFonts w:ascii="Times New Roman" w:hAnsi="Times New Roman" w:eastAsia="宋体" w:cs="Times New Roman"/>
                <w:b/>
                <w:szCs w:val="21"/>
                <w:highlight w:val="none"/>
              </w:rPr>
            </w:pPr>
          </w:p>
          <w:p w14:paraId="07FC7FAF">
            <w:pPr>
              <w:jc w:val="center"/>
              <w:rPr>
                <w:rFonts w:ascii="Times New Roman" w:hAnsi="Times New Roman" w:eastAsia="宋体" w:cs="Times New Roman"/>
                <w:b/>
                <w:szCs w:val="21"/>
                <w:highlight w:val="none"/>
              </w:rPr>
            </w:pPr>
          </w:p>
          <w:p w14:paraId="23F87470">
            <w:pPr>
              <w:jc w:val="center"/>
              <w:rPr>
                <w:rFonts w:ascii="Times New Roman" w:hAnsi="Times New Roman" w:eastAsia="宋体" w:cs="Times New Roman"/>
                <w:b/>
                <w:szCs w:val="21"/>
                <w:highlight w:val="none"/>
              </w:rPr>
            </w:pPr>
          </w:p>
          <w:p w14:paraId="28B37DCA">
            <w:pPr>
              <w:jc w:val="center"/>
              <w:rPr>
                <w:rFonts w:ascii="Times New Roman" w:hAnsi="Times New Roman" w:eastAsia="宋体" w:cs="Times New Roman"/>
                <w:b/>
                <w:szCs w:val="21"/>
                <w:highlight w:val="none"/>
              </w:rPr>
            </w:pPr>
          </w:p>
          <w:p w14:paraId="68BF3663">
            <w:pPr>
              <w:jc w:val="center"/>
              <w:rPr>
                <w:rFonts w:ascii="Times New Roman" w:hAnsi="Times New Roman" w:eastAsia="宋体" w:cs="Times New Roman"/>
                <w:b/>
                <w:szCs w:val="21"/>
                <w:highlight w:val="none"/>
              </w:rPr>
            </w:pPr>
          </w:p>
          <w:p w14:paraId="06E16E32">
            <w:pPr>
              <w:jc w:val="center"/>
              <w:rPr>
                <w:rFonts w:ascii="Times New Roman" w:hAnsi="Times New Roman" w:eastAsia="宋体" w:cs="Times New Roman"/>
                <w:b/>
                <w:szCs w:val="21"/>
                <w:highlight w:val="none"/>
              </w:rPr>
            </w:pPr>
          </w:p>
          <w:p w14:paraId="0C8B4F72">
            <w:pPr>
              <w:jc w:val="center"/>
              <w:rPr>
                <w:rFonts w:ascii="Times New Roman" w:hAnsi="Times New Roman" w:eastAsia="宋体" w:cs="Times New Roman"/>
                <w:b/>
                <w:szCs w:val="21"/>
                <w:highlight w:val="none"/>
              </w:rPr>
            </w:pPr>
          </w:p>
          <w:p w14:paraId="784FD942">
            <w:pPr>
              <w:jc w:val="center"/>
              <w:rPr>
                <w:rFonts w:ascii="Times New Roman" w:hAnsi="Times New Roman" w:eastAsia="宋体" w:cs="Times New Roman"/>
                <w:b/>
                <w:szCs w:val="21"/>
                <w:highlight w:val="none"/>
              </w:rPr>
            </w:pPr>
          </w:p>
          <w:p w14:paraId="26496556">
            <w:pPr>
              <w:jc w:val="center"/>
              <w:rPr>
                <w:rFonts w:ascii="Times New Roman" w:hAnsi="Times New Roman" w:eastAsia="宋体" w:cs="Times New Roman"/>
                <w:b/>
                <w:szCs w:val="21"/>
                <w:highlight w:val="none"/>
              </w:rPr>
            </w:pPr>
          </w:p>
          <w:p w14:paraId="6B44291A">
            <w:pPr>
              <w:jc w:val="center"/>
              <w:rPr>
                <w:rFonts w:ascii="Times New Roman" w:hAnsi="Times New Roman" w:eastAsia="宋体" w:cs="Times New Roman"/>
                <w:b/>
                <w:szCs w:val="21"/>
                <w:highlight w:val="none"/>
              </w:rPr>
            </w:pPr>
          </w:p>
          <w:p w14:paraId="2F1F1D11">
            <w:pPr>
              <w:jc w:val="center"/>
              <w:rPr>
                <w:rFonts w:ascii="Times New Roman" w:hAnsi="Times New Roman" w:eastAsia="宋体" w:cs="Times New Roman"/>
                <w:b/>
                <w:szCs w:val="21"/>
                <w:highlight w:val="none"/>
              </w:rPr>
            </w:pPr>
          </w:p>
          <w:p w14:paraId="4BCD1AB8">
            <w:pPr>
              <w:jc w:val="center"/>
              <w:rPr>
                <w:rFonts w:ascii="Times New Roman" w:hAnsi="Times New Roman" w:eastAsia="宋体" w:cs="Times New Roman"/>
                <w:b/>
                <w:szCs w:val="21"/>
                <w:highlight w:val="none"/>
              </w:rPr>
            </w:pPr>
          </w:p>
          <w:p w14:paraId="557EABD5">
            <w:pPr>
              <w:jc w:val="center"/>
              <w:rPr>
                <w:rFonts w:ascii="Times New Roman" w:hAnsi="Times New Roman" w:eastAsia="宋体" w:cs="Times New Roman"/>
                <w:b/>
                <w:szCs w:val="21"/>
                <w:highlight w:val="none"/>
              </w:rPr>
            </w:pPr>
          </w:p>
          <w:p w14:paraId="140D7312">
            <w:pPr>
              <w:jc w:val="center"/>
              <w:rPr>
                <w:rFonts w:ascii="Times New Roman" w:hAnsi="Times New Roman" w:eastAsia="宋体" w:cs="Times New Roman"/>
                <w:b/>
                <w:szCs w:val="21"/>
                <w:highlight w:val="none"/>
              </w:rPr>
            </w:pPr>
          </w:p>
          <w:p w14:paraId="51FA9AEA">
            <w:pPr>
              <w:jc w:val="center"/>
              <w:rPr>
                <w:rFonts w:ascii="Times New Roman" w:hAnsi="Times New Roman" w:eastAsia="宋体" w:cs="Times New Roman"/>
                <w:b/>
                <w:szCs w:val="20"/>
                <w:highlight w:val="none"/>
              </w:rPr>
            </w:pPr>
          </w:p>
        </w:tc>
      </w:tr>
      <w:tr w14:paraId="1C2E86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AA4360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21AF8719">
            <w:pPr>
              <w:jc w:val="center"/>
              <w:rPr>
                <w:rFonts w:ascii="Times New Roman" w:hAnsi="Times New Roman" w:eastAsia="宋体" w:cs="Times New Roman"/>
                <w:b/>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3E1697E7">
            <w:pPr>
              <w:jc w:val="center"/>
              <w:rPr>
                <w:rFonts w:ascii="Times New Roman" w:hAnsi="Times New Roman" w:eastAsia="宋体" w:cs="Times New Roman"/>
                <w:b/>
                <w:szCs w:val="20"/>
                <w:highlight w:val="none"/>
              </w:rPr>
            </w:pPr>
          </w:p>
        </w:tc>
        <w:tc>
          <w:tcPr>
            <w:tcW w:w="1645" w:type="dxa"/>
            <w:tcBorders>
              <w:top w:val="single" w:color="auto" w:sz="4" w:space="0"/>
              <w:left w:val="single" w:color="auto" w:sz="4" w:space="0"/>
              <w:bottom w:val="single" w:color="auto" w:sz="4" w:space="0"/>
            </w:tcBorders>
            <w:vAlign w:val="center"/>
          </w:tcPr>
          <w:p w14:paraId="745A45BE">
            <w:pPr>
              <w:jc w:val="center"/>
              <w:rPr>
                <w:rFonts w:ascii="Times New Roman" w:hAnsi="Times New Roman" w:eastAsia="宋体" w:cs="Times New Roman"/>
                <w:b/>
                <w:szCs w:val="20"/>
                <w:highlight w:val="none"/>
              </w:rPr>
            </w:pPr>
          </w:p>
        </w:tc>
      </w:tr>
    </w:tbl>
    <w:p w14:paraId="2395D3B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授权代表签字：</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日期：</w:t>
      </w:r>
    </w:p>
    <w:p w14:paraId="7854A80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注：为避免歧义，无偏离也应要提报该表，并注明“无”字。如无该表则即使在其它部分已反映，将也被视为“无偏离”。</w:t>
      </w:r>
    </w:p>
    <w:p w14:paraId="7A98F247">
      <w:pPr>
        <w:rPr>
          <w:rFonts w:ascii="宋体" w:hAnsi="Calibri" w:eastAsia="宋体" w:cs="Times New Roman"/>
          <w:szCs w:val="20"/>
          <w:highlight w:val="none"/>
        </w:rPr>
      </w:pPr>
    </w:p>
    <w:p w14:paraId="0E82BB75">
      <w:pPr>
        <w:rPr>
          <w:rFonts w:ascii="宋体" w:hAnsi="Calibri" w:eastAsia="宋体" w:cs="宋体"/>
          <w:b/>
          <w:bCs/>
          <w:color w:val="000000"/>
          <w:sz w:val="28"/>
          <w:szCs w:val="20"/>
          <w:highlight w:val="none"/>
        </w:rPr>
        <w:sectPr>
          <w:pgSz w:w="11906" w:h="16838"/>
          <w:pgMar w:top="1588" w:right="1418" w:bottom="1134" w:left="1418" w:header="851" w:footer="992" w:gutter="0"/>
          <w:cols w:space="720" w:num="1"/>
          <w:titlePg/>
          <w:docGrid w:type="lines" w:linePitch="312" w:charSpace="0"/>
        </w:sectPr>
      </w:pPr>
    </w:p>
    <w:p w14:paraId="0C7E899F">
      <w:pPr>
        <w:spacing w:before="110" w:line="227" w:lineRule="auto"/>
        <w:ind w:left="29"/>
        <w:outlineLvl w:val="2"/>
        <w:rPr>
          <w:rFonts w:ascii="宋体" w:hAnsi="宋体" w:eastAsia="宋体" w:cs="宋体"/>
          <w:sz w:val="24"/>
          <w:szCs w:val="24"/>
          <w:highlight w:val="none"/>
        </w:rPr>
      </w:pPr>
      <w:r>
        <w:rPr>
          <w:rFonts w:hint="eastAsia" w:ascii="Times New Roman" w:hAnsi="Times New Roman" w:eastAsia="宋体" w:cs="Times New Roman"/>
          <w:b/>
          <w:bCs/>
          <w:color w:val="000000"/>
          <w:sz w:val="24"/>
          <w:szCs w:val="24"/>
          <w:highlight w:val="none"/>
        </w:rPr>
        <w:t>附件11 投标人承诺</w:t>
      </w:r>
    </w:p>
    <w:p w14:paraId="183DA972">
      <w:pPr>
        <w:spacing w:line="272" w:lineRule="auto"/>
        <w:rPr>
          <w:rFonts w:ascii="Arial"/>
          <w:highlight w:val="none"/>
        </w:rPr>
      </w:pPr>
    </w:p>
    <w:p w14:paraId="79B24E08">
      <w:pPr>
        <w:spacing w:before="75" w:line="228" w:lineRule="auto"/>
        <w:ind w:left="134"/>
        <w:rPr>
          <w:rFonts w:ascii="宋体" w:hAnsi="宋体" w:eastAsia="宋体" w:cs="宋体"/>
          <w:sz w:val="24"/>
          <w:szCs w:val="24"/>
          <w:highlight w:val="none"/>
        </w:rPr>
      </w:pPr>
      <w:r>
        <w:rPr>
          <w:rFonts w:ascii="宋体" w:hAnsi="宋体" w:eastAsia="宋体" w:cs="宋体"/>
          <w:spacing w:val="-10"/>
          <w:sz w:val="24"/>
          <w:szCs w:val="24"/>
          <w:highlight w:val="none"/>
        </w:rPr>
        <w:t>项</w:t>
      </w:r>
      <w:r>
        <w:rPr>
          <w:rFonts w:ascii="宋体" w:hAnsi="宋体" w:eastAsia="宋体" w:cs="宋体"/>
          <w:spacing w:val="-9"/>
          <w:sz w:val="24"/>
          <w:szCs w:val="24"/>
          <w:highlight w:val="none"/>
        </w:rPr>
        <w:t>目</w:t>
      </w:r>
      <w:r>
        <w:rPr>
          <w:rFonts w:ascii="宋体" w:hAnsi="宋体" w:eastAsia="宋体" w:cs="宋体"/>
          <w:spacing w:val="-5"/>
          <w:sz w:val="24"/>
          <w:szCs w:val="24"/>
          <w:highlight w:val="none"/>
        </w:rPr>
        <w:t>名称：</w:t>
      </w:r>
      <w:r>
        <w:rPr>
          <w:rFonts w:hint="eastAsia" w:ascii="宋体" w:hAnsi="宋体" w:eastAsia="宋体" w:cs="宋体"/>
          <w:sz w:val="24"/>
          <w:szCs w:val="24"/>
          <w:highlight w:val="none"/>
          <w:u w:val="single"/>
          <w:lang w:val="en-US" w:eastAsia="zh-CN"/>
        </w:rPr>
        <w:t>济南发动机厂拉鲁定位装置和台中测量装置开发项目</w:t>
      </w:r>
    </w:p>
    <w:p w14:paraId="6716B88D">
      <w:pPr>
        <w:spacing w:before="306" w:line="227" w:lineRule="auto"/>
        <w:ind w:left="205"/>
        <w:rPr>
          <w:rFonts w:ascii="宋体" w:hAnsi="宋体" w:eastAsia="宋体" w:cs="宋体"/>
          <w:sz w:val="24"/>
          <w:szCs w:val="24"/>
          <w:highlight w:val="none"/>
        </w:rPr>
      </w:pPr>
      <w:r>
        <w:rPr>
          <w:rFonts w:ascii="宋体" w:hAnsi="宋体" w:eastAsia="宋体" w:cs="宋体"/>
          <w:spacing w:val="-4"/>
          <w:sz w:val="24"/>
          <w:szCs w:val="24"/>
          <w:highlight w:val="none"/>
        </w:rPr>
        <w:t xml:space="preserve">日期： </w:t>
      </w:r>
      <w:r>
        <w:rPr>
          <w:rFonts w:ascii="宋体" w:hAnsi="宋体" w:eastAsia="宋体" w:cs="宋体"/>
          <w:spacing w:val="-2"/>
          <w:sz w:val="24"/>
          <w:szCs w:val="24"/>
          <w:highlight w:val="none"/>
        </w:rPr>
        <w:t xml:space="preserve">   年   月   日</w:t>
      </w:r>
    </w:p>
    <w:p w14:paraId="305F5473">
      <w:pPr>
        <w:rPr>
          <w:highlight w:val="none"/>
        </w:rPr>
      </w:pPr>
    </w:p>
    <w:p w14:paraId="06E1E6F0">
      <w:pPr>
        <w:spacing w:line="109" w:lineRule="exact"/>
        <w:rPr>
          <w:highlight w:val="none"/>
        </w:rPr>
      </w:pPr>
    </w:p>
    <w:tbl>
      <w:tblPr>
        <w:tblStyle w:val="12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3FCB78B6">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PrEx>
        <w:trPr>
          <w:trHeight w:val="4186" w:hRule="atLeast"/>
        </w:trPr>
        <w:tc>
          <w:tcPr>
            <w:tcW w:w="9289" w:type="dxa"/>
          </w:tcPr>
          <w:p w14:paraId="5A82A1BA">
            <w:pPr>
              <w:spacing w:before="52" w:line="227" w:lineRule="auto"/>
              <w:ind w:left="128"/>
              <w:rPr>
                <w:rFonts w:ascii="宋体" w:hAnsi="宋体" w:eastAsia="宋体" w:cs="宋体"/>
                <w:sz w:val="24"/>
                <w:szCs w:val="24"/>
                <w:highlight w:val="none"/>
              </w:rPr>
            </w:pPr>
            <w:r>
              <w:rPr>
                <w:rFonts w:ascii="宋体" w:hAnsi="宋体" w:eastAsia="宋体" w:cs="宋体"/>
                <w:spacing w:val="5"/>
                <w:sz w:val="24"/>
                <w:szCs w:val="24"/>
                <w:highlight w:val="none"/>
              </w:rPr>
              <w:t>投</w:t>
            </w:r>
            <w:r>
              <w:rPr>
                <w:rFonts w:ascii="宋体" w:hAnsi="宋体" w:eastAsia="宋体" w:cs="宋体"/>
                <w:spacing w:val="3"/>
                <w:sz w:val="24"/>
                <w:szCs w:val="24"/>
                <w:highlight w:val="none"/>
              </w:rPr>
              <w:t>标人承诺：</w:t>
            </w:r>
          </w:p>
          <w:p w14:paraId="1ABDCC3A">
            <w:pPr>
              <w:spacing w:before="48" w:line="391" w:lineRule="auto"/>
              <w:ind w:left="125" w:right="115" w:firstLine="491"/>
              <w:rPr>
                <w:rFonts w:ascii="宋体" w:hAnsi="宋体" w:eastAsia="宋体" w:cs="宋体"/>
                <w:sz w:val="23"/>
                <w:szCs w:val="23"/>
                <w:highlight w:val="none"/>
              </w:rPr>
            </w:pPr>
            <w:r>
              <w:rPr>
                <w:rFonts w:ascii="宋体" w:hAnsi="宋体" w:eastAsia="宋体" w:cs="宋体"/>
                <w:spacing w:val="38"/>
                <w:sz w:val="24"/>
                <w:szCs w:val="24"/>
                <w:highlight w:val="none"/>
              </w:rPr>
              <w:t>我</w:t>
            </w:r>
            <w:r>
              <w:rPr>
                <w:rFonts w:ascii="宋体" w:hAnsi="宋体" w:eastAsia="宋体" w:cs="宋体"/>
                <w:spacing w:val="21"/>
                <w:sz w:val="24"/>
                <w:szCs w:val="24"/>
                <w:highlight w:val="none"/>
              </w:rPr>
              <w:t>公司承诺遵守贵公司由于招标人公司政策变化引起的随时终止项目的要求并</w:t>
            </w:r>
            <w:r>
              <w:rPr>
                <w:rFonts w:ascii="宋体" w:hAnsi="宋体" w:eastAsia="宋体" w:cs="宋体"/>
                <w:spacing w:val="12"/>
                <w:sz w:val="24"/>
                <w:szCs w:val="24"/>
                <w:highlight w:val="none"/>
              </w:rPr>
              <w:t>承</w:t>
            </w:r>
            <w:r>
              <w:rPr>
                <w:rFonts w:ascii="宋体" w:hAnsi="宋体" w:eastAsia="宋体" w:cs="宋体"/>
                <w:spacing w:val="6"/>
                <w:sz w:val="24"/>
                <w:szCs w:val="24"/>
                <w:highlight w:val="none"/>
              </w:rPr>
              <w:t>担由此带来的一切损失</w:t>
            </w:r>
            <w:r>
              <w:rPr>
                <w:rFonts w:ascii="宋体" w:hAnsi="宋体" w:eastAsia="宋体" w:cs="宋体"/>
                <w:spacing w:val="6"/>
                <w:sz w:val="23"/>
                <w:szCs w:val="23"/>
                <w:highlight w:val="none"/>
              </w:rPr>
              <w:t>。</w:t>
            </w:r>
          </w:p>
        </w:tc>
      </w:tr>
    </w:tbl>
    <w:p w14:paraId="3566A0A4">
      <w:pPr>
        <w:keepNext/>
        <w:keepLines/>
        <w:rPr>
          <w:rFonts w:ascii="Times New Roman" w:hAnsi="Times New Roman" w:eastAsia="宋体" w:cs="Times New Roman"/>
          <w:b/>
          <w:bCs/>
          <w:color w:val="000000"/>
          <w:sz w:val="24"/>
          <w:szCs w:val="24"/>
          <w:highlight w:val="none"/>
        </w:rPr>
      </w:pPr>
    </w:p>
    <w:p w14:paraId="5C8276FF">
      <w:pPr>
        <w:spacing w:before="75" w:line="227" w:lineRule="auto"/>
        <w:ind w:left="135"/>
        <w:rPr>
          <w:rFonts w:ascii="宋体" w:hAnsi="宋体" w:eastAsia="宋体" w:cs="宋体"/>
          <w:spacing w:val="-2"/>
          <w:sz w:val="24"/>
          <w:szCs w:val="24"/>
          <w:highlight w:val="none"/>
        </w:rPr>
      </w:pPr>
    </w:p>
    <w:p w14:paraId="4C31DDB3">
      <w:pPr>
        <w:spacing w:before="75" w:line="227" w:lineRule="auto"/>
        <w:ind w:left="135"/>
        <w:rPr>
          <w:rFonts w:ascii="宋体" w:hAnsi="宋体" w:eastAsia="宋体" w:cs="宋体"/>
          <w:spacing w:val="-2"/>
          <w:sz w:val="24"/>
          <w:szCs w:val="24"/>
          <w:highlight w:val="none"/>
        </w:rPr>
      </w:pPr>
    </w:p>
    <w:p w14:paraId="3C9C4D74">
      <w:pPr>
        <w:spacing w:before="75" w:line="227" w:lineRule="auto"/>
        <w:ind w:left="135"/>
        <w:rPr>
          <w:rFonts w:eastAsia="宋体"/>
          <w:sz w:val="24"/>
          <w:szCs w:val="24"/>
          <w:highlight w:val="none"/>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highlight w:val="none"/>
        </w:rPr>
        <w:t>投标人名称 (盖章)：                法定代表人或授权代表(签字</w:t>
      </w:r>
      <w:r>
        <w:rPr>
          <w:rFonts w:ascii="宋体" w:hAnsi="宋体" w:eastAsia="宋体" w:cs="宋体"/>
          <w:sz w:val="24"/>
          <w:szCs w:val="24"/>
          <w:highlight w:val="none"/>
        </w:rPr>
        <w:t>)</w:t>
      </w:r>
      <w:r>
        <w:rPr>
          <w:rFonts w:hint="eastAsia" w:ascii="宋体" w:hAnsi="宋体" w:eastAsia="宋体" w:cs="宋体"/>
          <w:sz w:val="24"/>
          <w:szCs w:val="24"/>
          <w:highlight w:val="none"/>
        </w:rPr>
        <w:t>：</w:t>
      </w:r>
    </w:p>
    <w:p w14:paraId="673DB6C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附件12</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服务承诺函</w:t>
      </w:r>
    </w:p>
    <w:p w14:paraId="4E9D4927">
      <w:pPr>
        <w:spacing w:line="240" w:lineRule="exact"/>
        <w:jc w:val="center"/>
        <w:rPr>
          <w:rFonts w:ascii="宋体" w:hAnsi="Calibri" w:eastAsia="宋体" w:cs="Times New Roman"/>
          <w:b/>
          <w:bCs/>
          <w:sz w:val="36"/>
          <w:szCs w:val="20"/>
          <w:highlight w:val="none"/>
        </w:rPr>
      </w:pPr>
    </w:p>
    <w:p w14:paraId="4494C35D">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p>
    <w:p w14:paraId="170187A3">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29890692">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hint="eastAsia" w:ascii="宋体" w:hAnsi="宋体" w:eastAsia="宋体" w:cs="Times New Roman"/>
          <w:sz w:val="24"/>
          <w:szCs w:val="20"/>
          <w:highlight w:val="none"/>
          <w:lang w:eastAsia="zh-CN"/>
        </w:rPr>
        <w:t>投标人</w:t>
      </w:r>
      <w:r>
        <w:rPr>
          <w:rFonts w:hint="eastAsia" w:ascii="宋体" w:hAnsi="宋体" w:eastAsia="宋体" w:cs="Times New Roman"/>
          <w:sz w:val="24"/>
          <w:szCs w:val="20"/>
          <w:highlight w:val="none"/>
        </w:rPr>
        <w:t>名称）对中标合同产品的服务作如下承诺：</w:t>
      </w:r>
    </w:p>
    <w:p w14:paraId="5A0E2E2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C378FF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80BED2B">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AEB8F3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CF09BB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8ACA23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61A3B8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853E66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2FB9A6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68CB93B">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F8E6C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EAD4EE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D21F24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2D97B4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D1C9EC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E52C6A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1F1E6CB">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A8B02B6">
      <w:pPr>
        <w:spacing w:line="360" w:lineRule="auto"/>
        <w:ind w:firstLine="480" w:firstLineChars="200"/>
        <w:rPr>
          <w:rFonts w:ascii="宋体" w:hAnsi="宋体" w:eastAsia="宋体" w:cs="Times New Roman"/>
          <w:sz w:val="24"/>
          <w:szCs w:val="20"/>
          <w:highlight w:val="none"/>
          <w:u w:val="single"/>
        </w:rPr>
      </w:pPr>
    </w:p>
    <w:p w14:paraId="049A6A3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1F9E8BB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7CA6C1F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321D1933">
      <w:pPr>
        <w:rPr>
          <w:rFonts w:ascii="宋体" w:hAnsi="Calibri" w:eastAsia="宋体" w:cs="宋体"/>
          <w:b/>
          <w:bCs/>
          <w:color w:val="000000"/>
          <w:sz w:val="28"/>
          <w:szCs w:val="20"/>
          <w:highlight w:val="none"/>
        </w:rPr>
      </w:pPr>
    </w:p>
    <w:p w14:paraId="128588AB">
      <w:pPr>
        <w:pStyle w:val="17"/>
        <w:rPr>
          <w:rFonts w:hAnsi="Calibri" w:eastAsia="宋体" w:cs="宋体"/>
          <w:b/>
          <w:bCs/>
          <w:color w:val="000000"/>
          <w:sz w:val="28"/>
          <w:szCs w:val="20"/>
          <w:highlight w:val="none"/>
        </w:rPr>
      </w:pPr>
    </w:p>
    <w:p w14:paraId="36E6FF08">
      <w:pPr>
        <w:rPr>
          <w:rFonts w:ascii="宋体" w:hAnsi="Calibri" w:eastAsia="宋体" w:cs="宋体"/>
          <w:b/>
          <w:bCs/>
          <w:color w:val="000000"/>
          <w:sz w:val="28"/>
          <w:szCs w:val="20"/>
          <w:highlight w:val="none"/>
        </w:rPr>
      </w:pPr>
    </w:p>
    <w:p w14:paraId="2D7BFCE2">
      <w:pPr>
        <w:outlineLvl w:val="2"/>
        <w:rPr>
          <w:rFonts w:ascii="Calibri" w:hAnsi="Calibri" w:eastAsia="宋体" w:cs="Times New Roman"/>
          <w:szCs w:val="20"/>
          <w:highlight w:val="none"/>
        </w:rPr>
      </w:pPr>
      <w:r>
        <w:rPr>
          <w:rFonts w:ascii="Calibri" w:hAnsi="Calibri" w:eastAsia="宋体" w:cs="Times New Roman"/>
          <w:szCs w:val="20"/>
          <w:highlight w:val="none"/>
        </w:rPr>
        <w:br w:type="page"/>
      </w:r>
      <w:r>
        <w:rPr>
          <w:rFonts w:hint="eastAsia" w:ascii="Times New Roman" w:hAnsi="Times New Roman" w:eastAsia="宋体" w:cs="Times New Roman"/>
          <w:b/>
          <w:bCs/>
          <w:color w:val="000000"/>
          <w:sz w:val="24"/>
          <w:szCs w:val="24"/>
          <w:highlight w:val="none"/>
        </w:rPr>
        <w:t>附件13 投标文件封面及封口格式</w:t>
      </w:r>
    </w:p>
    <w:p w14:paraId="6B1FB6D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82B4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CBB51F6">
            <w:pPr>
              <w:jc w:val="center"/>
              <w:rPr>
                <w:rFonts w:ascii="Times New Roman" w:hAnsi="Times New Roman" w:eastAsia="宋体" w:cs="Times New Roman"/>
                <w:b/>
                <w:szCs w:val="20"/>
                <w:highlight w:val="none"/>
              </w:rPr>
            </w:pPr>
          </w:p>
          <w:p w14:paraId="574FEF9F">
            <w:pPr>
              <w:jc w:val="center"/>
              <w:rPr>
                <w:rFonts w:ascii="宋体" w:hAnsi="Times New Roman" w:eastAsia="宋体" w:cs="宋体"/>
                <w:b/>
                <w:sz w:val="30"/>
                <w:szCs w:val="30"/>
                <w:highlight w:val="none"/>
              </w:rPr>
            </w:pPr>
            <w:r>
              <w:rPr>
                <w:rFonts w:hint="eastAsia" w:ascii="宋体" w:hAnsi="宋体" w:eastAsia="宋体" w:cs="宋体"/>
                <w:b/>
                <w:sz w:val="30"/>
                <w:szCs w:val="30"/>
                <w:highlight w:val="none"/>
              </w:rPr>
              <w:t>技术</w:t>
            </w:r>
            <w:r>
              <w:rPr>
                <w:rFonts w:ascii="宋体" w:hAnsi="宋体" w:eastAsia="宋体" w:cs="宋体"/>
                <w:b/>
                <w:sz w:val="30"/>
                <w:szCs w:val="30"/>
                <w:highlight w:val="none"/>
              </w:rPr>
              <w:t>/</w:t>
            </w:r>
            <w:r>
              <w:rPr>
                <w:rFonts w:hint="eastAsia" w:ascii="宋体" w:hAnsi="宋体" w:eastAsia="宋体" w:cs="宋体"/>
                <w:b/>
                <w:sz w:val="30"/>
                <w:szCs w:val="30"/>
                <w:highlight w:val="none"/>
              </w:rPr>
              <w:t>资质</w:t>
            </w:r>
            <w:r>
              <w:rPr>
                <w:rFonts w:ascii="宋体" w:hAnsi="宋体" w:eastAsia="宋体" w:cs="宋体"/>
                <w:b/>
                <w:sz w:val="30"/>
                <w:szCs w:val="30"/>
                <w:highlight w:val="none"/>
              </w:rPr>
              <w:t>/</w:t>
            </w:r>
            <w:r>
              <w:rPr>
                <w:rFonts w:hint="eastAsia" w:ascii="宋体" w:hAnsi="宋体" w:eastAsia="宋体" w:cs="宋体"/>
                <w:b/>
                <w:sz w:val="30"/>
                <w:szCs w:val="30"/>
                <w:highlight w:val="none"/>
              </w:rPr>
              <w:t>商务文件</w:t>
            </w:r>
          </w:p>
          <w:p w14:paraId="772E4F4C">
            <w:pPr>
              <w:rPr>
                <w:rFonts w:ascii="Times New Roman" w:hAnsi="Times New Roman" w:eastAsia="等线" w:cs="Times New Roman"/>
                <w:b/>
                <w:sz w:val="30"/>
                <w:szCs w:val="30"/>
                <w:highlight w:val="none"/>
              </w:rPr>
            </w:pPr>
          </w:p>
          <w:p w14:paraId="7D3C49FA">
            <w:pPr>
              <w:jc w:val="center"/>
              <w:rPr>
                <w:rFonts w:ascii="Times New Roman" w:hAnsi="Times New Roman" w:eastAsia="宋体" w:cs="Times New Roman"/>
                <w:b/>
                <w:sz w:val="30"/>
                <w:szCs w:val="30"/>
                <w:highlight w:val="none"/>
              </w:rPr>
            </w:pPr>
            <w:r>
              <w:rPr>
                <w:rFonts w:hint="eastAsia" w:ascii="宋体" w:hAnsi="宋体" w:eastAsia="宋体" w:cs="宋体"/>
                <w:b/>
                <w:sz w:val="30"/>
                <w:szCs w:val="30"/>
                <w:highlight w:val="none"/>
              </w:rPr>
              <w:t>（</w:t>
            </w:r>
            <w:r>
              <w:rPr>
                <w:rFonts w:ascii="等线" w:hAnsi="等线" w:eastAsia="等线" w:cs="Times New Roman"/>
                <w:b/>
                <w:sz w:val="30"/>
                <w:szCs w:val="30"/>
                <w:highlight w:val="none"/>
              </w:rPr>
              <w:t>1</w:t>
            </w:r>
            <w:r>
              <w:rPr>
                <w:rFonts w:hint="eastAsia" w:ascii="宋体" w:hAnsi="宋体" w:eastAsia="宋体" w:cs="宋体"/>
                <w:b/>
                <w:sz w:val="30"/>
                <w:szCs w:val="30"/>
                <w:highlight w:val="none"/>
              </w:rPr>
              <w:t>正本）</w:t>
            </w:r>
          </w:p>
          <w:p w14:paraId="380FBB22">
            <w:pPr>
              <w:jc w:val="center"/>
              <w:rPr>
                <w:rFonts w:ascii="Times New Roman" w:hAnsi="Times New Roman" w:eastAsia="宋体" w:cs="Times New Roman"/>
                <w:b/>
                <w:szCs w:val="20"/>
                <w:highlight w:val="none"/>
              </w:rPr>
            </w:pPr>
          </w:p>
          <w:p w14:paraId="74F8FAD4">
            <w:pPr>
              <w:jc w:val="center"/>
              <w:rPr>
                <w:rFonts w:ascii="Times New Roman" w:hAnsi="Times New Roman" w:eastAsia="宋体" w:cs="Times New Roman"/>
                <w:b/>
                <w:szCs w:val="20"/>
                <w:highlight w:val="none"/>
              </w:rPr>
            </w:pPr>
          </w:p>
          <w:p w14:paraId="004BEF1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项目名称：</w:t>
            </w:r>
            <w:r>
              <w:rPr>
                <w:rFonts w:hint="eastAsia" w:ascii="宋体" w:hAnsi="宋体" w:eastAsia="宋体" w:cs="宋体"/>
                <w:sz w:val="24"/>
                <w:szCs w:val="24"/>
                <w:highlight w:val="none"/>
                <w:u w:val="single"/>
                <w:lang w:val="en-US" w:eastAsia="zh-CN"/>
              </w:rPr>
              <w:t>济南发动机厂拉鲁定位装置和台中测量装置开发项目</w:t>
            </w:r>
          </w:p>
          <w:p w14:paraId="03E64A2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投标人名称（公章）：</w:t>
            </w:r>
          </w:p>
          <w:p w14:paraId="00729A3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地址：</w:t>
            </w:r>
          </w:p>
          <w:p w14:paraId="4099D29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授权代表电话：</w:t>
            </w:r>
          </w:p>
          <w:p w14:paraId="0DE991F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传真：</w:t>
            </w:r>
          </w:p>
          <w:p w14:paraId="3B1C3EF1">
            <w:pPr>
              <w:jc w:val="center"/>
              <w:rPr>
                <w:rFonts w:ascii="Times New Roman" w:hAnsi="Times New Roman" w:eastAsia="宋体" w:cs="Times New Roman"/>
                <w:b/>
                <w:szCs w:val="20"/>
                <w:highlight w:val="none"/>
              </w:rPr>
            </w:pPr>
          </w:p>
          <w:p w14:paraId="3F49A433">
            <w:pPr>
              <w:jc w:val="center"/>
              <w:rPr>
                <w:rFonts w:ascii="Times New Roman" w:hAnsi="Times New Roman" w:eastAsia="宋体" w:cs="Times New Roman"/>
                <w:b/>
                <w:szCs w:val="20"/>
                <w:highlight w:val="none"/>
              </w:rPr>
            </w:pPr>
          </w:p>
        </w:tc>
      </w:tr>
    </w:tbl>
    <w:p w14:paraId="76130F5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授权代表签字：</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日期：</w:t>
      </w:r>
    </w:p>
    <w:p w14:paraId="71945B3D">
      <w:pPr>
        <w:pStyle w:val="17"/>
        <w:rPr>
          <w:highlight w:val="none"/>
        </w:rPr>
      </w:pPr>
    </w:p>
    <w:p w14:paraId="6F64128C">
      <w:pPr>
        <w:jc w:val="right"/>
        <w:rPr>
          <w:rFonts w:asciiTheme="minorEastAsia" w:hAnsiTheme="minorEastAsia" w:cstheme="minorEastAsia"/>
          <w:sz w:val="20"/>
          <w:szCs w:val="20"/>
          <w:highlight w:val="none"/>
        </w:rPr>
      </w:pPr>
    </w:p>
    <w:p w14:paraId="3A7B69A3">
      <w:pPr>
        <w:jc w:val="right"/>
        <w:rPr>
          <w:rFonts w:asciiTheme="minorEastAsia" w:hAnsiTheme="minorEastAsia" w:cstheme="minorEastAsia"/>
          <w:sz w:val="20"/>
          <w:szCs w:val="20"/>
          <w:highlight w:val="none"/>
        </w:rPr>
      </w:pPr>
    </w:p>
    <w:p w14:paraId="6ABEDC7D">
      <w:pPr>
        <w:rPr>
          <w:highlight w:val="none"/>
        </w:r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5777DE26">
      <w:pPr>
        <w:adjustRightInd/>
        <w:snapToGrid/>
        <w:spacing w:line="240" w:lineRule="auto"/>
        <w:ind w:firstLine="0" w:firstLineChars="0"/>
        <w:outlineLvl w:val="2"/>
        <w:rPr>
          <w:rFonts w:hint="eastAsia"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w:t>
      </w:r>
      <w:r>
        <w:rPr>
          <w:rFonts w:hint="eastAsia" w:ascii="Times New Roman" w:hAnsi="Times New Roman" w:eastAsia="宋体" w:cs="Times New Roman"/>
          <w:b/>
          <w:bCs/>
          <w:color w:val="000000"/>
          <w:sz w:val="24"/>
          <w:szCs w:val="24"/>
          <w:highlight w:val="none"/>
          <w:lang w:val="en-US" w:eastAsia="zh-CN"/>
        </w:rPr>
        <w:t>4技术标</w:t>
      </w:r>
      <w:r>
        <w:rPr>
          <w:rFonts w:hint="eastAsia" w:ascii="Times New Roman" w:hAnsi="Times New Roman" w:eastAsia="宋体" w:cs="Times New Roman"/>
          <w:b/>
          <w:bCs/>
          <w:color w:val="000000"/>
          <w:sz w:val="24"/>
          <w:szCs w:val="24"/>
          <w:highlight w:val="none"/>
        </w:rPr>
        <w:t>评分标准</w:t>
      </w:r>
    </w:p>
    <w:p w14:paraId="600D09BF">
      <w:pPr>
        <w:rPr>
          <w:rFonts w:hint="eastAsia" w:ascii="宋体" w:hAnsi="宋体" w:eastAsia="宋体" w:cs="Times New Roman"/>
          <w:b/>
          <w:bCs/>
          <w:sz w:val="24"/>
          <w:szCs w:val="24"/>
          <w:highlight w:val="none"/>
        </w:rPr>
      </w:pPr>
    </w:p>
    <w:tbl>
      <w:tblPr>
        <w:tblStyle w:val="36"/>
        <w:tblW w:w="13767" w:type="dxa"/>
        <w:jc w:val="center"/>
        <w:tblLayout w:type="fixed"/>
        <w:tblCellMar>
          <w:top w:w="0" w:type="dxa"/>
          <w:left w:w="108" w:type="dxa"/>
          <w:bottom w:w="0" w:type="dxa"/>
          <w:right w:w="108" w:type="dxa"/>
        </w:tblCellMar>
      </w:tblPr>
      <w:tblGrid>
        <w:gridCol w:w="593"/>
        <w:gridCol w:w="4148"/>
        <w:gridCol w:w="837"/>
        <w:gridCol w:w="8188"/>
      </w:tblGrid>
      <w:tr w14:paraId="2CC36042">
        <w:tblPrEx>
          <w:tblCellMar>
            <w:top w:w="0" w:type="dxa"/>
            <w:left w:w="108" w:type="dxa"/>
            <w:bottom w:w="0" w:type="dxa"/>
            <w:right w:w="108" w:type="dxa"/>
          </w:tblCellMar>
        </w:tblPrEx>
        <w:trPr>
          <w:cantSplit/>
          <w:trHeight w:val="129" w:hRule="atLeast"/>
          <w:jc w:val="center"/>
        </w:trPr>
        <w:tc>
          <w:tcPr>
            <w:tcW w:w="593" w:type="dxa"/>
            <w:tcBorders>
              <w:top w:val="single" w:color="000000" w:sz="4" w:space="0"/>
              <w:left w:val="single" w:color="000000" w:sz="4" w:space="0"/>
              <w:bottom w:val="single" w:color="000000" w:sz="4" w:space="0"/>
              <w:right w:val="single" w:color="000000" w:sz="4" w:space="0"/>
            </w:tcBorders>
            <w:vAlign w:val="center"/>
          </w:tcPr>
          <w:p w14:paraId="6C7FBF61">
            <w:pPr>
              <w:widowControl w:val="0"/>
              <w:tabs>
                <w:tab w:val="left" w:pos="13965"/>
              </w:tabs>
              <w:spacing w:before="0" w:after="0" w:line="360" w:lineRule="auto"/>
              <w:ind w:right="-6" w:firstLine="0"/>
              <w:jc w:val="center"/>
              <w:rPr>
                <w:rFonts w:ascii="宋体" w:hAnsi="宋体" w:eastAsia="宋体" w:cs="Times New Roman"/>
                <w:b/>
                <w:sz w:val="18"/>
                <w:szCs w:val="18"/>
                <w:highlight w:val="none"/>
              </w:rPr>
            </w:pPr>
            <w:r>
              <w:rPr>
                <w:rFonts w:ascii="宋体" w:hAnsi="宋体" w:eastAsia="宋体" w:cs="Times New Roman"/>
                <w:b/>
                <w:sz w:val="18"/>
                <w:szCs w:val="18"/>
                <w:highlight w:val="none"/>
              </w:rPr>
              <w:t>序号</w:t>
            </w:r>
          </w:p>
        </w:tc>
        <w:tc>
          <w:tcPr>
            <w:tcW w:w="4148" w:type="dxa"/>
            <w:tcBorders>
              <w:top w:val="single" w:color="000000" w:sz="4" w:space="0"/>
              <w:left w:val="single" w:color="000000" w:sz="4" w:space="0"/>
              <w:bottom w:val="single" w:color="000000" w:sz="4" w:space="0"/>
              <w:right w:val="single" w:color="000000" w:sz="4" w:space="0"/>
            </w:tcBorders>
            <w:vAlign w:val="center"/>
          </w:tcPr>
          <w:p w14:paraId="36E98B37">
            <w:pPr>
              <w:widowControl w:val="0"/>
              <w:tabs>
                <w:tab w:val="left" w:pos="13965"/>
              </w:tabs>
              <w:spacing w:before="0" w:after="0" w:line="360" w:lineRule="auto"/>
              <w:ind w:right="-6" w:firstLine="0"/>
              <w:jc w:val="center"/>
              <w:rPr>
                <w:rFonts w:ascii="宋体" w:hAnsi="宋体" w:eastAsia="宋体" w:cs="Times New Roman"/>
                <w:b/>
                <w:sz w:val="18"/>
                <w:szCs w:val="18"/>
                <w:highlight w:val="none"/>
              </w:rPr>
            </w:pPr>
            <w:r>
              <w:rPr>
                <w:rFonts w:ascii="宋体" w:hAnsi="宋体" w:eastAsia="宋体" w:cs="Times New Roman"/>
                <w:b/>
                <w:sz w:val="18"/>
                <w:szCs w:val="18"/>
                <w:highlight w:val="none"/>
              </w:rPr>
              <w:t>内   容</w:t>
            </w:r>
          </w:p>
        </w:tc>
        <w:tc>
          <w:tcPr>
            <w:tcW w:w="837" w:type="dxa"/>
            <w:tcBorders>
              <w:top w:val="single" w:color="000000" w:sz="4" w:space="0"/>
              <w:left w:val="single" w:color="000000" w:sz="4" w:space="0"/>
              <w:bottom w:val="single" w:color="000000" w:sz="4" w:space="0"/>
              <w:right w:val="single" w:color="000000" w:sz="4" w:space="0"/>
            </w:tcBorders>
            <w:vAlign w:val="center"/>
          </w:tcPr>
          <w:p w14:paraId="79650AFC">
            <w:pPr>
              <w:widowControl w:val="0"/>
              <w:tabs>
                <w:tab w:val="left" w:pos="13965"/>
              </w:tabs>
              <w:spacing w:before="0" w:after="0" w:line="360" w:lineRule="auto"/>
              <w:ind w:right="-6" w:firstLine="0"/>
              <w:jc w:val="center"/>
              <w:rPr>
                <w:rFonts w:ascii="宋体" w:hAnsi="宋体" w:eastAsia="宋体" w:cs="Times New Roman"/>
                <w:b/>
                <w:sz w:val="18"/>
                <w:szCs w:val="18"/>
                <w:highlight w:val="none"/>
              </w:rPr>
            </w:pPr>
            <w:r>
              <w:rPr>
                <w:rFonts w:ascii="宋体" w:hAnsi="宋体" w:eastAsia="宋体" w:cs="Times New Roman"/>
                <w:b/>
                <w:sz w:val="18"/>
                <w:szCs w:val="18"/>
                <w:highlight w:val="none"/>
              </w:rPr>
              <w:t>标准分</w:t>
            </w:r>
          </w:p>
        </w:tc>
        <w:tc>
          <w:tcPr>
            <w:tcW w:w="8188" w:type="dxa"/>
            <w:tcBorders>
              <w:top w:val="single" w:color="000000" w:sz="4" w:space="0"/>
              <w:left w:val="single" w:color="000000" w:sz="4" w:space="0"/>
              <w:bottom w:val="single" w:color="000000" w:sz="4" w:space="0"/>
              <w:right w:val="single" w:color="000000" w:sz="4" w:space="0"/>
            </w:tcBorders>
            <w:vAlign w:val="center"/>
          </w:tcPr>
          <w:p w14:paraId="618F1591">
            <w:pPr>
              <w:widowControl w:val="0"/>
              <w:tabs>
                <w:tab w:val="left" w:pos="13965"/>
              </w:tabs>
              <w:spacing w:before="0" w:after="0" w:line="360" w:lineRule="auto"/>
              <w:ind w:right="-6" w:firstLine="0"/>
              <w:jc w:val="center"/>
              <w:rPr>
                <w:rFonts w:ascii="宋体" w:hAnsi="宋体" w:eastAsia="宋体" w:cs="Times New Roman"/>
                <w:b/>
                <w:sz w:val="18"/>
                <w:szCs w:val="18"/>
                <w:highlight w:val="none"/>
              </w:rPr>
            </w:pPr>
            <w:r>
              <w:rPr>
                <w:rFonts w:ascii="宋体" w:hAnsi="宋体" w:eastAsia="宋体" w:cs="Times New Roman"/>
                <w:b/>
                <w:sz w:val="18"/>
                <w:szCs w:val="18"/>
                <w:highlight w:val="none"/>
              </w:rPr>
              <w:t>评分标准</w:t>
            </w:r>
          </w:p>
        </w:tc>
      </w:tr>
      <w:tr w14:paraId="2245E1DD">
        <w:tblPrEx>
          <w:tblCellMar>
            <w:top w:w="0" w:type="dxa"/>
            <w:left w:w="108" w:type="dxa"/>
            <w:bottom w:w="0" w:type="dxa"/>
            <w:right w:w="108" w:type="dxa"/>
          </w:tblCellMar>
        </w:tblPrEx>
        <w:trPr>
          <w:cantSplit/>
          <w:trHeight w:val="192" w:hRule="atLeast"/>
          <w:jc w:val="center"/>
        </w:trPr>
        <w:tc>
          <w:tcPr>
            <w:tcW w:w="593" w:type="dxa"/>
            <w:tcBorders>
              <w:top w:val="single" w:color="000000" w:sz="4" w:space="0"/>
              <w:left w:val="single" w:color="000000" w:sz="4" w:space="0"/>
              <w:bottom w:val="single" w:color="000000" w:sz="4" w:space="0"/>
              <w:right w:val="single" w:color="000000" w:sz="4" w:space="0"/>
            </w:tcBorders>
            <w:vAlign w:val="center"/>
          </w:tcPr>
          <w:p w14:paraId="05FADA91">
            <w:pPr>
              <w:widowControl w:val="0"/>
              <w:spacing w:before="0" w:after="0" w:line="420" w:lineRule="exact"/>
              <w:jc w:val="center"/>
              <w:rPr>
                <w:rFonts w:ascii="宋体" w:hAnsi="宋体" w:eastAsia="宋体" w:cs="宋体"/>
                <w:szCs w:val="21"/>
                <w:highlight w:val="none"/>
                <w:lang w:eastAsia="zh-CN"/>
              </w:rPr>
            </w:pPr>
            <w:r>
              <w:rPr>
                <w:rFonts w:ascii="宋体" w:hAnsi="宋体" w:eastAsia="宋体" w:cs="宋体"/>
                <w:szCs w:val="21"/>
                <w:highlight w:val="none"/>
                <w:lang w:val="en-US" w:eastAsia="zh-CN"/>
              </w:rPr>
              <w:t>1</w:t>
            </w:r>
          </w:p>
        </w:tc>
        <w:tc>
          <w:tcPr>
            <w:tcW w:w="4148" w:type="dxa"/>
            <w:tcBorders>
              <w:top w:val="single" w:color="000000" w:sz="4" w:space="0"/>
              <w:left w:val="single" w:color="000000" w:sz="4" w:space="0"/>
              <w:bottom w:val="single" w:color="000000" w:sz="4" w:space="0"/>
              <w:right w:val="single" w:color="000000" w:sz="4" w:space="0"/>
            </w:tcBorders>
            <w:vAlign w:val="center"/>
          </w:tcPr>
          <w:p w14:paraId="41E021D9">
            <w:pPr>
              <w:widowControl w:val="0"/>
              <w:spacing w:before="0" w:after="0" w:line="420" w:lineRule="exact"/>
              <w:rPr>
                <w:rFonts w:ascii="宋体" w:hAnsi="宋体" w:eastAsia="宋体" w:cs="宋体"/>
                <w:bCs/>
                <w:szCs w:val="21"/>
                <w:highlight w:val="none"/>
              </w:rPr>
            </w:pPr>
            <w:r>
              <w:rPr>
                <w:rFonts w:ascii="宋体" w:hAnsi="宋体" w:eastAsia="宋体" w:cs="宋体"/>
                <w:bCs/>
                <w:szCs w:val="21"/>
                <w:highlight w:val="none"/>
              </w:rPr>
              <w:t>产品方案技术先进、各系统完善、性能可靠，设备主要核心部件，具备自身技术优势</w:t>
            </w:r>
          </w:p>
        </w:tc>
        <w:tc>
          <w:tcPr>
            <w:tcW w:w="837" w:type="dxa"/>
            <w:tcBorders>
              <w:top w:val="single" w:color="000000" w:sz="4" w:space="0"/>
              <w:left w:val="single" w:color="000000" w:sz="4" w:space="0"/>
              <w:bottom w:val="single" w:color="000000" w:sz="4" w:space="0"/>
              <w:right w:val="single" w:color="000000" w:sz="4" w:space="0"/>
            </w:tcBorders>
            <w:vAlign w:val="center"/>
          </w:tcPr>
          <w:p w14:paraId="73F24754">
            <w:pPr>
              <w:widowControl w:val="0"/>
              <w:spacing w:before="0" w:after="0" w:line="420" w:lineRule="exact"/>
              <w:jc w:val="center"/>
              <w:rPr>
                <w:rFonts w:ascii="宋体" w:hAnsi="宋体" w:eastAsia="宋体" w:cs="宋体"/>
                <w:szCs w:val="21"/>
                <w:highlight w:val="none"/>
                <w:lang w:val="en-US" w:eastAsia="zh-CN"/>
              </w:rPr>
            </w:pPr>
            <w:r>
              <w:rPr>
                <w:rFonts w:ascii="宋体" w:hAnsi="宋体" w:eastAsia="宋体" w:cs="宋体"/>
                <w:szCs w:val="21"/>
                <w:highlight w:val="none"/>
                <w:lang w:val="en-US" w:eastAsia="zh-CN"/>
              </w:rPr>
              <w:t>40</w:t>
            </w:r>
          </w:p>
        </w:tc>
        <w:tc>
          <w:tcPr>
            <w:tcW w:w="8188" w:type="dxa"/>
            <w:tcBorders>
              <w:top w:val="single" w:color="000000" w:sz="4" w:space="0"/>
              <w:left w:val="single" w:color="000000" w:sz="4" w:space="0"/>
              <w:bottom w:val="single" w:color="000000" w:sz="4" w:space="0"/>
              <w:right w:val="single" w:color="000000" w:sz="4" w:space="0"/>
            </w:tcBorders>
            <w:vAlign w:val="center"/>
          </w:tcPr>
          <w:p w14:paraId="52B64C33">
            <w:pPr>
              <w:widowControl w:val="0"/>
              <w:spacing w:before="0" w:after="0" w:line="420" w:lineRule="exact"/>
              <w:rPr>
                <w:rFonts w:ascii="宋体" w:hAnsi="宋体" w:eastAsia="宋体" w:cs="宋体"/>
                <w:szCs w:val="21"/>
                <w:highlight w:val="none"/>
                <w:lang w:val="en-US" w:eastAsia="zh-CN"/>
              </w:rPr>
            </w:pPr>
            <w:r>
              <w:rPr>
                <w:rFonts w:ascii="宋体" w:hAnsi="宋体" w:eastAsia="宋体" w:cs="宋体"/>
                <w:highlight w:val="none"/>
              </w:rPr>
              <w:t>产品方案技术先进、各系统完善、性能可靠，设备主要核心部件，具备自身技术优势，节能环保，视情况得0-</w:t>
            </w:r>
            <w:r>
              <w:rPr>
                <w:rFonts w:ascii="宋体" w:hAnsi="宋体" w:eastAsia="宋体" w:cs="宋体"/>
                <w:highlight w:val="none"/>
                <w:lang w:val="en-US" w:eastAsia="zh-CN"/>
              </w:rPr>
              <w:t>40。</w:t>
            </w:r>
          </w:p>
        </w:tc>
      </w:tr>
      <w:tr w14:paraId="03849A98">
        <w:tblPrEx>
          <w:tblCellMar>
            <w:top w:w="0" w:type="dxa"/>
            <w:left w:w="108" w:type="dxa"/>
            <w:bottom w:w="0" w:type="dxa"/>
            <w:right w:w="108" w:type="dxa"/>
          </w:tblCellMar>
        </w:tblPrEx>
        <w:trPr>
          <w:cantSplit/>
          <w:trHeight w:val="192" w:hRule="atLeast"/>
          <w:jc w:val="center"/>
        </w:trPr>
        <w:tc>
          <w:tcPr>
            <w:tcW w:w="593" w:type="dxa"/>
            <w:tcBorders>
              <w:top w:val="single" w:color="000000" w:sz="4" w:space="0"/>
              <w:left w:val="single" w:color="000000" w:sz="4" w:space="0"/>
              <w:bottom w:val="single" w:color="000000" w:sz="4" w:space="0"/>
              <w:right w:val="single" w:color="000000" w:sz="4" w:space="0"/>
            </w:tcBorders>
            <w:vAlign w:val="center"/>
          </w:tcPr>
          <w:p w14:paraId="5D4BC96A">
            <w:pPr>
              <w:widowControl w:val="0"/>
              <w:spacing w:before="0" w:after="0" w:line="420" w:lineRule="exact"/>
              <w:jc w:val="center"/>
              <w:rPr>
                <w:rFonts w:ascii="宋体" w:hAnsi="宋体" w:eastAsia="宋体" w:cs="宋体"/>
                <w:szCs w:val="21"/>
                <w:highlight w:val="none"/>
                <w:lang w:eastAsia="zh-CN"/>
              </w:rPr>
            </w:pPr>
            <w:r>
              <w:rPr>
                <w:rFonts w:ascii="宋体" w:hAnsi="宋体" w:eastAsia="宋体" w:cs="宋体"/>
                <w:szCs w:val="21"/>
                <w:highlight w:val="none"/>
                <w:lang w:val="en-US" w:eastAsia="zh-CN"/>
              </w:rPr>
              <w:t>2</w:t>
            </w:r>
          </w:p>
        </w:tc>
        <w:tc>
          <w:tcPr>
            <w:tcW w:w="4148" w:type="dxa"/>
            <w:tcBorders>
              <w:top w:val="single" w:color="000000" w:sz="4" w:space="0"/>
              <w:left w:val="single" w:color="000000" w:sz="4" w:space="0"/>
              <w:bottom w:val="single" w:color="000000" w:sz="4" w:space="0"/>
              <w:right w:val="single" w:color="000000" w:sz="4" w:space="0"/>
            </w:tcBorders>
            <w:vAlign w:val="center"/>
          </w:tcPr>
          <w:p w14:paraId="676139B2">
            <w:pPr>
              <w:widowControl w:val="0"/>
              <w:spacing w:before="0" w:after="0" w:line="420" w:lineRule="exact"/>
              <w:rPr>
                <w:rFonts w:ascii="宋体" w:hAnsi="宋体" w:eastAsia="宋体" w:cs="宋体"/>
                <w:bCs/>
                <w:szCs w:val="21"/>
                <w:highlight w:val="none"/>
              </w:rPr>
            </w:pPr>
            <w:r>
              <w:rPr>
                <w:rFonts w:ascii="宋体" w:hAnsi="宋体" w:eastAsia="宋体" w:cs="宋体"/>
                <w:bCs/>
                <w:szCs w:val="21"/>
                <w:highlight w:val="none"/>
              </w:rPr>
              <w:t>产品维保</w:t>
            </w:r>
          </w:p>
        </w:tc>
        <w:tc>
          <w:tcPr>
            <w:tcW w:w="837" w:type="dxa"/>
            <w:tcBorders>
              <w:top w:val="single" w:color="000000" w:sz="4" w:space="0"/>
              <w:left w:val="single" w:color="000000" w:sz="4" w:space="0"/>
              <w:bottom w:val="single" w:color="000000" w:sz="4" w:space="0"/>
              <w:right w:val="single" w:color="000000" w:sz="4" w:space="0"/>
            </w:tcBorders>
            <w:vAlign w:val="center"/>
          </w:tcPr>
          <w:p w14:paraId="1412699A">
            <w:pPr>
              <w:widowControl w:val="0"/>
              <w:spacing w:before="0" w:after="0" w:line="420" w:lineRule="exact"/>
              <w:jc w:val="center"/>
              <w:rPr>
                <w:rFonts w:ascii="宋体" w:hAnsi="宋体" w:eastAsia="宋体" w:cs="宋体"/>
                <w:szCs w:val="21"/>
                <w:highlight w:val="none"/>
              </w:rPr>
            </w:pPr>
            <w:r>
              <w:rPr>
                <w:rFonts w:ascii="宋体" w:hAnsi="宋体" w:eastAsia="宋体" w:cs="宋体"/>
                <w:szCs w:val="21"/>
                <w:highlight w:val="none"/>
              </w:rPr>
              <w:t>10</w:t>
            </w:r>
          </w:p>
        </w:tc>
        <w:tc>
          <w:tcPr>
            <w:tcW w:w="8188" w:type="dxa"/>
            <w:tcBorders>
              <w:top w:val="single" w:color="000000" w:sz="4" w:space="0"/>
              <w:left w:val="single" w:color="000000" w:sz="4" w:space="0"/>
              <w:bottom w:val="single" w:color="000000" w:sz="4" w:space="0"/>
              <w:right w:val="single" w:color="000000" w:sz="4" w:space="0"/>
            </w:tcBorders>
            <w:vAlign w:val="center"/>
          </w:tcPr>
          <w:p w14:paraId="46A6A0AA">
            <w:pPr>
              <w:widowControl w:val="0"/>
              <w:spacing w:before="0" w:after="0" w:line="420" w:lineRule="exact"/>
              <w:rPr>
                <w:rFonts w:ascii="宋体" w:hAnsi="宋体" w:eastAsia="宋体" w:cs="宋体"/>
                <w:bCs/>
                <w:szCs w:val="21"/>
                <w:highlight w:val="none"/>
                <w:lang w:eastAsia="zh-CN"/>
              </w:rPr>
            </w:pPr>
            <w:r>
              <w:rPr>
                <w:rFonts w:ascii="宋体" w:hAnsi="宋体" w:eastAsia="宋体" w:cs="宋体"/>
                <w:highlight w:val="none"/>
              </w:rPr>
              <w:t>易于维修、操作方便，产品附件配置齐全，质量可靠，设备在使用期内的维护费用</w:t>
            </w:r>
            <w:r>
              <w:rPr>
                <w:rFonts w:ascii="宋体" w:hAnsi="宋体" w:eastAsia="宋体" w:cs="宋体"/>
                <w:highlight w:val="none"/>
                <w:lang w:val="en-US" w:eastAsia="zh-CN"/>
              </w:rPr>
              <w:t>低</w:t>
            </w:r>
            <w:r>
              <w:rPr>
                <w:rFonts w:ascii="宋体" w:hAnsi="宋体" w:eastAsia="宋体" w:cs="宋体"/>
                <w:highlight w:val="none"/>
              </w:rPr>
              <w:t>，视情况得0-10</w:t>
            </w:r>
            <w:r>
              <w:rPr>
                <w:rFonts w:ascii="宋体" w:hAnsi="宋体" w:eastAsia="宋体" w:cs="宋体"/>
                <w:highlight w:val="none"/>
                <w:lang w:eastAsia="zh-CN"/>
              </w:rPr>
              <w:t>。</w:t>
            </w:r>
          </w:p>
        </w:tc>
      </w:tr>
      <w:tr w14:paraId="17229E12">
        <w:tblPrEx>
          <w:tblCellMar>
            <w:top w:w="0" w:type="dxa"/>
            <w:left w:w="108" w:type="dxa"/>
            <w:bottom w:w="0" w:type="dxa"/>
            <w:right w:w="108" w:type="dxa"/>
          </w:tblCellMar>
        </w:tblPrEx>
        <w:trPr>
          <w:cantSplit/>
          <w:trHeight w:val="192" w:hRule="atLeast"/>
          <w:jc w:val="center"/>
        </w:trPr>
        <w:tc>
          <w:tcPr>
            <w:tcW w:w="593" w:type="dxa"/>
            <w:tcBorders>
              <w:top w:val="single" w:color="000000" w:sz="4" w:space="0"/>
              <w:left w:val="single" w:color="000000" w:sz="4" w:space="0"/>
              <w:bottom w:val="single" w:color="000000" w:sz="4" w:space="0"/>
              <w:right w:val="single" w:color="000000" w:sz="4" w:space="0"/>
            </w:tcBorders>
            <w:vAlign w:val="center"/>
          </w:tcPr>
          <w:p w14:paraId="5C1C69D2">
            <w:pPr>
              <w:widowControl w:val="0"/>
              <w:spacing w:before="0" w:after="0" w:line="420" w:lineRule="exact"/>
              <w:jc w:val="center"/>
              <w:rPr>
                <w:rFonts w:ascii="宋体" w:hAnsi="宋体" w:eastAsia="宋体" w:cs="宋体"/>
                <w:szCs w:val="21"/>
                <w:highlight w:val="none"/>
                <w:lang w:eastAsia="zh-CN"/>
              </w:rPr>
            </w:pPr>
            <w:r>
              <w:rPr>
                <w:rFonts w:ascii="宋体" w:hAnsi="宋体" w:eastAsia="宋体" w:cs="宋体"/>
                <w:szCs w:val="21"/>
                <w:highlight w:val="none"/>
                <w:lang w:val="en-US" w:eastAsia="zh-CN"/>
              </w:rPr>
              <w:t>3</w:t>
            </w:r>
          </w:p>
        </w:tc>
        <w:tc>
          <w:tcPr>
            <w:tcW w:w="4148" w:type="dxa"/>
            <w:tcBorders>
              <w:top w:val="single" w:color="000000" w:sz="4" w:space="0"/>
              <w:left w:val="single" w:color="000000" w:sz="4" w:space="0"/>
              <w:bottom w:val="single" w:color="000000" w:sz="4" w:space="0"/>
              <w:right w:val="single" w:color="000000" w:sz="4" w:space="0"/>
            </w:tcBorders>
            <w:vAlign w:val="center"/>
          </w:tcPr>
          <w:p w14:paraId="5C8B334B">
            <w:pPr>
              <w:keepNext w:val="0"/>
              <w:keepLines w:val="0"/>
              <w:widowControl w:val="0"/>
              <w:spacing w:before="0" w:beforeAutospacing="0" w:after="0" w:afterAutospacing="0" w:line="360" w:lineRule="auto"/>
              <w:ind w:left="0" w:right="0" w:firstLine="0"/>
              <w:rPr>
                <w:rFonts w:ascii="宋体" w:hAnsi="宋体" w:eastAsia="宋体" w:cs="宋体"/>
                <w:kern w:val="2"/>
                <w:sz w:val="21"/>
                <w:szCs w:val="21"/>
                <w:highlight w:val="none"/>
                <w:lang w:val="en-US" w:eastAsia="zh-CN" w:bidi="ar-SA"/>
              </w:rPr>
            </w:pPr>
            <w:r>
              <w:rPr>
                <w:rFonts w:ascii="宋体" w:hAnsi="宋体" w:eastAsia="宋体" w:cs="宋体"/>
                <w:szCs w:val="21"/>
                <w:highlight w:val="none"/>
                <w:lang w:val="en-US" w:eastAsia="zh-CN"/>
              </w:rPr>
              <w:t>供货周期售后保障</w:t>
            </w:r>
          </w:p>
        </w:tc>
        <w:tc>
          <w:tcPr>
            <w:tcW w:w="837" w:type="dxa"/>
            <w:tcBorders>
              <w:top w:val="single" w:color="000000" w:sz="4" w:space="0"/>
              <w:left w:val="single" w:color="000000" w:sz="4" w:space="0"/>
              <w:bottom w:val="single" w:color="000000" w:sz="4" w:space="0"/>
              <w:right w:val="single" w:color="000000" w:sz="4" w:space="0"/>
            </w:tcBorders>
            <w:vAlign w:val="center"/>
          </w:tcPr>
          <w:p w14:paraId="5FEAA827">
            <w:pPr>
              <w:widowControl w:val="0"/>
              <w:spacing w:before="0" w:after="0" w:line="420" w:lineRule="exact"/>
              <w:jc w:val="center"/>
              <w:rPr>
                <w:rFonts w:ascii="宋体" w:hAnsi="宋体" w:eastAsia="宋体" w:cs="宋体"/>
                <w:szCs w:val="21"/>
                <w:highlight w:val="none"/>
                <w:lang w:val="en-US" w:eastAsia="zh-CN"/>
              </w:rPr>
            </w:pPr>
            <w:r>
              <w:rPr>
                <w:rFonts w:ascii="宋体" w:hAnsi="宋体" w:eastAsia="宋体" w:cs="宋体"/>
                <w:szCs w:val="21"/>
                <w:highlight w:val="none"/>
                <w:lang w:val="en-US" w:eastAsia="zh-CN"/>
              </w:rPr>
              <w:t>20</w:t>
            </w:r>
          </w:p>
        </w:tc>
        <w:tc>
          <w:tcPr>
            <w:tcW w:w="8188" w:type="dxa"/>
            <w:tcBorders>
              <w:top w:val="single" w:color="000000" w:sz="4" w:space="0"/>
              <w:left w:val="single" w:color="000000" w:sz="4" w:space="0"/>
              <w:bottom w:val="single" w:color="000000" w:sz="4" w:space="0"/>
              <w:right w:val="single" w:color="000000" w:sz="4" w:space="0"/>
            </w:tcBorders>
            <w:vAlign w:val="center"/>
          </w:tcPr>
          <w:p w14:paraId="4DA402FD">
            <w:pPr>
              <w:keepNext w:val="0"/>
              <w:keepLines w:val="0"/>
              <w:widowControl w:val="0"/>
              <w:numPr>
                <w:ilvl w:val="0"/>
                <w:numId w:val="12"/>
              </w:numPr>
              <w:overflowPunct w:val="0"/>
              <w:bidi w:val="0"/>
              <w:snapToGrid/>
              <w:spacing w:before="0" w:beforeAutospacing="0" w:after="0" w:afterAutospacing="0" w:line="360" w:lineRule="auto"/>
              <w:ind w:left="0" w:right="0" w:firstLine="0"/>
              <w:textAlignment w:val="auto"/>
              <w:rPr>
                <w:rFonts w:ascii="宋体" w:hAnsi="宋体" w:eastAsia="宋体" w:cs="宋体"/>
                <w:sz w:val="21"/>
                <w:szCs w:val="21"/>
                <w:highlight w:val="none"/>
                <w:lang w:val="en-US" w:eastAsia="zh-CN"/>
              </w:rPr>
            </w:pPr>
            <w:r>
              <w:rPr>
                <w:rFonts w:ascii="宋体" w:hAnsi="宋体" w:eastAsia="宋体" w:cs="宋体"/>
                <w:sz w:val="21"/>
                <w:szCs w:val="21"/>
                <w:highlight w:val="none"/>
                <w:lang w:val="en-US" w:eastAsia="zh-CN"/>
              </w:rPr>
              <w:t>供货周期要求</w:t>
            </w:r>
            <w:r>
              <w:rPr>
                <w:rFonts w:hint="eastAsia" w:ascii="宋体" w:hAnsi="宋体" w:eastAsia="宋体" w:cs="宋体"/>
                <w:color w:val="000000" w:themeColor="text1"/>
                <w:sz w:val="21"/>
                <w:szCs w:val="21"/>
                <w:highlight w:val="none"/>
                <w:lang w:val="en-US" w:eastAsia="zh-CN"/>
                <w14:textFill>
                  <w14:solidFill>
                    <w14:schemeClr w14:val="tx1"/>
                  </w14:solidFill>
                </w14:textFill>
              </w:rPr>
              <w:t>40</w:t>
            </w:r>
            <w:r>
              <w:rPr>
                <w:rFonts w:ascii="宋体" w:hAnsi="宋体" w:eastAsia="宋体" w:cs="宋体"/>
                <w:sz w:val="21"/>
                <w:szCs w:val="21"/>
                <w:highlight w:val="none"/>
                <w:lang w:val="en-US" w:eastAsia="zh-CN"/>
              </w:rPr>
              <w:t>天，不满足条件0分，供货周期最短者得10分，</w:t>
            </w:r>
            <w:r>
              <w:rPr>
                <w:rFonts w:ascii="宋体" w:hAnsi="宋体" w:eastAsia="宋体" w:cs="宋体"/>
                <w:bCs/>
                <w:sz w:val="21"/>
                <w:szCs w:val="21"/>
                <w:highlight w:val="none"/>
              </w:rPr>
              <w:t>第二名得</w:t>
            </w:r>
            <w:r>
              <w:rPr>
                <w:rFonts w:ascii="宋体" w:hAnsi="宋体" w:eastAsia="宋体" w:cs="宋体"/>
                <w:bCs/>
                <w:sz w:val="21"/>
                <w:szCs w:val="21"/>
                <w:highlight w:val="none"/>
                <w:lang w:val="en-US" w:eastAsia="zh-CN"/>
              </w:rPr>
              <w:t>8</w:t>
            </w:r>
            <w:r>
              <w:rPr>
                <w:rFonts w:ascii="宋体" w:hAnsi="宋体" w:eastAsia="宋体" w:cs="宋体"/>
                <w:bCs/>
                <w:sz w:val="21"/>
                <w:szCs w:val="21"/>
                <w:highlight w:val="none"/>
              </w:rPr>
              <w:t>分，第三名得6分，第四名得</w:t>
            </w:r>
            <w:r>
              <w:rPr>
                <w:rFonts w:ascii="宋体" w:hAnsi="宋体" w:eastAsia="宋体" w:cs="宋体"/>
                <w:bCs/>
                <w:sz w:val="21"/>
                <w:szCs w:val="21"/>
                <w:highlight w:val="none"/>
                <w:lang w:val="en-US" w:eastAsia="zh-CN"/>
              </w:rPr>
              <w:t>4</w:t>
            </w:r>
            <w:r>
              <w:rPr>
                <w:rFonts w:ascii="宋体" w:hAnsi="宋体" w:eastAsia="宋体" w:cs="宋体"/>
                <w:bCs/>
                <w:sz w:val="21"/>
                <w:szCs w:val="21"/>
                <w:highlight w:val="none"/>
              </w:rPr>
              <w:t>分</w:t>
            </w:r>
            <w:r>
              <w:rPr>
                <w:rFonts w:ascii="宋体" w:hAnsi="宋体" w:eastAsia="宋体" w:cs="宋体"/>
                <w:bCs/>
                <w:sz w:val="21"/>
                <w:szCs w:val="21"/>
                <w:highlight w:val="none"/>
                <w:lang w:eastAsia="zh-CN"/>
              </w:rPr>
              <w:t>，</w:t>
            </w:r>
            <w:r>
              <w:rPr>
                <w:rFonts w:ascii="宋体" w:hAnsi="宋体" w:eastAsia="宋体" w:cs="宋体"/>
                <w:bCs/>
                <w:sz w:val="21"/>
                <w:szCs w:val="21"/>
                <w:highlight w:val="none"/>
                <w:lang w:val="en-US" w:eastAsia="zh-CN"/>
              </w:rPr>
              <w:t>依次递减。</w:t>
            </w:r>
          </w:p>
          <w:p w14:paraId="42D10501">
            <w:pPr>
              <w:pStyle w:val="4"/>
              <w:widowControl w:val="0"/>
              <w:numPr>
                <w:ilvl w:val="0"/>
                <w:numId w:val="12"/>
              </w:numPr>
              <w:overflowPunct w:val="0"/>
              <w:bidi w:val="0"/>
              <w:snapToGrid/>
              <w:spacing w:before="0" w:beforeAutospacing="0" w:after="0" w:afterAutospacing="0" w:line="360" w:lineRule="auto"/>
              <w:ind w:left="0" w:right="0" w:firstLine="0"/>
              <w:textAlignment w:val="auto"/>
              <w:rPr>
                <w:rFonts w:ascii="宋体" w:hAnsi="宋体" w:eastAsia="宋体" w:cs="宋体"/>
                <w:b/>
                <w:bCs/>
                <w:kern w:val="2"/>
                <w:sz w:val="21"/>
                <w:szCs w:val="21"/>
                <w:highlight w:val="none"/>
                <w:lang w:val="en-US" w:eastAsia="zh-CN" w:bidi="ar-SA"/>
              </w:rPr>
            </w:pPr>
            <w:r>
              <w:rPr>
                <w:rFonts w:ascii="宋体" w:hAnsi="宋体" w:eastAsia="宋体" w:cs="宋体"/>
                <w:b w:val="0"/>
                <w:bCs w:val="0"/>
                <w:kern w:val="2"/>
                <w:sz w:val="21"/>
                <w:szCs w:val="21"/>
                <w:highlight w:val="none"/>
                <w:lang w:val="en-US" w:eastAsia="zh-CN" w:bidi="ar-SA"/>
              </w:rPr>
              <w:t>具有完善的服务售后体系，根据售后方案评分0-10分。</w:t>
            </w:r>
          </w:p>
        </w:tc>
      </w:tr>
      <w:tr w14:paraId="58891210">
        <w:tblPrEx>
          <w:tblCellMar>
            <w:top w:w="0" w:type="dxa"/>
            <w:left w:w="108" w:type="dxa"/>
            <w:bottom w:w="0" w:type="dxa"/>
            <w:right w:w="108" w:type="dxa"/>
          </w:tblCellMar>
        </w:tblPrEx>
        <w:trPr>
          <w:cantSplit/>
          <w:trHeight w:val="185" w:hRule="atLeast"/>
          <w:jc w:val="center"/>
        </w:trPr>
        <w:tc>
          <w:tcPr>
            <w:tcW w:w="593" w:type="dxa"/>
            <w:tcBorders>
              <w:top w:val="single" w:color="000000" w:sz="4" w:space="0"/>
              <w:left w:val="single" w:color="000000" w:sz="4" w:space="0"/>
              <w:bottom w:val="single" w:color="000000" w:sz="4" w:space="0"/>
              <w:right w:val="single" w:color="000000" w:sz="4" w:space="0"/>
            </w:tcBorders>
            <w:vAlign w:val="center"/>
          </w:tcPr>
          <w:p w14:paraId="1BD96920">
            <w:pPr>
              <w:widowControl w:val="0"/>
              <w:spacing w:before="0" w:after="0" w:line="420" w:lineRule="exact"/>
              <w:jc w:val="center"/>
              <w:rPr>
                <w:rFonts w:ascii="宋体" w:hAnsi="宋体" w:eastAsia="宋体" w:cs="宋体"/>
                <w:szCs w:val="21"/>
                <w:highlight w:val="none"/>
                <w:lang w:eastAsia="zh-CN"/>
              </w:rPr>
            </w:pPr>
            <w:r>
              <w:rPr>
                <w:rFonts w:ascii="宋体" w:hAnsi="宋体" w:eastAsia="宋体" w:cs="宋体"/>
                <w:szCs w:val="21"/>
                <w:highlight w:val="none"/>
                <w:lang w:val="en-US" w:eastAsia="zh-CN"/>
              </w:rPr>
              <w:t>4</w:t>
            </w:r>
          </w:p>
        </w:tc>
        <w:tc>
          <w:tcPr>
            <w:tcW w:w="4148" w:type="dxa"/>
            <w:tcBorders>
              <w:top w:val="single" w:color="000000" w:sz="4" w:space="0"/>
              <w:left w:val="single" w:color="000000" w:sz="4" w:space="0"/>
              <w:bottom w:val="single" w:color="000000" w:sz="4" w:space="0"/>
              <w:right w:val="single" w:color="000000" w:sz="4" w:space="0"/>
            </w:tcBorders>
            <w:vAlign w:val="center"/>
          </w:tcPr>
          <w:p w14:paraId="4FF27114">
            <w:pPr>
              <w:keepNext w:val="0"/>
              <w:keepLines w:val="0"/>
              <w:widowControl w:val="0"/>
              <w:tabs>
                <w:tab w:val="left" w:pos="7854"/>
              </w:tabs>
              <w:spacing w:before="0" w:beforeAutospacing="0" w:after="0" w:afterAutospacing="0" w:line="300" w:lineRule="exact"/>
              <w:ind w:left="0" w:right="0" w:firstLine="0"/>
              <w:rPr>
                <w:rFonts w:ascii="宋体" w:hAnsi="宋体" w:eastAsia="宋体" w:cs="宋体"/>
                <w:color w:val="000000"/>
                <w:kern w:val="2"/>
                <w:sz w:val="21"/>
                <w:szCs w:val="21"/>
                <w:highlight w:val="none"/>
                <w:lang w:val="en-US" w:eastAsia="zh-CN" w:bidi="ar-SA"/>
              </w:rPr>
            </w:pPr>
            <w:r>
              <w:rPr>
                <w:rFonts w:ascii="宋体" w:hAnsi="宋体" w:eastAsia="宋体" w:cs="宋体"/>
                <w:color w:val="000000"/>
                <w:szCs w:val="21"/>
                <w:highlight w:val="none"/>
              </w:rPr>
              <w:t>现场答疑</w:t>
            </w:r>
          </w:p>
        </w:tc>
        <w:tc>
          <w:tcPr>
            <w:tcW w:w="837" w:type="dxa"/>
            <w:tcBorders>
              <w:top w:val="single" w:color="000000" w:sz="4" w:space="0"/>
              <w:left w:val="single" w:color="000000" w:sz="4" w:space="0"/>
              <w:bottom w:val="single" w:color="000000" w:sz="4" w:space="0"/>
              <w:right w:val="single" w:color="000000" w:sz="4" w:space="0"/>
            </w:tcBorders>
            <w:vAlign w:val="center"/>
          </w:tcPr>
          <w:p w14:paraId="1CB02E57">
            <w:pPr>
              <w:widowControl w:val="0"/>
              <w:spacing w:before="0" w:after="0" w:line="420" w:lineRule="exact"/>
              <w:jc w:val="center"/>
              <w:rPr>
                <w:rFonts w:ascii="宋体" w:hAnsi="宋体" w:eastAsia="宋体" w:cs="宋体"/>
                <w:szCs w:val="21"/>
                <w:highlight w:val="none"/>
                <w:lang w:val="en-US" w:eastAsia="zh-CN"/>
              </w:rPr>
            </w:pPr>
            <w:r>
              <w:rPr>
                <w:rFonts w:ascii="宋体" w:hAnsi="宋体" w:eastAsia="宋体" w:cs="宋体"/>
                <w:szCs w:val="21"/>
                <w:highlight w:val="none"/>
                <w:lang w:val="en-US" w:eastAsia="zh-CN"/>
              </w:rPr>
              <w:t>20</w:t>
            </w:r>
          </w:p>
        </w:tc>
        <w:tc>
          <w:tcPr>
            <w:tcW w:w="8188" w:type="dxa"/>
            <w:tcBorders>
              <w:top w:val="single" w:color="000000" w:sz="4" w:space="0"/>
              <w:left w:val="single" w:color="000000" w:sz="4" w:space="0"/>
              <w:bottom w:val="single" w:color="000000" w:sz="4" w:space="0"/>
              <w:right w:val="single" w:color="000000" w:sz="4" w:space="0"/>
            </w:tcBorders>
            <w:vAlign w:val="center"/>
          </w:tcPr>
          <w:p w14:paraId="16B5F2E6">
            <w:pPr>
              <w:keepNext w:val="0"/>
              <w:keepLines w:val="0"/>
              <w:widowControl w:val="0"/>
              <w:spacing w:before="0" w:beforeAutospacing="0" w:after="0" w:afterAutospacing="0" w:line="360" w:lineRule="auto"/>
              <w:ind w:left="0" w:right="0" w:firstLine="0"/>
              <w:rPr>
                <w:rFonts w:ascii="宋体" w:hAnsi="宋体" w:eastAsia="宋体" w:cs="宋体"/>
                <w:bCs/>
                <w:kern w:val="2"/>
                <w:sz w:val="21"/>
                <w:szCs w:val="21"/>
                <w:highlight w:val="none"/>
                <w:lang w:val="en-US" w:eastAsia="zh-CN" w:bidi="ar-SA"/>
              </w:rPr>
            </w:pPr>
            <w:r>
              <w:rPr>
                <w:rFonts w:ascii="宋体" w:hAnsi="宋体" w:eastAsia="宋体" w:cs="宋体"/>
                <w:bCs/>
                <w:sz w:val="21"/>
                <w:szCs w:val="21"/>
                <w:highlight w:val="none"/>
              </w:rPr>
              <w:t>投标人代表对方案、技术优势的讲解，以及就该项目难点回答评标专家现场提问，打分0-20分。</w:t>
            </w:r>
          </w:p>
        </w:tc>
      </w:tr>
      <w:tr w14:paraId="51C95CAF">
        <w:tblPrEx>
          <w:tblCellMar>
            <w:top w:w="0" w:type="dxa"/>
            <w:left w:w="108" w:type="dxa"/>
            <w:bottom w:w="0" w:type="dxa"/>
            <w:right w:w="108" w:type="dxa"/>
          </w:tblCellMar>
        </w:tblPrEx>
        <w:trPr>
          <w:cantSplit/>
          <w:trHeight w:val="189" w:hRule="atLeast"/>
          <w:jc w:val="center"/>
        </w:trPr>
        <w:tc>
          <w:tcPr>
            <w:tcW w:w="593" w:type="dxa"/>
            <w:tcBorders>
              <w:top w:val="single" w:color="000000" w:sz="4" w:space="0"/>
              <w:left w:val="single" w:color="000000" w:sz="4" w:space="0"/>
              <w:bottom w:val="single" w:color="000000" w:sz="4" w:space="0"/>
              <w:right w:val="single" w:color="000000" w:sz="4" w:space="0"/>
            </w:tcBorders>
            <w:vAlign w:val="center"/>
          </w:tcPr>
          <w:p w14:paraId="759A973A">
            <w:pPr>
              <w:widowControl w:val="0"/>
              <w:spacing w:before="0" w:after="0" w:line="420" w:lineRule="exact"/>
              <w:jc w:val="center"/>
              <w:rPr>
                <w:rFonts w:ascii="宋体" w:hAnsi="宋体" w:eastAsia="宋体" w:cs="宋体"/>
                <w:szCs w:val="21"/>
                <w:highlight w:val="none"/>
                <w:lang w:eastAsia="zh-CN"/>
              </w:rPr>
            </w:pPr>
            <w:r>
              <w:rPr>
                <w:rFonts w:ascii="宋体" w:hAnsi="宋体" w:eastAsia="宋体" w:cs="宋体"/>
                <w:szCs w:val="21"/>
                <w:highlight w:val="none"/>
                <w:lang w:val="en-US" w:eastAsia="zh-CN"/>
              </w:rPr>
              <w:t>5</w:t>
            </w:r>
          </w:p>
        </w:tc>
        <w:tc>
          <w:tcPr>
            <w:tcW w:w="4148" w:type="dxa"/>
            <w:tcBorders>
              <w:top w:val="single" w:color="000000" w:sz="4" w:space="0"/>
              <w:left w:val="single" w:color="000000" w:sz="4" w:space="0"/>
              <w:bottom w:val="single" w:color="000000" w:sz="4" w:space="0"/>
              <w:right w:val="single" w:color="000000" w:sz="4" w:space="0"/>
            </w:tcBorders>
            <w:vAlign w:val="center"/>
          </w:tcPr>
          <w:p w14:paraId="55E770CD">
            <w:pPr>
              <w:keepNext w:val="0"/>
              <w:keepLines w:val="0"/>
              <w:widowControl w:val="0"/>
              <w:spacing w:before="0" w:beforeAutospacing="0" w:after="0" w:afterAutospacing="0" w:line="360" w:lineRule="auto"/>
              <w:ind w:left="0" w:right="0" w:firstLine="0"/>
              <w:rPr>
                <w:rFonts w:ascii="宋体" w:hAnsi="宋体" w:eastAsia="宋体" w:cs="宋体"/>
                <w:kern w:val="2"/>
                <w:sz w:val="21"/>
                <w:szCs w:val="21"/>
                <w:highlight w:val="none"/>
                <w:lang w:val="en-US" w:eastAsia="zh-CN" w:bidi="ar-SA"/>
              </w:rPr>
            </w:pPr>
            <w:r>
              <w:rPr>
                <w:rFonts w:ascii="宋体" w:hAnsi="宋体" w:eastAsia="宋体" w:cs="宋体"/>
                <w:szCs w:val="21"/>
                <w:highlight w:val="none"/>
              </w:rPr>
              <w:t>同类型项目业绩</w:t>
            </w:r>
          </w:p>
        </w:tc>
        <w:tc>
          <w:tcPr>
            <w:tcW w:w="837" w:type="dxa"/>
            <w:tcBorders>
              <w:top w:val="single" w:color="000000" w:sz="4" w:space="0"/>
              <w:left w:val="single" w:color="000000" w:sz="4" w:space="0"/>
              <w:bottom w:val="single" w:color="000000" w:sz="4" w:space="0"/>
              <w:right w:val="single" w:color="000000" w:sz="4" w:space="0"/>
            </w:tcBorders>
            <w:vAlign w:val="center"/>
          </w:tcPr>
          <w:p w14:paraId="0534EF38">
            <w:pPr>
              <w:widowControl w:val="0"/>
              <w:spacing w:before="0" w:after="0" w:line="420" w:lineRule="exact"/>
              <w:jc w:val="center"/>
              <w:rPr>
                <w:rFonts w:ascii="宋体" w:hAnsi="宋体" w:eastAsia="宋体" w:cs="宋体"/>
                <w:szCs w:val="21"/>
                <w:highlight w:val="none"/>
              </w:rPr>
            </w:pPr>
            <w:r>
              <w:rPr>
                <w:rFonts w:ascii="宋体" w:hAnsi="宋体" w:eastAsia="宋体" w:cs="宋体"/>
                <w:szCs w:val="21"/>
                <w:highlight w:val="none"/>
              </w:rPr>
              <w:t>10</w:t>
            </w:r>
          </w:p>
        </w:tc>
        <w:tc>
          <w:tcPr>
            <w:tcW w:w="8188" w:type="dxa"/>
            <w:tcBorders>
              <w:top w:val="single" w:color="000000" w:sz="4" w:space="0"/>
              <w:left w:val="single" w:color="000000" w:sz="4" w:space="0"/>
              <w:bottom w:val="single" w:color="000000" w:sz="4" w:space="0"/>
              <w:right w:val="single" w:color="000000" w:sz="4" w:space="0"/>
            </w:tcBorders>
            <w:vAlign w:val="center"/>
          </w:tcPr>
          <w:p w14:paraId="3D82143B">
            <w:pPr>
              <w:widowControl w:val="0"/>
              <w:spacing w:before="0" w:after="0" w:line="420" w:lineRule="exact"/>
              <w:rPr>
                <w:rFonts w:ascii="宋体" w:hAnsi="宋体" w:eastAsia="宋体" w:cs="宋体"/>
                <w:bCs/>
                <w:szCs w:val="21"/>
                <w:highlight w:val="none"/>
              </w:rPr>
            </w:pPr>
            <w:r>
              <w:rPr>
                <w:rFonts w:ascii="宋体" w:hAnsi="宋体" w:eastAsia="宋体" w:cs="宋体"/>
                <w:bCs/>
                <w:sz w:val="21"/>
                <w:szCs w:val="21"/>
                <w:highlight w:val="none"/>
              </w:rPr>
              <w:t>同类型项目业绩：202</w:t>
            </w:r>
            <w:r>
              <w:rPr>
                <w:rFonts w:hint="eastAsia" w:ascii="宋体" w:hAnsi="宋体" w:eastAsia="宋体" w:cs="宋体"/>
                <w:bCs/>
                <w:sz w:val="21"/>
                <w:szCs w:val="21"/>
                <w:highlight w:val="none"/>
                <w:lang w:val="en-US" w:eastAsia="zh-CN"/>
              </w:rPr>
              <w:t>2</w:t>
            </w:r>
            <w:r>
              <w:rPr>
                <w:rFonts w:ascii="宋体" w:hAnsi="宋体" w:eastAsia="宋体" w:cs="宋体"/>
                <w:bCs/>
                <w:sz w:val="21"/>
                <w:szCs w:val="21"/>
                <w:highlight w:val="none"/>
              </w:rPr>
              <w:t>年1月以来到现在以来已交付使用的与本次招标项目类似产品的业绩，业绩最多者满分，第二名得8分，第三名得6分，第四名得4分，其余得2分。（时间以签订日期为准）。</w:t>
            </w:r>
          </w:p>
        </w:tc>
      </w:tr>
    </w:tbl>
    <w:p w14:paraId="23024A74">
      <w:pPr>
        <w:pStyle w:val="17"/>
        <w:rPr>
          <w:rFonts w:hint="eastAsia"/>
          <w:highlight w:val="none"/>
        </w:rPr>
        <w:sectPr>
          <w:pgSz w:w="16838" w:h="11906" w:orient="landscape"/>
          <w:pgMar w:top="1418" w:right="1588" w:bottom="1418" w:left="1134" w:header="851" w:footer="992" w:gutter="0"/>
          <w:cols w:space="720" w:num="1"/>
          <w:titlePg/>
          <w:docGrid w:type="lines" w:linePitch="312" w:charSpace="0"/>
        </w:sectPr>
      </w:pPr>
    </w:p>
    <w:p w14:paraId="2546032B">
      <w:pPr>
        <w:pStyle w:val="17"/>
        <w:rPr>
          <w:rFonts w:hint="eastAsia"/>
          <w:highlight w:val="none"/>
        </w:rPr>
      </w:pPr>
    </w:p>
    <w:p w14:paraId="109FE955">
      <w:pPr>
        <w:rPr>
          <w:rFonts w:hint="eastAsia" w:ascii="宋体" w:hAnsi="宋体" w:eastAsia="宋体" w:cs="宋体"/>
          <w:b/>
          <w:bCs/>
          <w:color w:val="000000"/>
          <w:sz w:val="24"/>
          <w:szCs w:val="24"/>
          <w:highlight w:val="none"/>
          <w:lang w:val="en-US" w:eastAsia="zh-CN"/>
        </w:rPr>
      </w:pPr>
    </w:p>
    <w:p w14:paraId="7A19C2C1">
      <w:pPr>
        <w:pStyle w:val="17"/>
        <w:outlineLvl w:val="2"/>
        <w:rPr>
          <w:rFonts w:hint="eastAsia"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lang w:val="en-US" w:eastAsia="zh-CN"/>
        </w:rPr>
        <w:t>附件1</w:t>
      </w:r>
      <w:r>
        <w:rPr>
          <w:rFonts w:hint="eastAsia" w:hAnsi="宋体" w:eastAsia="宋体" w:cs="宋体"/>
          <w:b/>
          <w:bCs/>
          <w:color w:val="000000"/>
          <w:sz w:val="24"/>
          <w:szCs w:val="24"/>
          <w:highlight w:val="none"/>
          <w:lang w:val="en-US" w:eastAsia="zh-CN"/>
        </w:rPr>
        <w:t>5</w:t>
      </w:r>
      <w:r>
        <w:rPr>
          <w:rFonts w:hint="eastAsia" w:ascii="宋体" w:hAnsi="宋体" w:eastAsia="宋体" w:cs="宋体"/>
          <w:b/>
          <w:bCs/>
          <w:color w:val="000000"/>
          <w:sz w:val="24"/>
          <w:szCs w:val="24"/>
          <w:highlight w:val="none"/>
          <w:lang w:val="en-US" w:eastAsia="zh-CN"/>
        </w:rPr>
        <w:t xml:space="preserve"> SRM非生产供应商注册操作手册</w:t>
      </w:r>
    </w:p>
    <w:p w14:paraId="7CFC79A2">
      <w:pPr>
        <w:pStyle w:val="17"/>
        <w:rPr>
          <w:rFonts w:hint="eastAsia" w:eastAsia="宋体"/>
          <w:highlight w:val="none"/>
          <w:lang w:val="en-US" w:eastAsia="zh-CN"/>
        </w:rPr>
      </w:pPr>
    </w:p>
    <w:p w14:paraId="78165A85">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14:paraId="4A8B860C">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eastAsia="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40939917">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14:paraId="6CFC314C">
      <w:pPr>
        <w:snapToGrid w:val="0"/>
        <w:spacing w:line="312" w:lineRule="auto"/>
        <w:rPr>
          <w:highlight w:val="none"/>
        </w:rPr>
      </w:pPr>
      <w:r>
        <w:rPr>
          <w:highlight w:val="none"/>
        </w:rP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3"/>
                    <a:stretch>
                      <a:fillRect/>
                    </a:stretch>
                  </pic:blipFill>
                  <pic:spPr>
                    <a:xfrm>
                      <a:off x="0" y="0"/>
                      <a:ext cx="5760085" cy="2933377"/>
                    </a:xfrm>
                    <a:prstGeom prst="rect">
                      <a:avLst/>
                    </a:prstGeom>
                  </pic:spPr>
                </pic:pic>
              </a:graphicData>
            </a:graphic>
          </wp:inline>
        </w:drawing>
      </w:r>
    </w:p>
    <w:p w14:paraId="7165FDA2">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14:paraId="547652D6">
      <w:pPr>
        <w:snapToGrid w:val="0"/>
        <w:spacing w:line="312" w:lineRule="auto"/>
        <w:rPr>
          <w:highlight w:val="none"/>
        </w:rPr>
      </w:pPr>
      <w:r>
        <w:rPr>
          <w:highlight w:val="none"/>
        </w:rP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4"/>
                    <a:stretch>
                      <a:fillRect/>
                    </a:stretch>
                  </pic:blipFill>
                  <pic:spPr>
                    <a:xfrm>
                      <a:off x="0" y="0"/>
                      <a:ext cx="5760085" cy="2766707"/>
                    </a:xfrm>
                    <a:prstGeom prst="rect">
                      <a:avLst/>
                    </a:prstGeom>
                  </pic:spPr>
                </pic:pic>
              </a:graphicData>
            </a:graphic>
          </wp:inline>
        </w:drawing>
      </w:r>
    </w:p>
    <w:p w14:paraId="41B15044">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14:paraId="69B0C6C2">
      <w:pPr>
        <w:snapToGrid w:val="0"/>
        <w:spacing w:line="312" w:lineRule="auto"/>
        <w:rPr>
          <w:highlight w:val="none"/>
        </w:rPr>
      </w:pPr>
      <w:r>
        <w:rPr>
          <w:highlight w:val="none"/>
        </w:rP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5"/>
                    <a:stretch>
                      <a:fillRect/>
                    </a:stretch>
                  </pic:blipFill>
                  <pic:spPr>
                    <a:xfrm>
                      <a:off x="0" y="0"/>
                      <a:ext cx="5760085" cy="2870054"/>
                    </a:xfrm>
                    <a:prstGeom prst="rect">
                      <a:avLst/>
                    </a:prstGeom>
                  </pic:spPr>
                </pic:pic>
              </a:graphicData>
            </a:graphic>
          </wp:inline>
        </w:drawing>
      </w:r>
    </w:p>
    <w:p w14:paraId="2624102B">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14:paraId="632A872F">
      <w:pPr>
        <w:snapToGrid w:val="0"/>
        <w:spacing w:line="312" w:lineRule="auto"/>
        <w:rPr>
          <w:highlight w:val="none"/>
        </w:rPr>
      </w:pPr>
      <w:r>
        <w:rPr>
          <w:highlight w:val="none"/>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6"/>
                    <a:stretch>
                      <a:fillRect/>
                    </a:stretch>
                  </pic:blipFill>
                  <pic:spPr>
                    <a:xfrm>
                      <a:off x="0" y="0"/>
                      <a:ext cx="5760085" cy="2853375"/>
                    </a:xfrm>
                    <a:prstGeom prst="rect">
                      <a:avLst/>
                    </a:prstGeom>
                  </pic:spPr>
                </pic:pic>
              </a:graphicData>
            </a:graphic>
          </wp:inline>
        </w:drawing>
      </w:r>
    </w:p>
    <w:p w14:paraId="2E35E403">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i w:val="0"/>
          <w:strike w:val="0"/>
          <w:color w:val="000000"/>
          <w:sz w:val="24"/>
          <w:szCs w:val="28"/>
          <w:highlight w:val="none"/>
          <w:u w:val="none"/>
          <w:lang w:eastAsia="zh-CN"/>
        </w:rPr>
        <w:t>.</w:t>
      </w:r>
      <w:r>
        <w:rPr>
          <w:rFonts w:ascii="宋体" w:hAnsi="宋体" w:eastAsia="宋体" w:cs="宋体"/>
          <w:i w:val="0"/>
          <w:strike w:val="0"/>
          <w:color w:val="000000"/>
          <w:sz w:val="24"/>
          <w:szCs w:val="28"/>
          <w:highlight w:val="none"/>
          <w:u w:val="none"/>
        </w:rPr>
        <w:t>按要求填写所有信息，注意非生产类要填写合作单位，最后提交审批</w:t>
      </w:r>
    </w:p>
    <w:p w14:paraId="3C7FC84E">
      <w:pPr>
        <w:pStyle w:val="17"/>
        <w:rPr>
          <w:rFonts w:hint="default"/>
          <w:highlight w:val="none"/>
          <w:lang w:val="en-US" w:eastAsia="zh-CN"/>
        </w:rPr>
      </w:pPr>
    </w:p>
    <w:p w14:paraId="60AC9E2F">
      <w:pPr>
        <w:snapToGrid/>
        <w:spacing w:before="0" w:after="0" w:line="240" w:lineRule="auto"/>
        <w:ind w:left="0" w:right="0" w:firstLine="0"/>
        <w:jc w:val="both"/>
        <w:rPr>
          <w:highlight w:val="none"/>
        </w:rPr>
      </w:pPr>
      <w:r>
        <w:rPr>
          <w:highlight w:val="none"/>
        </w:rP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7"/>
                    <a:stretch>
                      <a:fillRect/>
                    </a:stretch>
                  </pic:blipFill>
                  <pic:spPr>
                    <a:xfrm>
                      <a:off x="0" y="0"/>
                      <a:ext cx="5760085" cy="2810122"/>
                    </a:xfrm>
                    <a:prstGeom prst="rect">
                      <a:avLst/>
                    </a:prstGeom>
                  </pic:spPr>
                </pic:pic>
              </a:graphicData>
            </a:graphic>
          </wp:inline>
        </w:drawing>
      </w:r>
    </w:p>
    <w:p w14:paraId="306A069F">
      <w:pPr>
        <w:pStyle w:val="17"/>
        <w:rPr>
          <w:highlight w:val="none"/>
        </w:rPr>
      </w:pPr>
      <w:r>
        <w:rPr>
          <w:highlight w:val="none"/>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8"/>
                    <a:stretch>
                      <a:fillRect/>
                    </a:stretch>
                  </pic:blipFill>
                  <pic:spPr>
                    <a:xfrm>
                      <a:off x="0" y="0"/>
                      <a:ext cx="5760085" cy="2820042"/>
                    </a:xfrm>
                    <a:prstGeom prst="rect">
                      <a:avLst/>
                    </a:prstGeom>
                  </pic:spPr>
                </pic:pic>
              </a:graphicData>
            </a:graphic>
          </wp:inline>
        </w:drawing>
      </w:r>
    </w:p>
    <w:p w14:paraId="41E8CB6B">
      <w:pPr>
        <w:pStyle w:val="17"/>
        <w:rPr>
          <w:highlight w:val="none"/>
        </w:rPr>
      </w:pPr>
    </w:p>
    <w:p w14:paraId="72C74967">
      <w:pPr>
        <w:snapToGrid/>
        <w:spacing w:before="0" w:after="0" w:line="240" w:lineRule="auto"/>
        <w:ind w:left="0" w:right="0" w:firstLine="0"/>
        <w:jc w:val="both"/>
        <w:rPr>
          <w:rFonts w:hint="eastAsia"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w:t>
      </w:r>
    </w:p>
    <w:p w14:paraId="2480C3DE">
      <w:pPr>
        <w:snapToGrid/>
        <w:spacing w:before="0" w:after="0" w:line="240" w:lineRule="auto"/>
        <w:ind w:left="0" w:right="0" w:firstLine="0"/>
        <w:jc w:val="both"/>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1.“项目名称”和“采购形式编号”见投标须知前附表1.1；</w:t>
      </w:r>
    </w:p>
    <w:p w14:paraId="5DE2C592">
      <w:pPr>
        <w:pStyle w:val="17"/>
        <w:rPr>
          <w:rFonts w:hint="default"/>
          <w:highlight w:val="none"/>
          <w:lang w:val="en-US" w:eastAsia="zh-CN"/>
        </w:rPr>
      </w:pPr>
      <w:r>
        <w:rPr>
          <w:rFonts w:hint="eastAsia" w:ascii="宋体" w:hAnsi="宋体" w:eastAsia="宋体" w:cs="宋体"/>
          <w:b/>
          <w:bCs/>
          <w:i w:val="0"/>
          <w:strike w:val="0"/>
          <w:color w:val="000000"/>
          <w:sz w:val="24"/>
          <w:szCs w:val="28"/>
          <w:highlight w:val="none"/>
          <w:u w:val="none"/>
          <w:lang w:val="en-US" w:eastAsia="zh-CN"/>
        </w:rPr>
        <w:t>2.</w:t>
      </w:r>
      <w:r>
        <w:rPr>
          <w:rFonts w:hint="eastAsia" w:hAnsi="宋体" w:eastAsia="宋体" w:cs="宋体"/>
          <w:b/>
          <w:bCs/>
          <w:i w:val="0"/>
          <w:strike w:val="0"/>
          <w:color w:val="000000"/>
          <w:sz w:val="24"/>
          <w:szCs w:val="28"/>
          <w:highlight w:val="none"/>
          <w:u w:val="none"/>
          <w:lang w:val="en-US" w:eastAsia="zh-CN"/>
        </w:rPr>
        <w:t>配套能力“供货类别”填“工艺装备”，</w:t>
      </w:r>
      <w:r>
        <w:rPr>
          <w:rFonts w:hint="eastAsia" w:ascii="宋体" w:hAnsi="宋体" w:eastAsia="宋体" w:cs="宋体"/>
          <w:b/>
          <w:bCs/>
          <w:i w:val="0"/>
          <w:strike w:val="0"/>
          <w:color w:val="000000"/>
          <w:sz w:val="24"/>
          <w:szCs w:val="28"/>
          <w:highlight w:val="none"/>
          <w:u w:val="none"/>
          <w:lang w:val="en-US" w:eastAsia="zh-CN"/>
        </w:rPr>
        <w:t>业务主管部门选择“</w:t>
      </w:r>
      <w:r>
        <w:rPr>
          <w:rFonts w:hint="eastAsia" w:hAnsi="宋体" w:eastAsia="宋体" w:cs="宋体"/>
          <w:b/>
          <w:bCs/>
          <w:i w:val="0"/>
          <w:strike w:val="0"/>
          <w:color w:val="000000"/>
          <w:sz w:val="24"/>
          <w:szCs w:val="28"/>
          <w:highlight w:val="none"/>
          <w:u w:val="none"/>
          <w:lang w:val="en-US" w:eastAsia="zh-CN"/>
        </w:rPr>
        <w:t>工艺工匠研究院</w:t>
      </w:r>
      <w:r>
        <w:rPr>
          <w:rFonts w:hint="eastAsia" w:ascii="宋体" w:hAnsi="宋体" w:eastAsia="宋体" w:cs="宋体"/>
          <w:b/>
          <w:bCs/>
          <w:i w:val="0"/>
          <w:strike w:val="0"/>
          <w:color w:val="000000"/>
          <w:sz w:val="24"/>
          <w:szCs w:val="28"/>
          <w:highlight w:val="none"/>
          <w:u w:val="none"/>
          <w:lang w:val="en-US" w:eastAsia="zh-CN"/>
        </w:rPr>
        <w:t>”</w:t>
      </w:r>
      <w:r>
        <w:rPr>
          <w:rFonts w:hint="eastAsia" w:hAnsi="宋体" w:eastAsia="宋体" w:cs="宋体"/>
          <w:b/>
          <w:bCs/>
          <w:i w:val="0"/>
          <w:strike w:val="0"/>
          <w:color w:val="000000"/>
          <w:sz w:val="24"/>
          <w:szCs w:val="28"/>
          <w:highlight w:val="none"/>
          <w:u w:val="none"/>
          <w:lang w:val="en-US" w:eastAsia="zh-CN"/>
        </w:rPr>
        <w:t>。</w:t>
      </w:r>
    </w:p>
    <w:p w14:paraId="69232DF9">
      <w:pPr>
        <w:pStyle w:val="17"/>
        <w:rPr>
          <w:highlight w:val="none"/>
        </w:rPr>
        <w:sectPr>
          <w:pgSz w:w="11906" w:h="16838"/>
          <w:pgMar w:top="1588" w:right="1418" w:bottom="1134" w:left="1418" w:header="851" w:footer="992" w:gutter="0"/>
          <w:cols w:space="720" w:num="1"/>
          <w:titlePg/>
          <w:docGrid w:type="lines" w:linePitch="312" w:charSpace="0"/>
        </w:sectPr>
      </w:pPr>
    </w:p>
    <w:p w14:paraId="6D0CE91C">
      <w:pPr>
        <w:pStyle w:val="17"/>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宋体"/>
          <w:b/>
          <w:bCs/>
          <w:color w:val="000000"/>
          <w:sz w:val="24"/>
          <w:szCs w:val="24"/>
          <w:highlight w:val="none"/>
          <w:lang w:val="en-US" w:eastAsia="zh-CN"/>
        </w:rPr>
        <w:t>附件</w:t>
      </w:r>
      <w:r>
        <w:rPr>
          <w:rFonts w:hint="eastAsia" w:hAnsi="宋体" w:eastAsia="宋体" w:cs="宋体"/>
          <w:b/>
          <w:bCs/>
          <w:color w:val="000000"/>
          <w:sz w:val="24"/>
          <w:szCs w:val="24"/>
          <w:highlight w:val="none"/>
          <w:lang w:val="en-US" w:eastAsia="zh-CN"/>
        </w:rPr>
        <w:t>16</w:t>
      </w:r>
      <w:r>
        <w:rPr>
          <w:rFonts w:hint="eastAsia" w:ascii="宋体" w:hAnsi="宋体" w:eastAsia="宋体" w:cs="宋体"/>
          <w:b/>
          <w:bCs/>
          <w:color w:val="000000"/>
          <w:sz w:val="24"/>
          <w:szCs w:val="24"/>
          <w:highlight w:val="none"/>
          <w:lang w:val="en-US" w:eastAsia="zh-CN"/>
        </w:rPr>
        <w:t xml:space="preserve"> </w:t>
      </w:r>
      <w:r>
        <w:rPr>
          <w:rFonts w:hint="eastAsia" w:ascii="宋体" w:hAnsi="宋体" w:eastAsia="宋体" w:cs="Times New Roman"/>
          <w:b/>
          <w:color w:val="000000"/>
          <w:sz w:val="24"/>
          <w:szCs w:val="24"/>
          <w:highlight w:val="none"/>
          <w:lang w:val="en-US" w:eastAsia="zh-CN"/>
        </w:rPr>
        <w:t>SRM系统供应商用户手册</w:t>
      </w:r>
    </w:p>
    <w:p w14:paraId="50A1EC15">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44"/>
          <w:rFonts w:hint="eastAsia" w:ascii="宋体" w:hAnsi="宋体" w:eastAsia="宋体" w:cs="宋体"/>
          <w:sz w:val="24"/>
          <w:szCs w:val="24"/>
          <w:highlight w:val="none"/>
        </w:rPr>
        <w:fldChar w:fldCharType="begin"/>
      </w:r>
      <w:r>
        <w:rPr>
          <w:rStyle w:val="44"/>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44"/>
          <w:rFonts w:hint="eastAsia" w:ascii="宋体" w:hAnsi="宋体" w:eastAsia="宋体" w:cs="宋体"/>
          <w:sz w:val="24"/>
          <w:szCs w:val="24"/>
          <w:highlight w:val="none"/>
        </w:rPr>
        <w:fldChar w:fldCharType="separate"/>
      </w:r>
      <w:r>
        <w:rPr>
          <w:rStyle w:val="44"/>
          <w:rFonts w:hint="eastAsia" w:ascii="宋体" w:hAnsi="宋体" w:eastAsia="宋体" w:cs="宋体"/>
          <w:sz w:val="24"/>
          <w:szCs w:val="24"/>
          <w:highlight w:val="none"/>
        </w:rPr>
        <w:t>http</w:t>
      </w:r>
      <w:r>
        <w:rPr>
          <w:rStyle w:val="44"/>
          <w:rFonts w:hint="eastAsia" w:ascii="宋体" w:hAnsi="宋体" w:eastAsia="宋体" w:cs="宋体"/>
          <w:sz w:val="24"/>
          <w:szCs w:val="24"/>
          <w:highlight w:val="none"/>
          <w:lang w:val="en-US" w:eastAsia="zh-CN"/>
        </w:rPr>
        <w:t>s</w:t>
      </w:r>
      <w:r>
        <w:rPr>
          <w:rStyle w:val="44"/>
          <w:rFonts w:hint="eastAsia" w:ascii="宋体" w:hAnsi="宋体" w:eastAsia="宋体" w:cs="宋体"/>
          <w:sz w:val="24"/>
          <w:szCs w:val="24"/>
          <w:highlight w:val="none"/>
        </w:rPr>
        <w:t>://ecaitong.sinotruk.com:8012/</w:t>
      </w:r>
      <w:r>
        <w:rPr>
          <w:rStyle w:val="44"/>
          <w:rFonts w:hint="eastAsia" w:ascii="宋体" w:hAnsi="宋体" w:eastAsia="宋体" w:cs="宋体"/>
          <w:sz w:val="24"/>
          <w:szCs w:val="24"/>
          <w:highlight w:val="none"/>
        </w:rPr>
        <w:fldChar w:fldCharType="end"/>
      </w:r>
    </w:p>
    <w:p w14:paraId="68DA9451">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r>
        <w:rPr>
          <w:rFonts w:hint="eastAsia" w:ascii="宋体" w:hAnsi="宋体" w:eastAsia="宋体" w:cs="宋体"/>
          <w:i w:val="0"/>
          <w:strike w:val="0"/>
          <w:color w:val="000000"/>
          <w:sz w:val="24"/>
          <w:szCs w:val="24"/>
          <w:highlight w:val="none"/>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highlight w:val="none"/>
          <w:u w:val="none"/>
          <w:lang w:eastAsia="zh-CN"/>
        </w:rPr>
        <w:t>）</w:t>
      </w:r>
    </w:p>
    <w:p w14:paraId="707D2EF1">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14:paraId="2455E8A7">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14:paraId="307DB3C8">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14:paraId="0B641CF2">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14:paraId="32B973D5">
      <w:pPr>
        <w:snapToGrid/>
        <w:spacing w:before="0" w:after="0" w:line="240" w:lineRule="auto"/>
        <w:ind w:left="0" w:right="0"/>
        <w:jc w:val="both"/>
        <w:rPr>
          <w:highlight w:val="none"/>
        </w:rPr>
      </w:pPr>
      <w:r>
        <w:rPr>
          <w:highlight w:val="none"/>
        </w:rP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9"/>
                    <a:stretch>
                      <a:fillRect/>
                    </a:stretch>
                  </pic:blipFill>
                  <pic:spPr>
                    <a:xfrm>
                      <a:off x="0" y="0"/>
                      <a:ext cx="5760085" cy="2269864"/>
                    </a:xfrm>
                    <a:prstGeom prst="rect">
                      <a:avLst/>
                    </a:prstGeom>
                  </pic:spPr>
                </pic:pic>
              </a:graphicData>
            </a:graphic>
          </wp:inline>
        </w:drawing>
      </w:r>
    </w:p>
    <w:p w14:paraId="19748125">
      <w:pPr>
        <w:snapToGrid/>
        <w:spacing w:before="0" w:after="0" w:line="240" w:lineRule="auto"/>
        <w:ind w:left="0" w:right="0"/>
        <w:jc w:val="both"/>
        <w:rPr>
          <w:highlight w:val="none"/>
        </w:rPr>
      </w:pPr>
    </w:p>
    <w:p w14:paraId="3798451E">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14:paraId="05F3A3C9">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14:paraId="3CE5DC69">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60"/>
                    <a:stretch>
                      <a:fillRect/>
                    </a:stretch>
                  </pic:blipFill>
                  <pic:spPr>
                    <a:xfrm>
                      <a:off x="0" y="0"/>
                      <a:ext cx="5760085" cy="2125673"/>
                    </a:xfrm>
                    <a:prstGeom prst="rect">
                      <a:avLst/>
                    </a:prstGeom>
                  </pic:spPr>
                </pic:pic>
              </a:graphicData>
            </a:graphic>
          </wp:inline>
        </w:drawing>
      </w:r>
    </w:p>
    <w:p w14:paraId="47356E02">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14:paraId="6D5F9CAA">
      <w:pPr>
        <w:pStyle w:val="17"/>
        <w:rPr>
          <w:highlight w:val="none"/>
        </w:rPr>
      </w:pPr>
      <w:r>
        <w:rPr>
          <w:rFonts w:hint="eastAsia" w:ascii="宋体" w:hAnsi="宋体" w:eastAsia="宋体" w:cs="宋体"/>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none"/>
          <w:u w:val="none"/>
          <w:lang w:val="en-US" w:eastAsia="zh-CN"/>
        </w:rPr>
        <w:t>。</w:t>
      </w:r>
    </w:p>
    <w:p w14:paraId="2B35F384">
      <w:pPr>
        <w:pStyle w:val="6"/>
        <w:snapToGrid/>
        <w:spacing w:before="280" w:after="290" w:line="372" w:lineRule="auto"/>
        <w:ind w:left="425" w:right="0" w:hanging="425"/>
        <w:jc w:val="both"/>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61"/>
                    <a:stretch>
                      <a:fillRect/>
                    </a:stretch>
                  </pic:blipFill>
                  <pic:spPr>
                    <a:xfrm>
                      <a:off x="0" y="0"/>
                      <a:ext cx="5490210" cy="2669498"/>
                    </a:xfrm>
                    <a:prstGeom prst="rect">
                      <a:avLst/>
                    </a:prstGeom>
                  </pic:spPr>
                </pic:pic>
              </a:graphicData>
            </a:graphic>
          </wp:inline>
        </w:drawing>
      </w:r>
    </w:p>
    <w:p w14:paraId="0FE897F4">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14:paraId="0F0C41DF">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14:paraId="31A00A85">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14:paraId="4C83B882">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rFonts w:ascii="Arial" w:hAnsi="Arial" w:eastAsia="Arial" w:cs="Arial"/>
          <w:i w:val="0"/>
          <w:strike w:val="0"/>
          <w:color w:val="000000"/>
          <w:sz w:val="28"/>
          <w:highlight w:val="none"/>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62"/>
                    <a:stretch>
                      <a:fillRect/>
                    </a:stretch>
                  </pic:blipFill>
                  <pic:spPr>
                    <a:xfrm>
                      <a:off x="0" y="0"/>
                      <a:ext cx="5490210" cy="1992743"/>
                    </a:xfrm>
                    <a:prstGeom prst="rect">
                      <a:avLst/>
                    </a:prstGeom>
                  </pic:spPr>
                </pic:pic>
              </a:graphicData>
            </a:graphic>
          </wp:inline>
        </w:drawing>
      </w:r>
    </w:p>
    <w:p w14:paraId="5C74217F">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14:paraId="68C00CFE">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14:paraId="3A0A0E72">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14:paraId="0212178F">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14:paraId="6F32665D">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14:paraId="2019B45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14:paraId="555D8830">
      <w:pPr>
        <w:pStyle w:val="6"/>
        <w:snapToGrid/>
        <w:spacing w:before="280" w:after="290" w:line="372" w:lineRule="auto"/>
        <w:ind w:left="425" w:right="0" w:hanging="425"/>
        <w:jc w:val="both"/>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63"/>
                    <a:stretch>
                      <a:fillRect/>
                    </a:stretch>
                  </pic:blipFill>
                  <pic:spPr>
                    <a:xfrm>
                      <a:off x="0" y="0"/>
                      <a:ext cx="5490210" cy="2544669"/>
                    </a:xfrm>
                    <a:prstGeom prst="rect">
                      <a:avLst/>
                    </a:prstGeom>
                  </pic:spPr>
                </pic:pic>
              </a:graphicData>
            </a:graphic>
          </wp:inline>
        </w:drawing>
      </w:r>
    </w:p>
    <w:p w14:paraId="3AE2441C">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14:paraId="3F227E30">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14:paraId="47C3DEF3">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14:paraId="0429132A">
      <w:pPr>
        <w:snapToGrid/>
        <w:spacing w:before="0" w:after="0" w:line="240" w:lineRule="auto"/>
        <w:ind w:left="0" w:right="0"/>
        <w:jc w:val="both"/>
        <w:rPr>
          <w:highlight w:val="none"/>
        </w:rPr>
      </w:pPr>
      <w:r>
        <w:rPr>
          <w:highlight w:val="none"/>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4"/>
                    <a:stretch>
                      <a:fillRect/>
                    </a:stretch>
                  </pic:blipFill>
                  <pic:spPr>
                    <a:xfrm>
                      <a:off x="0" y="0"/>
                      <a:ext cx="5760085" cy="1956600"/>
                    </a:xfrm>
                    <a:prstGeom prst="rect">
                      <a:avLst/>
                    </a:prstGeom>
                  </pic:spPr>
                </pic:pic>
              </a:graphicData>
            </a:graphic>
          </wp:inline>
        </w:drawing>
      </w:r>
    </w:p>
    <w:p w14:paraId="4BD4AC88">
      <w:pPr>
        <w:pStyle w:val="17"/>
        <w:rPr>
          <w:rFonts w:hint="eastAsia" w:hAnsi="宋体" w:eastAsia="宋体" w:cs="Times New Roman"/>
          <w:b/>
          <w:color w:val="000000"/>
          <w:sz w:val="24"/>
          <w:szCs w:val="24"/>
          <w:highlight w:val="none"/>
          <w:lang w:val="en-US" w:eastAsia="zh-CN"/>
        </w:rPr>
        <w:sectPr>
          <w:pgSz w:w="11906" w:h="16838"/>
          <w:pgMar w:top="1588" w:right="1418" w:bottom="1134" w:left="1418" w:header="851" w:footer="992" w:gutter="0"/>
          <w:cols w:space="720" w:num="1"/>
          <w:titlePg/>
          <w:docGrid w:type="lines" w:linePitch="312" w:charSpace="0"/>
        </w:sectPr>
      </w:pPr>
    </w:p>
    <w:p w14:paraId="060D18AA">
      <w:pPr>
        <w:pStyle w:val="17"/>
        <w:rPr>
          <w:rFonts w:hint="eastAsia" w:hAnsi="宋体" w:eastAsia="宋体" w:cs="Times New Roman"/>
          <w:b/>
          <w:color w:val="000000"/>
          <w:sz w:val="24"/>
          <w:szCs w:val="24"/>
          <w:highlight w:val="none"/>
          <w:lang w:val="en-US" w:eastAsia="zh-CN"/>
        </w:rPr>
      </w:pPr>
    </w:p>
    <w:sectPr>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570F3B">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52C1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0852C1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C9C42">
    <w:pPr>
      <w:pStyle w:val="2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6F254D">
                          <w:pPr>
                            <w:pStyle w:val="22"/>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216F254D">
                    <w:pPr>
                      <w:pStyle w:val="22"/>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72BAD">
    <w:pPr>
      <w:pStyle w:val="22"/>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EC84B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59EC84B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8F1507">
    <w:pPr>
      <w:pStyle w:val="22"/>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9D9C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539D9C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6177D">
    <w:pPr>
      <w:pStyle w:val="22"/>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12B9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3512B9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BE010">
    <w:pPr>
      <w:pStyle w:val="22"/>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D21D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ED21D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03C09">
    <w:pPr>
      <w:pStyle w:val="22"/>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CE9C0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01CE9C0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9E4A75">
    <w:pPr>
      <w:pStyle w:val="22"/>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E7333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7DE7333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76D6A">
    <w:pPr>
      <w:pStyle w:val="22"/>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8CC18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578CC18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AB3CA">
    <w:pPr>
      <w:pStyle w:val="22"/>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F3A82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09F3A82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BC7D2">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73265">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69EC9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269EC9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7F313">
    <w:pPr>
      <w:pStyle w:val="22"/>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EF369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0DEF369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69BFD">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0E1E9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770E1E9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A73A1">
    <w:pPr>
      <w:spacing w:line="182" w:lineRule="auto"/>
      <w:ind w:left="6866"/>
      <w:rPr>
        <w:rFonts w:ascii="宋体" w:hAnsi="宋体" w:eastAsia="宋体" w:cs="宋体"/>
        <w:sz w:val="18"/>
        <w:szCs w:val="1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6F7A7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18939">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788601">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43CAFA">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9314E">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A367B5">
                          <w:pPr>
                            <w:pStyle w:val="22"/>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41A367B5">
                    <w:pPr>
                      <w:pStyle w:val="22"/>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83F28">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1ED494">
                          <w:pPr>
                            <w:pStyle w:val="22"/>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001ED494">
                    <w:pPr>
                      <w:pStyle w:val="22"/>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D0FEA">
    <w:pPr>
      <w:pStyle w:val="22"/>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195C4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06195C4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D9F12">
    <w:pPr>
      <w:pStyle w:val="22"/>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E6DEA7">
                          <w:pPr>
                            <w:pStyle w:val="2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48E6DEA7">
                    <w:pPr>
                      <w:pStyle w:val="2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6F835">
    <w:pPr>
      <w:pStyle w:val="22"/>
      <w:jc w:val="center"/>
    </w:pPr>
  </w:p>
  <w:p w14:paraId="1B93BB2B">
    <w:pPr>
      <w:pStyle w:val="2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84FFA">
    <w:pPr>
      <w:pStyle w:val="2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2D41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D2D41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9D742">
    <w:pPr>
      <w:pStyle w:val="22"/>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D9BB6">
    <w:pPr>
      <w:pStyle w:val="22"/>
      <w:jc w:val="right"/>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56E338">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B1C419">
                          <w:pPr>
                            <w:pStyle w:val="22"/>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37B1C419">
                    <w:pPr>
                      <w:pStyle w:val="22"/>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D53D7">
    <w:pPr>
      <w:pStyle w:val="2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C3FF5C">
                          <w:pPr>
                            <w:pStyle w:val="22"/>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0BC3FF5C">
                    <w:pPr>
                      <w:pStyle w:val="22"/>
                    </w:pPr>
                    <w:r>
                      <w:fldChar w:fldCharType="begin"/>
                    </w:r>
                    <w:r>
                      <w:instrText xml:space="preserve"> PAGE  \* MERGEFORMAT </w:instrText>
                    </w:r>
                    <w:r>
                      <w:fldChar w:fldCharType="separate"/>
                    </w:r>
                    <w:r>
                      <w:t>94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0B532">
    <w:pPr>
      <w:pStyle w:val="2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14393">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F1284">
    <w:pPr>
      <w:pStyle w:val="2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18B64">
    <w:pPr>
      <w:pStyle w:val="23"/>
      <w:pBdr>
        <w:bottom w:val="single" w:color="auto" w:sz="12" w:space="9"/>
      </w:pBdr>
      <w:jc w:val="both"/>
    </w:pPr>
    <w:r>
      <w:object>
        <v:shape id="_x0000_i1025"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5" DrawAspect="Content" ObjectID="_1468075725" r:id="rId1">
          <o:LockedField>false</o:LockedField>
        </o:OLEObject>
      </w:object>
    </w:r>
    <w:r>
      <w:rPr>
        <w:rFonts w:hint="eastAsia" w:ascii="黑体" w:eastAsia="黑体"/>
        <w:sz w:val="24"/>
      </w:rPr>
      <w:t xml:space="preserve">           </w:t>
    </w:r>
    <w:r>
      <w:rPr>
        <w:rFonts w:hint="eastAsia" w:ascii="黑体" w:eastAsia="黑体"/>
        <w:sz w:val="24"/>
        <w:szCs w:val="24"/>
        <w:lang w:eastAsia="zh-CN"/>
      </w:rPr>
      <w:t>拉鲁定位装置和台中测量装置开发项目</w:t>
    </w:r>
    <w:r>
      <w:rPr>
        <w:rFonts w:hint="eastAsia" w:ascii="黑体" w:eastAsia="黑体"/>
        <w:sz w:val="24"/>
        <w:szCs w:val="24"/>
      </w:rPr>
      <w:t>技术标书</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93787">
    <w:pPr>
      <w:pStyle w:val="23"/>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F58DE">
    <w:pPr>
      <w:pStyle w:val="23"/>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14E2E">
    <w:pPr>
      <w:pStyle w:val="23"/>
      <w:pBdr>
        <w:bottom w:val="none" w:color="auto" w:sz="0" w:space="1"/>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7B372">
    <w:pPr>
      <w:pStyle w:val="23"/>
    </w:pPr>
  </w:p>
  <w:p w14:paraId="30B637B9">
    <w:pPr>
      <w:pStyle w:val="2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87FA8">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EE185667"/>
    <w:multiLevelType w:val="multilevel"/>
    <w:tmpl w:val="EE185667"/>
    <w:lvl w:ilvl="0" w:tentative="0">
      <w:start w:val="4"/>
      <w:numFmt w:val="decimal"/>
      <w:suff w:val="space"/>
      <w:lvlText w:val="%1."/>
      <w:lvlJc w:val="left"/>
      <w:rPr>
        <w:rFonts w:hint="default"/>
        <w:strike w:val="0"/>
        <w:dstrike w:val="0"/>
      </w:rPr>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3">
    <w:nsid w:val="F7F34956"/>
    <w:multiLevelType w:val="multilevel"/>
    <w:tmpl w:val="F7F34956"/>
    <w:lvl w:ilvl="0" w:tentative="0">
      <w:start w:val="1"/>
      <w:numFmt w:val="decimal"/>
      <w:lvlText w:val="%1."/>
      <w:lvlJc w:val="left"/>
      <w:pPr>
        <w:tabs>
          <w:tab w:val="left" w:pos="312"/>
        </w:tabs>
        <w:ind w:left="0" w:firstLine="0"/>
      </w:pPr>
      <w:rPr>
        <w:rFonts w:ascii="宋体" w:hAnsi="宋体" w:eastAsia="宋体" w:cs="宋体"/>
        <w:b w:val="0"/>
        <w:bCs w:val="0"/>
        <w:sz w:val="20"/>
        <w:szCs w:val="20"/>
      </w:r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440"/>
        </w:tabs>
        <w:ind w:left="1440" w:hanging="360"/>
      </w:pPr>
    </w:lvl>
    <w:lvl w:ilvl="3" w:tentative="0">
      <w:start w:val="1"/>
      <w:numFmt w:val="decimal"/>
      <w:lvlText w:val="%4."/>
      <w:lvlJc w:val="left"/>
      <w:pPr>
        <w:tabs>
          <w:tab w:val="left" w:pos="1800"/>
        </w:tabs>
        <w:ind w:left="1800" w:hanging="360"/>
      </w:pPr>
    </w:lvl>
    <w:lvl w:ilvl="4" w:tentative="0">
      <w:start w:val="1"/>
      <w:numFmt w:val="decimal"/>
      <w:lvlText w:val="%5."/>
      <w:lvlJc w:val="left"/>
      <w:pPr>
        <w:tabs>
          <w:tab w:val="left" w:pos="2160"/>
        </w:tabs>
        <w:ind w:left="2160" w:hanging="360"/>
      </w:pPr>
    </w:lvl>
    <w:lvl w:ilvl="5" w:tentative="0">
      <w:start w:val="1"/>
      <w:numFmt w:val="decimal"/>
      <w:lvlText w:val="%6."/>
      <w:lvlJc w:val="left"/>
      <w:pPr>
        <w:tabs>
          <w:tab w:val="left" w:pos="2520"/>
        </w:tabs>
        <w:ind w:left="2520" w:hanging="360"/>
      </w:pPr>
    </w:lvl>
    <w:lvl w:ilvl="6" w:tentative="0">
      <w:start w:val="1"/>
      <w:numFmt w:val="decimal"/>
      <w:lvlText w:val="%7."/>
      <w:lvlJc w:val="left"/>
      <w:pPr>
        <w:tabs>
          <w:tab w:val="left" w:pos="2880"/>
        </w:tabs>
        <w:ind w:left="2880" w:hanging="360"/>
      </w:pPr>
    </w:lvl>
    <w:lvl w:ilvl="7" w:tentative="0">
      <w:start w:val="1"/>
      <w:numFmt w:val="decimal"/>
      <w:lvlText w:val="%8."/>
      <w:lvlJc w:val="left"/>
      <w:pPr>
        <w:tabs>
          <w:tab w:val="left" w:pos="3240"/>
        </w:tabs>
        <w:ind w:left="3240" w:hanging="360"/>
      </w:pPr>
    </w:lvl>
    <w:lvl w:ilvl="8" w:tentative="0">
      <w:start w:val="1"/>
      <w:numFmt w:val="decimal"/>
      <w:lvlText w:val="%9."/>
      <w:lvlJc w:val="left"/>
      <w:pPr>
        <w:tabs>
          <w:tab w:val="left" w:pos="3600"/>
        </w:tabs>
        <w:ind w:left="3600" w:hanging="360"/>
      </w:p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7032E8A"/>
    <w:multiLevelType w:val="multilevel"/>
    <w:tmpl w:val="07032E8A"/>
    <w:lvl w:ilvl="0" w:tentative="0">
      <w:start w:val="4"/>
      <w:numFmt w:val="chineseCountingThousand"/>
      <w:lvlText w:val="%1、"/>
      <w:lvlJc w:val="left"/>
      <w:pPr>
        <w:tabs>
          <w:tab w:val="left" w:pos="900"/>
        </w:tabs>
        <w:ind w:left="900" w:hanging="420"/>
      </w:pPr>
      <w:rPr>
        <w:rFonts w:hint="eastAsia"/>
      </w:rPr>
    </w:lvl>
    <w:lvl w:ilvl="1" w:tentative="0">
      <w:start w:val="1"/>
      <w:numFmt w:val="decimal"/>
      <w:lvlText w:val="%2、"/>
      <w:lvlJc w:val="left"/>
      <w:pPr>
        <w:tabs>
          <w:tab w:val="left" w:pos="1080"/>
        </w:tabs>
        <w:ind w:left="1080" w:hanging="360"/>
      </w:pPr>
      <w:rPr>
        <w:rFonts w:hint="default"/>
      </w:rPr>
    </w:lvl>
    <w:lvl w:ilvl="2" w:tentative="0">
      <w:start w:val="1"/>
      <w:numFmt w:val="lowerRoman"/>
      <w:lvlText w:val="%3."/>
      <w:lvlJc w:val="right"/>
      <w:pPr>
        <w:tabs>
          <w:tab w:val="left" w:pos="1740"/>
        </w:tabs>
        <w:ind w:left="1740" w:hanging="420"/>
      </w:pPr>
      <w:rPr>
        <w:rFonts w:hint="eastAsia"/>
      </w:rPr>
    </w:lvl>
    <w:lvl w:ilvl="3" w:tentative="0">
      <w:start w:val="1"/>
      <w:numFmt w:val="decimal"/>
      <w:lvlText w:val="%4."/>
      <w:lvlJc w:val="left"/>
      <w:pPr>
        <w:tabs>
          <w:tab w:val="left" w:pos="2160"/>
        </w:tabs>
        <w:ind w:left="2160" w:hanging="420"/>
      </w:pPr>
      <w:rPr>
        <w:rFonts w:hint="eastAsia"/>
      </w:rPr>
    </w:lvl>
    <w:lvl w:ilvl="4" w:tentative="0">
      <w:start w:val="1"/>
      <w:numFmt w:val="lowerLetter"/>
      <w:lvlText w:val="%5)"/>
      <w:lvlJc w:val="left"/>
      <w:pPr>
        <w:tabs>
          <w:tab w:val="left" w:pos="2580"/>
        </w:tabs>
        <w:ind w:left="2580" w:hanging="420"/>
      </w:pPr>
      <w:rPr>
        <w:rFonts w:hint="eastAsia"/>
      </w:rPr>
    </w:lvl>
    <w:lvl w:ilvl="5" w:tentative="0">
      <w:start w:val="1"/>
      <w:numFmt w:val="lowerRoman"/>
      <w:lvlText w:val="%6."/>
      <w:lvlJc w:val="right"/>
      <w:pPr>
        <w:tabs>
          <w:tab w:val="left" w:pos="3000"/>
        </w:tabs>
        <w:ind w:left="3000" w:hanging="420"/>
      </w:pPr>
      <w:rPr>
        <w:rFonts w:hint="eastAsia"/>
      </w:rPr>
    </w:lvl>
    <w:lvl w:ilvl="6" w:tentative="0">
      <w:start w:val="1"/>
      <w:numFmt w:val="decimal"/>
      <w:lvlText w:val="%7."/>
      <w:lvlJc w:val="left"/>
      <w:pPr>
        <w:tabs>
          <w:tab w:val="left" w:pos="3420"/>
        </w:tabs>
        <w:ind w:left="3420" w:hanging="420"/>
      </w:pPr>
      <w:rPr>
        <w:rFonts w:hint="eastAsia"/>
      </w:rPr>
    </w:lvl>
    <w:lvl w:ilvl="7" w:tentative="0">
      <w:start w:val="1"/>
      <w:numFmt w:val="lowerLetter"/>
      <w:lvlText w:val="%8)"/>
      <w:lvlJc w:val="left"/>
      <w:pPr>
        <w:tabs>
          <w:tab w:val="left" w:pos="3840"/>
        </w:tabs>
        <w:ind w:left="3840" w:hanging="420"/>
      </w:pPr>
      <w:rPr>
        <w:rFonts w:hint="eastAsia"/>
      </w:rPr>
    </w:lvl>
    <w:lvl w:ilvl="8" w:tentative="0">
      <w:start w:val="1"/>
      <w:numFmt w:val="lowerRoman"/>
      <w:lvlText w:val="%9."/>
      <w:lvlJc w:val="right"/>
      <w:pPr>
        <w:tabs>
          <w:tab w:val="left" w:pos="4260"/>
        </w:tabs>
        <w:ind w:left="4260" w:hanging="420"/>
      </w:pPr>
      <w:rPr>
        <w:rFonts w:hint="eastAsia"/>
      </w:r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abstractNum w:abstractNumId="11">
    <w:nsid w:val="7A612DE2"/>
    <w:multiLevelType w:val="singleLevel"/>
    <w:tmpl w:val="7A612DE2"/>
    <w:lvl w:ilvl="0" w:tentative="0">
      <w:start w:val="2"/>
      <w:numFmt w:val="decimal"/>
      <w:lvlText w:val="%1."/>
      <w:lvlJc w:val="left"/>
      <w:pPr>
        <w:tabs>
          <w:tab w:val="left" w:pos="312"/>
        </w:tabs>
      </w:pPr>
    </w:lvl>
  </w:abstractNum>
  <w:num w:numId="1">
    <w:abstractNumId w:val="10"/>
  </w:num>
  <w:num w:numId="2">
    <w:abstractNumId w:val="0"/>
  </w:num>
  <w:num w:numId="3">
    <w:abstractNumId w:val="11"/>
  </w:num>
  <w:num w:numId="4">
    <w:abstractNumId w:val="7"/>
  </w:num>
  <w:num w:numId="5">
    <w:abstractNumId w:val="4"/>
  </w:num>
  <w:num w:numId="6">
    <w:abstractNumId w:val="9"/>
  </w:num>
  <w:num w:numId="7">
    <w:abstractNumId w:val="1"/>
  </w:num>
  <w:num w:numId="8">
    <w:abstractNumId w:val="8"/>
  </w:num>
  <w:num w:numId="9">
    <w:abstractNumId w:val="6"/>
  </w:num>
  <w:num w:numId="10">
    <w:abstractNumId w:val="2"/>
  </w:num>
  <w:num w:numId="11">
    <w:abstractNumId w:val="5"/>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2F0D5C9B"/>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F71720"/>
    <w:rsid w:val="00FE040F"/>
    <w:rsid w:val="00FE42B3"/>
    <w:rsid w:val="014832F2"/>
    <w:rsid w:val="014D51C1"/>
    <w:rsid w:val="01714809"/>
    <w:rsid w:val="01C2598E"/>
    <w:rsid w:val="01C52478"/>
    <w:rsid w:val="027408EE"/>
    <w:rsid w:val="02963F39"/>
    <w:rsid w:val="02B3095A"/>
    <w:rsid w:val="02BA7274"/>
    <w:rsid w:val="03251978"/>
    <w:rsid w:val="0325718A"/>
    <w:rsid w:val="03FB1DBD"/>
    <w:rsid w:val="042921B6"/>
    <w:rsid w:val="043342B8"/>
    <w:rsid w:val="043B72BB"/>
    <w:rsid w:val="04461EC1"/>
    <w:rsid w:val="04504B3F"/>
    <w:rsid w:val="04AD02B8"/>
    <w:rsid w:val="04DE51C8"/>
    <w:rsid w:val="04DF17D4"/>
    <w:rsid w:val="04EE7F1F"/>
    <w:rsid w:val="05412745"/>
    <w:rsid w:val="05491761"/>
    <w:rsid w:val="05793C8D"/>
    <w:rsid w:val="05A351AD"/>
    <w:rsid w:val="05F9748A"/>
    <w:rsid w:val="06266F78"/>
    <w:rsid w:val="063E7B7A"/>
    <w:rsid w:val="06582413"/>
    <w:rsid w:val="06682E69"/>
    <w:rsid w:val="067E33B8"/>
    <w:rsid w:val="06B96433"/>
    <w:rsid w:val="06E82FCB"/>
    <w:rsid w:val="06F34B95"/>
    <w:rsid w:val="07571DAC"/>
    <w:rsid w:val="07867620"/>
    <w:rsid w:val="08916B94"/>
    <w:rsid w:val="08DD171B"/>
    <w:rsid w:val="08E64121"/>
    <w:rsid w:val="09390B2F"/>
    <w:rsid w:val="0942017F"/>
    <w:rsid w:val="095215D6"/>
    <w:rsid w:val="09BA1FBB"/>
    <w:rsid w:val="09CB139F"/>
    <w:rsid w:val="09CB7FB1"/>
    <w:rsid w:val="0A0106F5"/>
    <w:rsid w:val="0A034BDA"/>
    <w:rsid w:val="0A112AB7"/>
    <w:rsid w:val="0A4E5482"/>
    <w:rsid w:val="0AAA504A"/>
    <w:rsid w:val="0AD71BC7"/>
    <w:rsid w:val="0AF420EB"/>
    <w:rsid w:val="0B2B2BF5"/>
    <w:rsid w:val="0B2F3908"/>
    <w:rsid w:val="0B3F6206"/>
    <w:rsid w:val="0BDE715C"/>
    <w:rsid w:val="0BE12DB6"/>
    <w:rsid w:val="0BFC6504"/>
    <w:rsid w:val="0C09403B"/>
    <w:rsid w:val="0C345AD1"/>
    <w:rsid w:val="0C360B29"/>
    <w:rsid w:val="0C626CE4"/>
    <w:rsid w:val="0D030966"/>
    <w:rsid w:val="0D0C2B7B"/>
    <w:rsid w:val="0D5D1124"/>
    <w:rsid w:val="0D9308F8"/>
    <w:rsid w:val="0DAC1F9A"/>
    <w:rsid w:val="0DE76C3D"/>
    <w:rsid w:val="0E1A1D85"/>
    <w:rsid w:val="0E750568"/>
    <w:rsid w:val="0E9C3C97"/>
    <w:rsid w:val="0EED3B7D"/>
    <w:rsid w:val="0F2D7A80"/>
    <w:rsid w:val="0F4277E5"/>
    <w:rsid w:val="0FA75561"/>
    <w:rsid w:val="0FB83603"/>
    <w:rsid w:val="0FCA77F1"/>
    <w:rsid w:val="0FCD5DCC"/>
    <w:rsid w:val="10043197"/>
    <w:rsid w:val="10270545"/>
    <w:rsid w:val="103409DF"/>
    <w:rsid w:val="108A1D4B"/>
    <w:rsid w:val="10A10111"/>
    <w:rsid w:val="10BE093E"/>
    <w:rsid w:val="10E20BD8"/>
    <w:rsid w:val="111B0FE9"/>
    <w:rsid w:val="112C77F4"/>
    <w:rsid w:val="114755AB"/>
    <w:rsid w:val="115F67A8"/>
    <w:rsid w:val="119A7465"/>
    <w:rsid w:val="11A833CB"/>
    <w:rsid w:val="11C07DA5"/>
    <w:rsid w:val="11C2491E"/>
    <w:rsid w:val="11F36B75"/>
    <w:rsid w:val="12491386"/>
    <w:rsid w:val="12E60579"/>
    <w:rsid w:val="12EB0F02"/>
    <w:rsid w:val="13695B36"/>
    <w:rsid w:val="1372609F"/>
    <w:rsid w:val="13D73572"/>
    <w:rsid w:val="14504752"/>
    <w:rsid w:val="145A6A37"/>
    <w:rsid w:val="1467440F"/>
    <w:rsid w:val="15400323"/>
    <w:rsid w:val="15433A9B"/>
    <w:rsid w:val="15FC2F04"/>
    <w:rsid w:val="16181FAC"/>
    <w:rsid w:val="164C61AC"/>
    <w:rsid w:val="168756A0"/>
    <w:rsid w:val="16F94849"/>
    <w:rsid w:val="17045E51"/>
    <w:rsid w:val="172011D4"/>
    <w:rsid w:val="17252C3B"/>
    <w:rsid w:val="173C25C7"/>
    <w:rsid w:val="173F0A2E"/>
    <w:rsid w:val="17770BC2"/>
    <w:rsid w:val="17860E2F"/>
    <w:rsid w:val="17A119AA"/>
    <w:rsid w:val="18586F2B"/>
    <w:rsid w:val="19A766B9"/>
    <w:rsid w:val="19CE76BA"/>
    <w:rsid w:val="19F26070"/>
    <w:rsid w:val="19F97C8B"/>
    <w:rsid w:val="1A1523CE"/>
    <w:rsid w:val="1AA730BD"/>
    <w:rsid w:val="1ADF38C8"/>
    <w:rsid w:val="1AF33F81"/>
    <w:rsid w:val="1B333D5D"/>
    <w:rsid w:val="1B587618"/>
    <w:rsid w:val="1B5F19C7"/>
    <w:rsid w:val="1BDA063A"/>
    <w:rsid w:val="1C1C709B"/>
    <w:rsid w:val="1C4F6795"/>
    <w:rsid w:val="1C9F6814"/>
    <w:rsid w:val="1D5C514E"/>
    <w:rsid w:val="1D5C5F16"/>
    <w:rsid w:val="1D865D14"/>
    <w:rsid w:val="1D8705EC"/>
    <w:rsid w:val="1DEC0E7D"/>
    <w:rsid w:val="1E43150B"/>
    <w:rsid w:val="1EA93E80"/>
    <w:rsid w:val="1ED33FB6"/>
    <w:rsid w:val="1EE81332"/>
    <w:rsid w:val="1F1C3BAF"/>
    <w:rsid w:val="1F32415A"/>
    <w:rsid w:val="1F542F9A"/>
    <w:rsid w:val="1F702632"/>
    <w:rsid w:val="1F7E2174"/>
    <w:rsid w:val="1FB64E98"/>
    <w:rsid w:val="20107567"/>
    <w:rsid w:val="205567CA"/>
    <w:rsid w:val="20AB56C6"/>
    <w:rsid w:val="21547789"/>
    <w:rsid w:val="2176507C"/>
    <w:rsid w:val="21BE35AF"/>
    <w:rsid w:val="21C11174"/>
    <w:rsid w:val="22244B28"/>
    <w:rsid w:val="22467FD4"/>
    <w:rsid w:val="229451FD"/>
    <w:rsid w:val="22A12DB6"/>
    <w:rsid w:val="236356D1"/>
    <w:rsid w:val="23A91C83"/>
    <w:rsid w:val="23C962E8"/>
    <w:rsid w:val="247E4FED"/>
    <w:rsid w:val="24AD78E0"/>
    <w:rsid w:val="24B30BE8"/>
    <w:rsid w:val="24E34060"/>
    <w:rsid w:val="250F4259"/>
    <w:rsid w:val="252C4420"/>
    <w:rsid w:val="253A0491"/>
    <w:rsid w:val="254E0478"/>
    <w:rsid w:val="25E036B2"/>
    <w:rsid w:val="25E9082A"/>
    <w:rsid w:val="25F2284F"/>
    <w:rsid w:val="25F42473"/>
    <w:rsid w:val="26392A41"/>
    <w:rsid w:val="269C17B8"/>
    <w:rsid w:val="26AF2D79"/>
    <w:rsid w:val="26B34B91"/>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9741EC"/>
    <w:rsid w:val="299E147F"/>
    <w:rsid w:val="29B155F7"/>
    <w:rsid w:val="29BD6726"/>
    <w:rsid w:val="29C32A87"/>
    <w:rsid w:val="29CF26DC"/>
    <w:rsid w:val="2A1C5DA0"/>
    <w:rsid w:val="2A200D39"/>
    <w:rsid w:val="2A507EFF"/>
    <w:rsid w:val="2ADC05A4"/>
    <w:rsid w:val="2AEF2177"/>
    <w:rsid w:val="2B161149"/>
    <w:rsid w:val="2B6F0D7F"/>
    <w:rsid w:val="2B8716BD"/>
    <w:rsid w:val="2B8A1EA0"/>
    <w:rsid w:val="2B8B76FF"/>
    <w:rsid w:val="2BD5034F"/>
    <w:rsid w:val="2D025012"/>
    <w:rsid w:val="2D4178F0"/>
    <w:rsid w:val="2DAE631A"/>
    <w:rsid w:val="2DD877E0"/>
    <w:rsid w:val="2DE616C9"/>
    <w:rsid w:val="2DFC2451"/>
    <w:rsid w:val="2E3422F8"/>
    <w:rsid w:val="2E6E566D"/>
    <w:rsid w:val="2E7F188E"/>
    <w:rsid w:val="2EBC0905"/>
    <w:rsid w:val="2EC73739"/>
    <w:rsid w:val="2EFB1B0E"/>
    <w:rsid w:val="2F0D5C9B"/>
    <w:rsid w:val="2F5C684F"/>
    <w:rsid w:val="2F63756E"/>
    <w:rsid w:val="2F904F69"/>
    <w:rsid w:val="2FC54266"/>
    <w:rsid w:val="307610EA"/>
    <w:rsid w:val="307776D1"/>
    <w:rsid w:val="30862574"/>
    <w:rsid w:val="30B631E1"/>
    <w:rsid w:val="311933AA"/>
    <w:rsid w:val="313B4776"/>
    <w:rsid w:val="317D15BB"/>
    <w:rsid w:val="31940C65"/>
    <w:rsid w:val="31C825FC"/>
    <w:rsid w:val="31D07E6C"/>
    <w:rsid w:val="31F6203D"/>
    <w:rsid w:val="323F65DA"/>
    <w:rsid w:val="32412074"/>
    <w:rsid w:val="3270063B"/>
    <w:rsid w:val="327C2FDC"/>
    <w:rsid w:val="32A43435"/>
    <w:rsid w:val="32B51A46"/>
    <w:rsid w:val="32DE0199"/>
    <w:rsid w:val="333C2963"/>
    <w:rsid w:val="335B2774"/>
    <w:rsid w:val="33A4642E"/>
    <w:rsid w:val="33D4039C"/>
    <w:rsid w:val="33D47E05"/>
    <w:rsid w:val="340E540A"/>
    <w:rsid w:val="3413677D"/>
    <w:rsid w:val="342B544B"/>
    <w:rsid w:val="345E036E"/>
    <w:rsid w:val="34C47852"/>
    <w:rsid w:val="34DE1E4F"/>
    <w:rsid w:val="34F07DB1"/>
    <w:rsid w:val="35092435"/>
    <w:rsid w:val="355A4149"/>
    <w:rsid w:val="359009FB"/>
    <w:rsid w:val="35D354B8"/>
    <w:rsid w:val="35D4025C"/>
    <w:rsid w:val="362666BC"/>
    <w:rsid w:val="367774C5"/>
    <w:rsid w:val="368A6B11"/>
    <w:rsid w:val="37085B1F"/>
    <w:rsid w:val="372E04CB"/>
    <w:rsid w:val="37D70D51"/>
    <w:rsid w:val="38891F93"/>
    <w:rsid w:val="38E070F2"/>
    <w:rsid w:val="390D33AB"/>
    <w:rsid w:val="391E6D06"/>
    <w:rsid w:val="3A074847"/>
    <w:rsid w:val="3A830B2E"/>
    <w:rsid w:val="3A9E0C6C"/>
    <w:rsid w:val="3AA90FE6"/>
    <w:rsid w:val="3AA9318F"/>
    <w:rsid w:val="3AB62DA0"/>
    <w:rsid w:val="3ACF7DBC"/>
    <w:rsid w:val="3B69577B"/>
    <w:rsid w:val="3B702D85"/>
    <w:rsid w:val="3B7D3FD5"/>
    <w:rsid w:val="3B823DDF"/>
    <w:rsid w:val="3BD827B4"/>
    <w:rsid w:val="3C237ED3"/>
    <w:rsid w:val="3C460D90"/>
    <w:rsid w:val="3C4D2D59"/>
    <w:rsid w:val="3CAA596A"/>
    <w:rsid w:val="3CAF1D22"/>
    <w:rsid w:val="3CB1587B"/>
    <w:rsid w:val="3CB735F2"/>
    <w:rsid w:val="3D186684"/>
    <w:rsid w:val="3D363C36"/>
    <w:rsid w:val="3D8B2178"/>
    <w:rsid w:val="3DB34909"/>
    <w:rsid w:val="3DBE6B48"/>
    <w:rsid w:val="3DD115F5"/>
    <w:rsid w:val="3DE435F0"/>
    <w:rsid w:val="3DE5122C"/>
    <w:rsid w:val="3DF37E53"/>
    <w:rsid w:val="3ED26DE9"/>
    <w:rsid w:val="3EED17D0"/>
    <w:rsid w:val="3F0C0304"/>
    <w:rsid w:val="3F774839"/>
    <w:rsid w:val="3FEC147E"/>
    <w:rsid w:val="40053F18"/>
    <w:rsid w:val="40376375"/>
    <w:rsid w:val="40632A1B"/>
    <w:rsid w:val="412732B7"/>
    <w:rsid w:val="4127791F"/>
    <w:rsid w:val="41281794"/>
    <w:rsid w:val="413C1FDF"/>
    <w:rsid w:val="41806A69"/>
    <w:rsid w:val="41B0259C"/>
    <w:rsid w:val="41BC6F1C"/>
    <w:rsid w:val="41EF2363"/>
    <w:rsid w:val="41F77860"/>
    <w:rsid w:val="420E6F2F"/>
    <w:rsid w:val="424A4B98"/>
    <w:rsid w:val="42581D3A"/>
    <w:rsid w:val="425962E6"/>
    <w:rsid w:val="42810A28"/>
    <w:rsid w:val="42AB29D0"/>
    <w:rsid w:val="42ED2EA4"/>
    <w:rsid w:val="42F6649D"/>
    <w:rsid w:val="42FE0080"/>
    <w:rsid w:val="43315D2E"/>
    <w:rsid w:val="43670C99"/>
    <w:rsid w:val="43824A1C"/>
    <w:rsid w:val="43904826"/>
    <w:rsid w:val="43D110E1"/>
    <w:rsid w:val="43DF072A"/>
    <w:rsid w:val="43E873C9"/>
    <w:rsid w:val="44905B1F"/>
    <w:rsid w:val="45316885"/>
    <w:rsid w:val="45334280"/>
    <w:rsid w:val="45A95EE9"/>
    <w:rsid w:val="45FB0F21"/>
    <w:rsid w:val="46167166"/>
    <w:rsid w:val="4636719A"/>
    <w:rsid w:val="47200EE3"/>
    <w:rsid w:val="47435AC2"/>
    <w:rsid w:val="47544B78"/>
    <w:rsid w:val="47587AF7"/>
    <w:rsid w:val="47745A86"/>
    <w:rsid w:val="47E239AC"/>
    <w:rsid w:val="480F4B73"/>
    <w:rsid w:val="487974BD"/>
    <w:rsid w:val="48DB38E3"/>
    <w:rsid w:val="49001B5E"/>
    <w:rsid w:val="49376DB0"/>
    <w:rsid w:val="49804BB7"/>
    <w:rsid w:val="49826DCB"/>
    <w:rsid w:val="499013E7"/>
    <w:rsid w:val="49C8088A"/>
    <w:rsid w:val="4A0F6D68"/>
    <w:rsid w:val="4A301C93"/>
    <w:rsid w:val="4A3302AB"/>
    <w:rsid w:val="4A572A17"/>
    <w:rsid w:val="4A6F2535"/>
    <w:rsid w:val="4AC85D49"/>
    <w:rsid w:val="4AE308A9"/>
    <w:rsid w:val="4B260F2D"/>
    <w:rsid w:val="4B9A1456"/>
    <w:rsid w:val="4BA32C82"/>
    <w:rsid w:val="4BE70627"/>
    <w:rsid w:val="4C0A5AE1"/>
    <w:rsid w:val="4C130AB8"/>
    <w:rsid w:val="4C5A284D"/>
    <w:rsid w:val="4C5C0673"/>
    <w:rsid w:val="4CB96B43"/>
    <w:rsid w:val="4CC75FCC"/>
    <w:rsid w:val="4CC87A5E"/>
    <w:rsid w:val="4CD63947"/>
    <w:rsid w:val="4CFC49F4"/>
    <w:rsid w:val="4D073D73"/>
    <w:rsid w:val="4D1E27BA"/>
    <w:rsid w:val="4D23574A"/>
    <w:rsid w:val="4D4C4DB0"/>
    <w:rsid w:val="4D7322D5"/>
    <w:rsid w:val="4DC000E1"/>
    <w:rsid w:val="4DD7034C"/>
    <w:rsid w:val="4DE312CB"/>
    <w:rsid w:val="4DF5318E"/>
    <w:rsid w:val="4E1F4862"/>
    <w:rsid w:val="4E2E4393"/>
    <w:rsid w:val="4E535EF2"/>
    <w:rsid w:val="4F08773C"/>
    <w:rsid w:val="4F31409F"/>
    <w:rsid w:val="4F5E670E"/>
    <w:rsid w:val="4F846A83"/>
    <w:rsid w:val="50070E2C"/>
    <w:rsid w:val="501112F3"/>
    <w:rsid w:val="504B57F2"/>
    <w:rsid w:val="50850D04"/>
    <w:rsid w:val="50C5433A"/>
    <w:rsid w:val="50C62BC7"/>
    <w:rsid w:val="50F72A66"/>
    <w:rsid w:val="5123368C"/>
    <w:rsid w:val="5130747C"/>
    <w:rsid w:val="515C765A"/>
    <w:rsid w:val="51905BB3"/>
    <w:rsid w:val="51946FCB"/>
    <w:rsid w:val="51DD796B"/>
    <w:rsid w:val="51DF373B"/>
    <w:rsid w:val="52EF4CB5"/>
    <w:rsid w:val="52F959F0"/>
    <w:rsid w:val="5302488E"/>
    <w:rsid w:val="53136173"/>
    <w:rsid w:val="532472B4"/>
    <w:rsid w:val="534B12B7"/>
    <w:rsid w:val="539A4AC7"/>
    <w:rsid w:val="541A51E1"/>
    <w:rsid w:val="542631B6"/>
    <w:rsid w:val="543D6020"/>
    <w:rsid w:val="5447483C"/>
    <w:rsid w:val="54862A07"/>
    <w:rsid w:val="54942CAE"/>
    <w:rsid w:val="54A61722"/>
    <w:rsid w:val="54B31FAF"/>
    <w:rsid w:val="54FB10D7"/>
    <w:rsid w:val="55326D63"/>
    <w:rsid w:val="555D1A10"/>
    <w:rsid w:val="5563538C"/>
    <w:rsid w:val="55C300FC"/>
    <w:rsid w:val="56AC4A78"/>
    <w:rsid w:val="56C63E25"/>
    <w:rsid w:val="56DB16B9"/>
    <w:rsid w:val="57397928"/>
    <w:rsid w:val="57627346"/>
    <w:rsid w:val="577A3463"/>
    <w:rsid w:val="57C61560"/>
    <w:rsid w:val="57F967AD"/>
    <w:rsid w:val="58052975"/>
    <w:rsid w:val="58063909"/>
    <w:rsid w:val="584D1A65"/>
    <w:rsid w:val="584F5C44"/>
    <w:rsid w:val="58825341"/>
    <w:rsid w:val="58E525CA"/>
    <w:rsid w:val="58EE7372"/>
    <w:rsid w:val="593D045A"/>
    <w:rsid w:val="5960739E"/>
    <w:rsid w:val="59896D0A"/>
    <w:rsid w:val="59B72684"/>
    <w:rsid w:val="59BB1921"/>
    <w:rsid w:val="59FE5684"/>
    <w:rsid w:val="5A1346B0"/>
    <w:rsid w:val="5A7979FA"/>
    <w:rsid w:val="5A9579AE"/>
    <w:rsid w:val="5AC468CD"/>
    <w:rsid w:val="5B342B9A"/>
    <w:rsid w:val="5B5953B0"/>
    <w:rsid w:val="5B630802"/>
    <w:rsid w:val="5B807F68"/>
    <w:rsid w:val="5BA72CE5"/>
    <w:rsid w:val="5C034D53"/>
    <w:rsid w:val="5C0A43A9"/>
    <w:rsid w:val="5C2F099C"/>
    <w:rsid w:val="5D722852"/>
    <w:rsid w:val="5DA13E95"/>
    <w:rsid w:val="5DF60588"/>
    <w:rsid w:val="5E1D6F56"/>
    <w:rsid w:val="5E52187F"/>
    <w:rsid w:val="5E6567AD"/>
    <w:rsid w:val="5E6A13CD"/>
    <w:rsid w:val="5E705D15"/>
    <w:rsid w:val="5E93326C"/>
    <w:rsid w:val="5E9F1A7A"/>
    <w:rsid w:val="5EAF3818"/>
    <w:rsid w:val="5EFB4BA4"/>
    <w:rsid w:val="5F025452"/>
    <w:rsid w:val="5F0842F3"/>
    <w:rsid w:val="5F5F46B5"/>
    <w:rsid w:val="5FB25360"/>
    <w:rsid w:val="5FBA3CC0"/>
    <w:rsid w:val="5FBE258A"/>
    <w:rsid w:val="5FD90D61"/>
    <w:rsid w:val="60177697"/>
    <w:rsid w:val="602329DB"/>
    <w:rsid w:val="60654232"/>
    <w:rsid w:val="607777D6"/>
    <w:rsid w:val="60BC76A1"/>
    <w:rsid w:val="610B7637"/>
    <w:rsid w:val="612279BA"/>
    <w:rsid w:val="615F5624"/>
    <w:rsid w:val="61D215CF"/>
    <w:rsid w:val="61D73926"/>
    <w:rsid w:val="61E27475"/>
    <w:rsid w:val="625C563D"/>
    <w:rsid w:val="626A1704"/>
    <w:rsid w:val="627921C2"/>
    <w:rsid w:val="62A510E5"/>
    <w:rsid w:val="62B362C8"/>
    <w:rsid w:val="62C1330E"/>
    <w:rsid w:val="6342085E"/>
    <w:rsid w:val="63570F1E"/>
    <w:rsid w:val="63575504"/>
    <w:rsid w:val="636F415C"/>
    <w:rsid w:val="645667E8"/>
    <w:rsid w:val="64917820"/>
    <w:rsid w:val="64AA1CC5"/>
    <w:rsid w:val="64D771FD"/>
    <w:rsid w:val="6528341F"/>
    <w:rsid w:val="656B2909"/>
    <w:rsid w:val="65970AF2"/>
    <w:rsid w:val="65A3045D"/>
    <w:rsid w:val="65D97752"/>
    <w:rsid w:val="65E25E59"/>
    <w:rsid w:val="66307F76"/>
    <w:rsid w:val="66580EAF"/>
    <w:rsid w:val="66694D0D"/>
    <w:rsid w:val="667B4472"/>
    <w:rsid w:val="66F041A8"/>
    <w:rsid w:val="6721178A"/>
    <w:rsid w:val="6739399A"/>
    <w:rsid w:val="673F39DE"/>
    <w:rsid w:val="674C5D22"/>
    <w:rsid w:val="67663AF8"/>
    <w:rsid w:val="67762CFD"/>
    <w:rsid w:val="677A678D"/>
    <w:rsid w:val="677F281B"/>
    <w:rsid w:val="67B77327"/>
    <w:rsid w:val="67D30B32"/>
    <w:rsid w:val="68011379"/>
    <w:rsid w:val="68252C37"/>
    <w:rsid w:val="683338F6"/>
    <w:rsid w:val="68491692"/>
    <w:rsid w:val="68817BAC"/>
    <w:rsid w:val="689A5E59"/>
    <w:rsid w:val="68A94E70"/>
    <w:rsid w:val="68A976BC"/>
    <w:rsid w:val="68EE72DF"/>
    <w:rsid w:val="68FE744E"/>
    <w:rsid w:val="690B4C92"/>
    <w:rsid w:val="69485FEA"/>
    <w:rsid w:val="69677DC0"/>
    <w:rsid w:val="69937EC7"/>
    <w:rsid w:val="69D64558"/>
    <w:rsid w:val="6A042548"/>
    <w:rsid w:val="6A471EFD"/>
    <w:rsid w:val="6AB57116"/>
    <w:rsid w:val="6B17424A"/>
    <w:rsid w:val="6B2218FA"/>
    <w:rsid w:val="6B686C59"/>
    <w:rsid w:val="6B691672"/>
    <w:rsid w:val="6BE97F42"/>
    <w:rsid w:val="6C5E6A51"/>
    <w:rsid w:val="6C6513C3"/>
    <w:rsid w:val="6C744268"/>
    <w:rsid w:val="6C913746"/>
    <w:rsid w:val="6C9664F6"/>
    <w:rsid w:val="6CD62D03"/>
    <w:rsid w:val="6CD97FB6"/>
    <w:rsid w:val="6D0E5050"/>
    <w:rsid w:val="6D321033"/>
    <w:rsid w:val="6D4B22B8"/>
    <w:rsid w:val="6D930013"/>
    <w:rsid w:val="6E1A1656"/>
    <w:rsid w:val="6E231DD6"/>
    <w:rsid w:val="6E5A5288"/>
    <w:rsid w:val="6EE013EE"/>
    <w:rsid w:val="6EE079F1"/>
    <w:rsid w:val="6EE42C42"/>
    <w:rsid w:val="6F77126D"/>
    <w:rsid w:val="6F7F7CB0"/>
    <w:rsid w:val="6FE0165C"/>
    <w:rsid w:val="6FE10C44"/>
    <w:rsid w:val="6FE32EFA"/>
    <w:rsid w:val="70222744"/>
    <w:rsid w:val="706D25DF"/>
    <w:rsid w:val="706D2B21"/>
    <w:rsid w:val="707B1384"/>
    <w:rsid w:val="70857A34"/>
    <w:rsid w:val="70985D3C"/>
    <w:rsid w:val="70D80585"/>
    <w:rsid w:val="70F81685"/>
    <w:rsid w:val="71047C73"/>
    <w:rsid w:val="7109004F"/>
    <w:rsid w:val="71103167"/>
    <w:rsid w:val="712E56F7"/>
    <w:rsid w:val="71691ABB"/>
    <w:rsid w:val="718E63D9"/>
    <w:rsid w:val="71AE1AEA"/>
    <w:rsid w:val="71CF3B6C"/>
    <w:rsid w:val="71F80F33"/>
    <w:rsid w:val="722922C6"/>
    <w:rsid w:val="727176A7"/>
    <w:rsid w:val="72AC2584"/>
    <w:rsid w:val="72CB03A1"/>
    <w:rsid w:val="732D4B5D"/>
    <w:rsid w:val="73393C88"/>
    <w:rsid w:val="7362513F"/>
    <w:rsid w:val="73771D49"/>
    <w:rsid w:val="73A1354E"/>
    <w:rsid w:val="73B1793A"/>
    <w:rsid w:val="74006876"/>
    <w:rsid w:val="74A11E7D"/>
    <w:rsid w:val="75590B0A"/>
    <w:rsid w:val="7582279F"/>
    <w:rsid w:val="75843EB5"/>
    <w:rsid w:val="75BB71AF"/>
    <w:rsid w:val="75F01962"/>
    <w:rsid w:val="760E19DF"/>
    <w:rsid w:val="764E52E0"/>
    <w:rsid w:val="764F3097"/>
    <w:rsid w:val="76557F3E"/>
    <w:rsid w:val="76676A53"/>
    <w:rsid w:val="76A3294D"/>
    <w:rsid w:val="76B620A1"/>
    <w:rsid w:val="76F20814"/>
    <w:rsid w:val="77462524"/>
    <w:rsid w:val="7758334E"/>
    <w:rsid w:val="779A6594"/>
    <w:rsid w:val="77A21064"/>
    <w:rsid w:val="77C96214"/>
    <w:rsid w:val="77D323A7"/>
    <w:rsid w:val="77E34EB2"/>
    <w:rsid w:val="78071E5D"/>
    <w:rsid w:val="781564B8"/>
    <w:rsid w:val="781B2E5F"/>
    <w:rsid w:val="78224ACF"/>
    <w:rsid w:val="78B74F24"/>
    <w:rsid w:val="78CD6DCC"/>
    <w:rsid w:val="78D07CAF"/>
    <w:rsid w:val="78DE12D7"/>
    <w:rsid w:val="79210683"/>
    <w:rsid w:val="799C3465"/>
    <w:rsid w:val="79B14EC4"/>
    <w:rsid w:val="7A2A6B4A"/>
    <w:rsid w:val="7A681070"/>
    <w:rsid w:val="7A860C7C"/>
    <w:rsid w:val="7A8D657D"/>
    <w:rsid w:val="7AB879FE"/>
    <w:rsid w:val="7B072683"/>
    <w:rsid w:val="7B0B6542"/>
    <w:rsid w:val="7B3264DD"/>
    <w:rsid w:val="7B81188A"/>
    <w:rsid w:val="7B9C175D"/>
    <w:rsid w:val="7B9E2902"/>
    <w:rsid w:val="7BC854E2"/>
    <w:rsid w:val="7C0562EC"/>
    <w:rsid w:val="7C067A45"/>
    <w:rsid w:val="7C27683F"/>
    <w:rsid w:val="7CB14B4D"/>
    <w:rsid w:val="7CF26969"/>
    <w:rsid w:val="7D25523C"/>
    <w:rsid w:val="7DB23041"/>
    <w:rsid w:val="7E0F024F"/>
    <w:rsid w:val="7E253FEC"/>
    <w:rsid w:val="7E5F7809"/>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46"/>
    <w:qFormat/>
    <w:uiPriority w:val="9"/>
    <w:pPr>
      <w:keepNext/>
      <w:keepLines/>
      <w:jc w:val="center"/>
      <w:outlineLvl w:val="0"/>
    </w:pPr>
    <w:rPr>
      <w:b/>
      <w:bCs/>
      <w:kern w:val="44"/>
      <w:sz w:val="36"/>
      <w:szCs w:val="44"/>
    </w:rPr>
  </w:style>
  <w:style w:type="paragraph" w:styleId="4">
    <w:name w:val="heading 2"/>
    <w:basedOn w:val="1"/>
    <w:next w:val="1"/>
    <w:link w:val="47"/>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qFormat/>
    <w:uiPriority w:val="0"/>
    <w:pPr>
      <w:keepNext/>
      <w:keepLines/>
      <w:spacing w:line="480" w:lineRule="exact"/>
      <w:outlineLvl w:val="4"/>
    </w:pPr>
    <w:rPr>
      <w:bCs/>
      <w:szCs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69"/>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0"/>
    <w:qFormat/>
    <w:uiPriority w:val="0"/>
    <w:pPr>
      <w:jc w:val="left"/>
    </w:pPr>
  </w:style>
  <w:style w:type="paragraph" w:styleId="13">
    <w:name w:val="Body Text"/>
    <w:basedOn w:val="1"/>
    <w:next w:val="1"/>
    <w:link w:val="8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Body Text Indent"/>
    <w:basedOn w:val="1"/>
    <w:link w:val="78"/>
    <w:qFormat/>
    <w:uiPriority w:val="99"/>
    <w:pPr>
      <w:spacing w:after="120"/>
      <w:ind w:left="420" w:leftChars="200"/>
    </w:pPr>
    <w:rPr>
      <w:rFonts w:ascii="Calibri" w:hAnsi="Calibri" w:eastAsia="宋体" w:cs="Times New Roman"/>
      <w:szCs w:val="20"/>
    </w:rPr>
  </w:style>
  <w:style w:type="paragraph" w:styleId="15">
    <w:name w:val="index 4"/>
    <w:basedOn w:val="1"/>
    <w:next w:val="1"/>
    <w:qFormat/>
    <w:uiPriority w:val="0"/>
    <w:pPr>
      <w:ind w:left="600" w:leftChars="600"/>
    </w:pPr>
  </w:style>
  <w:style w:type="paragraph" w:styleId="16">
    <w:name w:val="toc 5"/>
    <w:basedOn w:val="1"/>
    <w:next w:val="1"/>
    <w:qFormat/>
    <w:uiPriority w:val="39"/>
    <w:pPr>
      <w:ind w:left="960"/>
      <w:jc w:val="left"/>
    </w:pPr>
    <w:rPr>
      <w:rFonts w:ascii="Calibri" w:hAnsi="Calibri" w:eastAsia="宋体" w:cs="Times New Roman"/>
      <w:sz w:val="18"/>
      <w:szCs w:val="18"/>
    </w:rPr>
  </w:style>
  <w:style w:type="paragraph" w:styleId="17">
    <w:name w:val="Plain Text"/>
    <w:basedOn w:val="1"/>
    <w:link w:val="71"/>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2"/>
    <w:qFormat/>
    <w:uiPriority w:val="0"/>
    <w:pPr>
      <w:ind w:left="100" w:leftChars="2500"/>
    </w:pPr>
    <w:rPr>
      <w:sz w:val="24"/>
    </w:rPr>
  </w:style>
  <w:style w:type="paragraph" w:styleId="20">
    <w:name w:val="Body Text Indent 2"/>
    <w:basedOn w:val="1"/>
    <w:link w:val="50"/>
    <w:qFormat/>
    <w:uiPriority w:val="0"/>
    <w:pPr>
      <w:spacing w:after="120" w:line="480" w:lineRule="auto"/>
      <w:ind w:left="420" w:leftChars="200"/>
    </w:pPr>
  </w:style>
  <w:style w:type="paragraph" w:styleId="21">
    <w:name w:val="Balloon Text"/>
    <w:basedOn w:val="1"/>
    <w:link w:val="66"/>
    <w:qFormat/>
    <w:uiPriority w:val="0"/>
    <w:rPr>
      <w:sz w:val="18"/>
    </w:rPr>
  </w:style>
  <w:style w:type="paragraph" w:styleId="22">
    <w:name w:val="footer"/>
    <w:basedOn w:val="1"/>
    <w:link w:val="72"/>
    <w:qFormat/>
    <w:uiPriority w:val="99"/>
    <w:pPr>
      <w:tabs>
        <w:tab w:val="center" w:pos="4153"/>
        <w:tab w:val="right" w:pos="8306"/>
      </w:tabs>
      <w:snapToGrid w:val="0"/>
      <w:jc w:val="left"/>
    </w:pPr>
    <w:rPr>
      <w:sz w:val="18"/>
    </w:rPr>
  </w:style>
  <w:style w:type="paragraph" w:styleId="23">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2"/>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2"/>
    <w:next w:val="12"/>
    <w:link w:val="51"/>
    <w:qFormat/>
    <w:uiPriority w:val="0"/>
    <w:rPr>
      <w:b/>
    </w:rPr>
  </w:style>
  <w:style w:type="paragraph" w:styleId="35">
    <w:name w:val="Body Text First Indent 2"/>
    <w:basedOn w:val="14"/>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character" w:customStyle="1" w:styleId="46">
    <w:name w:val="标题 1 字符"/>
    <w:basedOn w:val="38"/>
    <w:link w:val="2"/>
    <w:qFormat/>
    <w:uiPriority w:val="9"/>
    <w:rPr>
      <w:rFonts w:ascii="Calibri" w:hAnsi="Calibri" w:eastAsia="宋体" w:cs="Times New Roman"/>
      <w:b/>
      <w:bCs/>
      <w:kern w:val="44"/>
      <w:sz w:val="36"/>
      <w:szCs w:val="44"/>
    </w:rPr>
  </w:style>
  <w:style w:type="character" w:customStyle="1" w:styleId="47">
    <w:name w:val="标题 2 字符"/>
    <w:basedOn w:val="38"/>
    <w:link w:val="4"/>
    <w:qFormat/>
    <w:uiPriority w:val="9"/>
    <w:rPr>
      <w:rFonts w:ascii="Arial" w:hAnsi="Arial" w:eastAsia="宋体" w:cs="Times New Roman"/>
      <w:b/>
      <w:bCs/>
      <w:sz w:val="24"/>
      <w:szCs w:val="32"/>
    </w:rPr>
  </w:style>
  <w:style w:type="character" w:customStyle="1" w:styleId="48">
    <w:name w:val="标题 3 字符"/>
    <w:basedOn w:val="38"/>
    <w:link w:val="5"/>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20"/>
    <w:qFormat/>
    <w:locked/>
    <w:uiPriority w:val="0"/>
  </w:style>
  <w:style w:type="character" w:customStyle="1" w:styleId="51">
    <w:name w:val="批注主题 字符"/>
    <w:link w:val="34"/>
    <w:qFormat/>
    <w:locked/>
    <w:uiPriority w:val="0"/>
    <w:rPr>
      <w:b/>
    </w:rPr>
  </w:style>
  <w:style w:type="character" w:customStyle="1" w:styleId="52">
    <w:name w:val="正文文本缩进 3 字符"/>
    <w:link w:val="28"/>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8"/>
    <w:qFormat/>
    <w:uiPriority w:val="0"/>
    <w:rPr>
      <w:rFonts w:cs="Times New Roman"/>
    </w:rPr>
  </w:style>
  <w:style w:type="character" w:customStyle="1" w:styleId="58">
    <w:name w:val="页眉 字符"/>
    <w:link w:val="23"/>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2"/>
    <w:qFormat/>
    <w:locked/>
    <w:uiPriority w:val="0"/>
  </w:style>
  <w:style w:type="character" w:customStyle="1" w:styleId="61">
    <w:name w:val="标题 字符"/>
    <w:link w:val="33"/>
    <w:qFormat/>
    <w:locked/>
    <w:uiPriority w:val="0"/>
    <w:rPr>
      <w:rFonts w:ascii="Arial" w:hAnsi="Arial"/>
      <w:b/>
      <w:sz w:val="32"/>
    </w:rPr>
  </w:style>
  <w:style w:type="character" w:customStyle="1" w:styleId="62">
    <w:name w:val="日期 字符"/>
    <w:link w:val="19"/>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1"/>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10"/>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7"/>
    <w:qFormat/>
    <w:locked/>
    <w:uiPriority w:val="0"/>
    <w:rPr>
      <w:rFonts w:ascii="宋体" w:hAnsi="Courier New"/>
    </w:rPr>
  </w:style>
  <w:style w:type="character" w:customStyle="1" w:styleId="72">
    <w:name w:val="页脚 字符"/>
    <w:link w:val="22"/>
    <w:qFormat/>
    <w:locked/>
    <w:uiPriority w:val="99"/>
    <w:rPr>
      <w:sz w:val="18"/>
    </w:rPr>
  </w:style>
  <w:style w:type="character" w:customStyle="1" w:styleId="73">
    <w:name w:val="Default Char"/>
    <w:link w:val="74"/>
    <w:qFormat/>
    <w:locked/>
    <w:uiPriority w:val="0"/>
    <w:rPr>
      <w:rFonts w:ascii="仿宋_GB2312" w:eastAsia="仿宋_GB2312"/>
      <w:color w:val="000000"/>
      <w:sz w:val="24"/>
    </w:rPr>
  </w:style>
  <w:style w:type="paragraph" w:customStyle="1" w:styleId="74">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5">
    <w:name w:val="页脚 Char"/>
    <w:qFormat/>
    <w:locked/>
    <w:uiPriority w:val="99"/>
    <w:rPr>
      <w:sz w:val="18"/>
    </w:rPr>
  </w:style>
  <w:style w:type="character" w:customStyle="1" w:styleId="76">
    <w:name w:val="批注文字 字符1"/>
    <w:basedOn w:val="38"/>
    <w:semiHidden/>
    <w:qFormat/>
    <w:uiPriority w:val="99"/>
  </w:style>
  <w:style w:type="character" w:customStyle="1" w:styleId="77">
    <w:name w:val="批注文字 字符11"/>
    <w:basedOn w:val="38"/>
    <w:qFormat/>
    <w:uiPriority w:val="0"/>
    <w:rPr>
      <w:rFonts w:cs="Times New Roman"/>
      <w:kern w:val="2"/>
      <w:sz w:val="21"/>
    </w:rPr>
  </w:style>
  <w:style w:type="character" w:customStyle="1" w:styleId="78">
    <w:name w:val="正文文本缩进 字符"/>
    <w:basedOn w:val="38"/>
    <w:link w:val="14"/>
    <w:qFormat/>
    <w:uiPriority w:val="99"/>
    <w:rPr>
      <w:rFonts w:ascii="Calibri" w:hAnsi="Calibri" w:eastAsia="宋体" w:cs="Times New Roman"/>
      <w:szCs w:val="20"/>
    </w:rPr>
  </w:style>
  <w:style w:type="character" w:customStyle="1" w:styleId="79">
    <w:name w:val="文档结构图 字符1"/>
    <w:basedOn w:val="38"/>
    <w:semiHidden/>
    <w:qFormat/>
    <w:uiPriority w:val="99"/>
    <w:rPr>
      <w:rFonts w:ascii="Microsoft YaHei UI" w:eastAsia="Microsoft YaHei UI"/>
      <w:sz w:val="18"/>
      <w:szCs w:val="18"/>
    </w:rPr>
  </w:style>
  <w:style w:type="character" w:customStyle="1" w:styleId="80">
    <w:name w:val="文档结构图 字符11"/>
    <w:basedOn w:val="38"/>
    <w:semiHidden/>
    <w:qFormat/>
    <w:uiPriority w:val="99"/>
    <w:rPr>
      <w:rFonts w:ascii="Microsoft YaHei UI" w:eastAsia="Microsoft YaHei UI" w:cs="Times New Roman"/>
      <w:kern w:val="2"/>
      <w:sz w:val="18"/>
      <w:szCs w:val="18"/>
    </w:rPr>
  </w:style>
  <w:style w:type="character" w:customStyle="1" w:styleId="81">
    <w:name w:val="正文文本 字符"/>
    <w:basedOn w:val="38"/>
    <w:link w:val="13"/>
    <w:qFormat/>
    <w:uiPriority w:val="99"/>
    <w:rPr>
      <w:rFonts w:ascii="Calibri" w:hAnsi="Calibri" w:eastAsia="新宋体" w:cs="Times New Roman"/>
      <w:szCs w:val="21"/>
    </w:rPr>
  </w:style>
  <w:style w:type="character" w:customStyle="1" w:styleId="82">
    <w:name w:val="纯文本 字符1"/>
    <w:basedOn w:val="38"/>
    <w:semiHidden/>
    <w:qFormat/>
    <w:uiPriority w:val="99"/>
    <w:rPr>
      <w:rFonts w:hAnsi="Courier New" w:cs="Courier New" w:asciiTheme="minorEastAsia"/>
    </w:rPr>
  </w:style>
  <w:style w:type="character" w:customStyle="1" w:styleId="83">
    <w:name w:val="纯文本 字符11"/>
    <w:basedOn w:val="38"/>
    <w:qFormat/>
    <w:uiPriority w:val="0"/>
    <w:rPr>
      <w:rFonts w:hAnsi="Courier New" w:cs="Courier New" w:asciiTheme="minorEastAsia" w:eastAsiaTheme="minorEastAsia"/>
      <w:kern w:val="2"/>
      <w:sz w:val="21"/>
    </w:rPr>
  </w:style>
  <w:style w:type="character" w:customStyle="1" w:styleId="84">
    <w:name w:val="页眉 字符1"/>
    <w:basedOn w:val="38"/>
    <w:semiHidden/>
    <w:qFormat/>
    <w:uiPriority w:val="99"/>
    <w:rPr>
      <w:sz w:val="18"/>
      <w:szCs w:val="18"/>
    </w:rPr>
  </w:style>
  <w:style w:type="character" w:customStyle="1" w:styleId="85">
    <w:name w:val="页眉 字符11"/>
    <w:basedOn w:val="38"/>
    <w:semiHidden/>
    <w:qFormat/>
    <w:uiPriority w:val="99"/>
    <w:rPr>
      <w:rFonts w:cs="Times New Roman"/>
      <w:kern w:val="2"/>
      <w:sz w:val="18"/>
      <w:szCs w:val="18"/>
    </w:rPr>
  </w:style>
  <w:style w:type="character" w:customStyle="1" w:styleId="86">
    <w:name w:val="批注框文本 字符1"/>
    <w:basedOn w:val="38"/>
    <w:semiHidden/>
    <w:qFormat/>
    <w:uiPriority w:val="99"/>
    <w:rPr>
      <w:sz w:val="18"/>
      <w:szCs w:val="18"/>
    </w:rPr>
  </w:style>
  <w:style w:type="character" w:customStyle="1" w:styleId="87">
    <w:name w:val="批注框文本 字符11"/>
    <w:basedOn w:val="38"/>
    <w:semiHidden/>
    <w:qFormat/>
    <w:uiPriority w:val="99"/>
    <w:rPr>
      <w:rFonts w:cs="Times New Roman"/>
      <w:kern w:val="2"/>
      <w:sz w:val="18"/>
      <w:szCs w:val="18"/>
    </w:rPr>
  </w:style>
  <w:style w:type="character" w:customStyle="1" w:styleId="88">
    <w:name w:val="日期 字符1"/>
    <w:basedOn w:val="38"/>
    <w:semiHidden/>
    <w:qFormat/>
    <w:uiPriority w:val="99"/>
  </w:style>
  <w:style w:type="character" w:customStyle="1" w:styleId="89">
    <w:name w:val="日期 字符11"/>
    <w:basedOn w:val="38"/>
    <w:semiHidden/>
    <w:qFormat/>
    <w:uiPriority w:val="99"/>
    <w:rPr>
      <w:rFonts w:cs="Times New Roman"/>
      <w:kern w:val="2"/>
      <w:sz w:val="21"/>
    </w:rPr>
  </w:style>
  <w:style w:type="character" w:customStyle="1" w:styleId="90">
    <w:name w:val="页脚 字符1"/>
    <w:basedOn w:val="38"/>
    <w:semiHidden/>
    <w:qFormat/>
    <w:uiPriority w:val="99"/>
    <w:rPr>
      <w:sz w:val="18"/>
      <w:szCs w:val="18"/>
    </w:rPr>
  </w:style>
  <w:style w:type="character" w:customStyle="1" w:styleId="91">
    <w:name w:val="页脚 字符11"/>
    <w:basedOn w:val="38"/>
    <w:semiHidden/>
    <w:qFormat/>
    <w:uiPriority w:val="99"/>
    <w:rPr>
      <w:rFonts w:cs="Times New Roman"/>
      <w:kern w:val="2"/>
      <w:sz w:val="18"/>
      <w:szCs w:val="18"/>
    </w:rPr>
  </w:style>
  <w:style w:type="character" w:customStyle="1" w:styleId="92">
    <w:name w:val="正文文本缩进 2 字符1"/>
    <w:basedOn w:val="38"/>
    <w:semiHidden/>
    <w:qFormat/>
    <w:uiPriority w:val="99"/>
  </w:style>
  <w:style w:type="character" w:customStyle="1" w:styleId="93">
    <w:name w:val="正文文本缩进 2 字符11"/>
    <w:basedOn w:val="38"/>
    <w:semiHidden/>
    <w:qFormat/>
    <w:uiPriority w:val="99"/>
    <w:rPr>
      <w:rFonts w:cs="Times New Roman"/>
      <w:kern w:val="2"/>
      <w:sz w:val="21"/>
    </w:rPr>
  </w:style>
  <w:style w:type="character" w:customStyle="1" w:styleId="94">
    <w:name w:val="正文文本缩进 3 字符1"/>
    <w:basedOn w:val="38"/>
    <w:semiHidden/>
    <w:qFormat/>
    <w:uiPriority w:val="99"/>
    <w:rPr>
      <w:sz w:val="16"/>
      <w:szCs w:val="16"/>
    </w:rPr>
  </w:style>
  <w:style w:type="character" w:customStyle="1" w:styleId="95">
    <w:name w:val="正文文本缩进 3 字符11"/>
    <w:basedOn w:val="38"/>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8"/>
    <w:qFormat/>
    <w:uiPriority w:val="10"/>
    <w:rPr>
      <w:rFonts w:asciiTheme="majorHAnsi" w:hAnsiTheme="majorHAnsi" w:eastAsiaTheme="majorEastAsia" w:cstheme="majorBidi"/>
      <w:b/>
      <w:bCs/>
      <w:sz w:val="32"/>
      <w:szCs w:val="32"/>
    </w:rPr>
  </w:style>
  <w:style w:type="character" w:customStyle="1" w:styleId="99">
    <w:name w:val="标题 字符11"/>
    <w:basedOn w:val="38"/>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7"/>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4"/>
    <w:link w:val="116"/>
    <w:qFormat/>
    <w:uiPriority w:val="0"/>
    <w:pPr>
      <w:spacing w:line="240" w:lineRule="auto"/>
      <w:jc w:val="left"/>
    </w:pPr>
    <w:rPr>
      <w:rFonts w:ascii="宋体" w:hAnsi="宋体" w:eastAsia="黑体"/>
      <w:b w:val="0"/>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5"/>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2"/>
    <w:qFormat/>
    <w:uiPriority w:val="0"/>
    <w:pPr>
      <w:spacing w:before="0" w:after="0" w:line="240" w:lineRule="auto"/>
      <w:jc w:val="center"/>
    </w:pPr>
    <w:rPr>
      <w:rFonts w:eastAsia="黑体"/>
      <w:b w:val="0"/>
      <w:color w:val="000000"/>
      <w:sz w:val="30"/>
      <w:szCs w:val="24"/>
    </w:rPr>
  </w:style>
  <w:style w:type="paragraph" w:customStyle="1" w:styleId="132">
    <w:name w:val="无间隔1"/>
    <w:qFormat/>
    <w:uiPriority w:val="0"/>
    <w:rPr>
      <w:rFonts w:ascii="Calibri" w:hAnsi="Calibri" w:eastAsia="Calibri" w:cs="Times New Roman"/>
      <w:szCs w:val="22"/>
      <w:lang w:val="en-GB" w:eastAsia="en-US" w:bidi="ar-SA"/>
    </w:rPr>
  </w:style>
  <w:style w:type="character" w:customStyle="1" w:styleId="133">
    <w:name w:val="font21"/>
    <w:basedOn w:val="38"/>
    <w:qFormat/>
    <w:uiPriority w:val="0"/>
    <w:rPr>
      <w:rFonts w:hint="eastAsia" w:ascii="宋体" w:hAnsi="宋体" w:eastAsia="宋体" w:cs="宋体"/>
      <w:color w:val="000000"/>
      <w:sz w:val="24"/>
      <w:szCs w:val="24"/>
      <w:u w:val="none"/>
    </w:rPr>
  </w:style>
  <w:style w:type="character" w:customStyle="1" w:styleId="134">
    <w:name w:val="font01"/>
    <w:basedOn w:val="38"/>
    <w:qFormat/>
    <w:uiPriority w:val="0"/>
    <w:rPr>
      <w:rFonts w:hint="eastAsia" w:ascii="宋体" w:hAnsi="宋体" w:eastAsia="宋体" w:cs="宋体"/>
      <w:color w:val="000000"/>
      <w:sz w:val="18"/>
      <w:szCs w:val="18"/>
      <w:u w:val="none"/>
    </w:rPr>
  </w:style>
  <w:style w:type="character" w:customStyle="1" w:styleId="135">
    <w:name w:val="15"/>
    <w:qFormat/>
    <w:uiPriority w:val="0"/>
    <w:rPr>
      <w:rFonts w:hint="eastAsia" w:ascii="微软雅黑" w:hAnsi="微软雅黑" w:eastAsia="微软雅黑"/>
      <w:color w:val="000000"/>
      <w:sz w:val="22"/>
      <w:szCs w:val="22"/>
    </w:rPr>
  </w:style>
  <w:style w:type="character" w:customStyle="1" w:styleId="136">
    <w:name w:val="font61"/>
    <w:basedOn w:val="38"/>
    <w:qFormat/>
    <w:uiPriority w:val="0"/>
    <w:rPr>
      <w:rFonts w:hint="default" w:ascii="Times New Roman" w:hAnsi="Times New Roman" w:cs="Times New Roman"/>
      <w:color w:val="000000"/>
      <w:sz w:val="20"/>
      <w:szCs w:val="20"/>
      <w:u w:val="none"/>
    </w:rPr>
  </w:style>
  <w:style w:type="character" w:customStyle="1" w:styleId="137">
    <w:name w:val="font51"/>
    <w:basedOn w:val="38"/>
    <w:qFormat/>
    <w:uiPriority w:val="0"/>
    <w:rPr>
      <w:rFonts w:hint="eastAsia" w:ascii="宋体" w:hAnsi="宋体" w:eastAsia="宋体" w:cs="宋体"/>
      <w:color w:val="000000"/>
      <w:sz w:val="20"/>
      <w:szCs w:val="20"/>
      <w:u w:val="none"/>
    </w:rPr>
  </w:style>
  <w:style w:type="paragraph" w:customStyle="1" w:styleId="138">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8" Type="http://schemas.openxmlformats.org/officeDocument/2006/relationships/fontTable" Target="fontTable.xml"/><Relationship Id="rId67" Type="http://schemas.openxmlformats.org/officeDocument/2006/relationships/customXml" Target="../customXml/item2.xml"/><Relationship Id="rId66" Type="http://schemas.openxmlformats.org/officeDocument/2006/relationships/numbering" Target="numbering.xml"/><Relationship Id="rId65" Type="http://schemas.openxmlformats.org/officeDocument/2006/relationships/customXml" Target="../customXml/item1.xml"/><Relationship Id="rId64" Type="http://schemas.openxmlformats.org/officeDocument/2006/relationships/image" Target="media/image24.png"/><Relationship Id="rId63" Type="http://schemas.openxmlformats.org/officeDocument/2006/relationships/image" Target="media/image23.png"/><Relationship Id="rId62" Type="http://schemas.openxmlformats.org/officeDocument/2006/relationships/image" Target="media/image22.png"/><Relationship Id="rId61" Type="http://schemas.openxmlformats.org/officeDocument/2006/relationships/image" Target="media/image21.png"/><Relationship Id="rId60" Type="http://schemas.openxmlformats.org/officeDocument/2006/relationships/image" Target="media/image20.png"/><Relationship Id="rId6" Type="http://schemas.openxmlformats.org/officeDocument/2006/relationships/footer" Target="footer3.xml"/><Relationship Id="rId59" Type="http://schemas.openxmlformats.org/officeDocument/2006/relationships/image" Target="media/image19.png"/><Relationship Id="rId58" Type="http://schemas.openxmlformats.org/officeDocument/2006/relationships/image" Target="media/image18.png"/><Relationship Id="rId57" Type="http://schemas.openxmlformats.org/officeDocument/2006/relationships/image" Target="media/image17.png"/><Relationship Id="rId56" Type="http://schemas.openxmlformats.org/officeDocument/2006/relationships/image" Target="media/image16.png"/><Relationship Id="rId55" Type="http://schemas.openxmlformats.org/officeDocument/2006/relationships/image" Target="media/image15.png"/><Relationship Id="rId54" Type="http://schemas.openxmlformats.org/officeDocument/2006/relationships/image" Target="media/image14.png"/><Relationship Id="rId53" Type="http://schemas.openxmlformats.org/officeDocument/2006/relationships/image" Target="media/image13.png"/><Relationship Id="rId52" Type="http://schemas.openxmlformats.org/officeDocument/2006/relationships/image" Target="media/image12.png"/><Relationship Id="rId51" Type="http://schemas.openxmlformats.org/officeDocument/2006/relationships/image" Target="media/image11.png"/><Relationship Id="rId50" Type="http://schemas.openxmlformats.org/officeDocument/2006/relationships/image" Target="media/image10.png"/><Relationship Id="rId5" Type="http://schemas.openxmlformats.org/officeDocument/2006/relationships/header" Target="header1.xml"/><Relationship Id="rId49" Type="http://schemas.openxmlformats.org/officeDocument/2006/relationships/image" Target="media/image9.png"/><Relationship Id="rId48" Type="http://schemas.openxmlformats.org/officeDocument/2006/relationships/image" Target="media/image8.png"/><Relationship Id="rId47" Type="http://schemas.openxmlformats.org/officeDocument/2006/relationships/image" Target="media/image7.png"/><Relationship Id="rId46" Type="http://schemas.openxmlformats.org/officeDocument/2006/relationships/image" Target="media/image6.png"/><Relationship Id="rId45" Type="http://schemas.openxmlformats.org/officeDocument/2006/relationships/image" Target="media/image5.png"/><Relationship Id="rId44" Type="http://schemas.openxmlformats.org/officeDocument/2006/relationships/image" Target="media/image4.png"/><Relationship Id="rId43" Type="http://schemas.openxmlformats.org/officeDocument/2006/relationships/image" Target="media/image3.png"/><Relationship Id="rId42" Type="http://schemas.openxmlformats.org/officeDocument/2006/relationships/image" Target="media/image2.png"/><Relationship Id="rId41" Type="http://schemas.openxmlformats.org/officeDocument/2006/relationships/theme" Target="theme/theme1.xml"/><Relationship Id="rId40" Type="http://schemas.openxmlformats.org/officeDocument/2006/relationships/footer" Target="footer29.xml"/><Relationship Id="rId4" Type="http://schemas.openxmlformats.org/officeDocument/2006/relationships/footer" Target="footer2.xml"/><Relationship Id="rId39" Type="http://schemas.openxmlformats.org/officeDocument/2006/relationships/footer" Target="footer28.xml"/><Relationship Id="rId38" Type="http://schemas.openxmlformats.org/officeDocument/2006/relationships/header" Target="header9.xml"/><Relationship Id="rId37" Type="http://schemas.openxmlformats.org/officeDocument/2006/relationships/header" Target="header8.xml"/><Relationship Id="rId36" Type="http://schemas.openxmlformats.org/officeDocument/2006/relationships/footer" Target="footer27.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footer" Target="footer23.xml"/><Relationship Id="rId31" Type="http://schemas.openxmlformats.org/officeDocument/2006/relationships/footer" Target="footer22.xml"/><Relationship Id="rId30" Type="http://schemas.openxmlformats.org/officeDocument/2006/relationships/footer" Target="footer21.xml"/><Relationship Id="rId3" Type="http://schemas.openxmlformats.org/officeDocument/2006/relationships/footer" Target="footer1.xml"/><Relationship Id="rId29" Type="http://schemas.openxmlformats.org/officeDocument/2006/relationships/footer" Target="footer20.xml"/><Relationship Id="rId28" Type="http://schemas.openxmlformats.org/officeDocument/2006/relationships/footer" Target="footer19.xml"/><Relationship Id="rId27" Type="http://schemas.openxmlformats.org/officeDocument/2006/relationships/footer" Target="footer18.xml"/><Relationship Id="rId26" Type="http://schemas.openxmlformats.org/officeDocument/2006/relationships/footer" Target="footer17.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footer" Target="footer14.xml"/><Relationship Id="rId22" Type="http://schemas.openxmlformats.org/officeDocument/2006/relationships/footer" Target="footer13.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Normal.dotm</Template>
  <Pages>87</Pages>
  <Words>6622</Words>
  <Characters>7069</Characters>
  <Lines>305</Lines>
  <Paragraphs>86</Paragraphs>
  <TotalTime>1</TotalTime>
  <ScaleCrop>false</ScaleCrop>
  <LinksUpToDate>false</LinksUpToDate>
  <CharactersWithSpaces>7254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2025-03-07T07:40:00Z</dcterms:created>
  <dc:creator>刘剑</dc:creator>
  <cp:lastModifiedBy>张志纯</cp:lastModifiedBy>
  <dcterms:modified xsi:type="dcterms:W3CDTF">2025-10-31T03:07:38Z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09BDEC1243614C78AFDF3F798DF4106D_11</vt:lpwstr>
  </property>
  <property fmtid="{D5CDD505-2E9C-101B-9397-08002B2CF9AE}" pid="4" name="KSOTemplateDocerSaveRecord">
    <vt:lpwstr>eyJoZGlkIjoiODY0NTcxYjI4Y2NjNTJkNmIwYzM2NDk2ZTI0NWYxZjQiLCJ1c2VySWQiOiIxNjcxODY1NzIwIn0=</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