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lang w:val="en-US" w:eastAsia="zh-CN"/>
        </w:rPr>
        <w:t>济南发动机厂危险废物仓库整改</w:t>
      </w:r>
      <w:r>
        <w:rPr>
          <w:rFonts w:hint="eastAsia" w:ascii="仿宋_GB2312" w:hAnsi="仿宋_GB2312" w:eastAsia="仿宋_GB2312" w:cs="仿宋_GB2312"/>
          <w:b/>
          <w:bCs/>
          <w:color w:val="000000"/>
          <w:spacing w:val="-8"/>
          <w:sz w:val="48"/>
          <w:szCs w:val="48"/>
        </w:rPr>
        <w:t>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lang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：中国重汽集团济南动力有限公司发动机厂</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10</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3"/>
        <w:jc w:val="both"/>
        <w:rPr>
          <w:rFonts w:hint="eastAsia" w:ascii="仿宋_GB2312" w:hAnsi="仿宋_GB2312" w:eastAsia="仿宋_GB2312" w:cs="仿宋_GB2312"/>
          <w:sz w:val="44"/>
        </w:rPr>
      </w:pPr>
      <w:bookmarkStart w:id="0" w:name="_Toc5202"/>
      <w:bookmarkStart w:id="1" w:name="_Toc23693"/>
      <w:bookmarkStart w:id="2" w:name="_Toc15480"/>
      <w:bookmarkStart w:id="3" w:name="_Toc29994"/>
      <w:bookmarkStart w:id="4" w:name="_Toc22242"/>
    </w:p>
    <w:p>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w:t>
            </w:r>
            <w:r>
              <w:rPr>
                <w:rFonts w:hint="eastAsia" w:ascii="仿宋_GB2312" w:hAnsi="仿宋_GB2312" w:eastAsia="仿宋_GB2312" w:cs="仿宋_GB2312"/>
                <w:b/>
                <w:bCs/>
                <w:sz w:val="24"/>
                <w:szCs w:val="24"/>
                <w:lang w:val="en-US" w:eastAsia="zh-CN"/>
              </w:rPr>
              <w:t>济南发动机厂危险废物仓库整改项目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项目编号：FSCZB2025100129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w:t>
            </w:r>
            <w:r>
              <w:rPr>
                <w:rFonts w:hint="eastAsia" w:ascii="仿宋_GB2312" w:hAnsi="仿宋_GB2312" w:eastAsia="仿宋_GB2312" w:cs="仿宋_GB2312"/>
                <w:b/>
                <w:bCs/>
                <w:sz w:val="24"/>
                <w:szCs w:val="24"/>
                <w:lang w:val="en-US" w:eastAsia="zh-CN"/>
              </w:rPr>
              <w:t>本项目为济南发动机厂危废库改造工程，施工面积约315㎡，涉及地面防渗系统升级、导流设施建设、防火分区优化等七大改造内容，符合《危险废物贮存污染控制标准》（GB18597-2023）要求。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中国重汽集团济南动力有限公司发动机厂</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val="en-US" w:eastAsia="zh-CN"/>
              </w:rPr>
              <w:t>中国重汽集团济南动力有限公司发动机厂</w:t>
            </w:r>
            <w:r>
              <w:rPr>
                <w:rFonts w:hint="eastAsia" w:ascii="仿宋_GB2312" w:hAnsi="仿宋_GB2312" w:eastAsia="仿宋_GB2312" w:cs="仿宋_GB2312"/>
                <w:sz w:val="24"/>
                <w:szCs w:val="24"/>
              </w:rPr>
              <w:t xml:space="preserve"> </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隗金涛</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w:t>
            </w:r>
            <w:r>
              <w:rPr>
                <w:rFonts w:hint="eastAsia" w:ascii="宋体" w:hAnsi="宋体" w:eastAsia="宋体" w:cs="宋体"/>
                <w:b/>
                <w:snapToGrid w:val="0"/>
                <w:kern w:val="0"/>
                <w:sz w:val="24"/>
                <w:szCs w:val="24"/>
                <w:lang w:val="en-US" w:eastAsia="zh-CN"/>
              </w:rPr>
              <w:t>18660197818</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邮箱：weijintao@sinotruk.com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23.66</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9%</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spacing w:line="360" w:lineRule="auto"/>
              <w:ind w:firstLine="420" w:firstLineChars="200"/>
              <w:rPr>
                <w:b/>
              </w:rPr>
            </w:pPr>
          </w:p>
          <w:p>
            <w:pPr>
              <w:pStyle w:val="22"/>
              <w:numPr>
                <w:ilvl w:val="0"/>
                <w:numId w:val="2"/>
              </w:numPr>
              <w:spacing w:line="360" w:lineRule="auto"/>
              <w:ind w:left="425" w:leftChars="0" w:hanging="425" w:firstLineChars="0"/>
              <w:rPr>
                <w:b/>
                <w:highlight w:val="none"/>
              </w:rPr>
            </w:pPr>
            <w:r>
              <w:rPr>
                <w:rFonts w:hint="eastAsia"/>
                <w:highlight w:val="none"/>
              </w:rPr>
              <w:t>投标人须遵守《中华人民共和国招标投标法</w:t>
            </w:r>
            <w:r>
              <w:rPr>
                <w:rFonts w:hint="eastAsia"/>
                <w:highlight w:val="none"/>
                <w:lang w:eastAsia="zh-CN"/>
              </w:rPr>
              <w:t>》《</w:t>
            </w:r>
            <w:r>
              <w:rPr>
                <w:rFonts w:hint="eastAsia"/>
                <w:highlight w:val="none"/>
              </w:rPr>
              <w:t>中华人民共和国民法典》</w:t>
            </w:r>
            <w:r>
              <w:rPr>
                <w:rFonts w:hint="eastAsia"/>
                <w:highlight w:val="none"/>
                <w:lang w:eastAsia="zh-CN"/>
              </w:rPr>
              <w:t>及其他有关的</w:t>
            </w:r>
            <w:r>
              <w:rPr>
                <w:rFonts w:hint="eastAsia"/>
                <w:highlight w:val="none"/>
              </w:rPr>
              <w:t>法律和法规；为中华人民共和国境内注册的独立法人机构，具有独立承担民事责任能力；</w:t>
            </w:r>
          </w:p>
          <w:p>
            <w:pPr>
              <w:pStyle w:val="22"/>
              <w:numPr>
                <w:ilvl w:val="0"/>
                <w:numId w:val="2"/>
              </w:numPr>
              <w:spacing w:line="360" w:lineRule="auto"/>
              <w:ind w:left="425" w:leftChars="0" w:hanging="425" w:firstLineChars="0"/>
              <w:rPr>
                <w:b/>
                <w:bCs/>
                <w:highlight w:val="none"/>
              </w:rPr>
            </w:pPr>
            <w:r>
              <w:rPr>
                <w:rFonts w:hint="eastAsia"/>
              </w:rPr>
              <w:t>公司成立三年以上（以营业执照成立日期到开标当日满三年为准）；</w:t>
            </w:r>
            <w:r>
              <w:rPr>
                <w:rFonts w:hint="eastAsia"/>
                <w:lang w:eastAsia="zh-CN"/>
              </w:rPr>
              <w:t>原则上</w:t>
            </w:r>
            <w:r>
              <w:rPr>
                <w:rFonts w:hint="eastAsia"/>
              </w:rPr>
              <w:t>注册资金不少于</w:t>
            </w:r>
            <w:r>
              <w:rPr>
                <w:rFonts w:hint="eastAsia"/>
                <w:b/>
                <w:bCs/>
              </w:rPr>
              <w:t>500万元</w:t>
            </w:r>
            <w:r>
              <w:rPr>
                <w:rFonts w:hint="eastAsia"/>
                <w:b/>
                <w:bCs/>
                <w:lang w:eastAsia="zh-CN"/>
              </w:rPr>
              <w:t>或不低于项目标的额，</w:t>
            </w:r>
            <w:r>
              <w:rPr>
                <w:rFonts w:hint="eastAsia" w:ascii="宋体" w:hAnsi="Courier New" w:eastAsia="宋体" w:cs="Times New Roman"/>
                <w:lang w:eastAsia="zh-CN"/>
              </w:rPr>
              <w:t>投标人注册资金不符条件但确属优秀的，经项目实施单位和业务主管部门负责人会签后，可接受投标</w:t>
            </w:r>
            <w:r>
              <w:rPr>
                <w:rFonts w:hint="eastAsia" w:hAnsi="宋体"/>
                <w:sz w:val="24"/>
              </w:rPr>
              <w:t>；</w:t>
            </w:r>
            <w:r>
              <w:rPr>
                <w:rFonts w:hint="eastAsia" w:hAnsi="宋体"/>
                <w:szCs w:val="21"/>
              </w:rPr>
              <w:t>并</w:t>
            </w:r>
            <w:r>
              <w:rPr>
                <w:rFonts w:hAnsi="宋体"/>
                <w:szCs w:val="21"/>
              </w:rPr>
              <w:t>在人员、设备、资金等方面具有承担本</w:t>
            </w:r>
            <w:r>
              <w:rPr>
                <w:rFonts w:hint="eastAsia" w:hAnsi="宋体"/>
                <w:szCs w:val="21"/>
              </w:rPr>
              <w:t>项目</w:t>
            </w:r>
            <w:r>
              <w:rPr>
                <w:rFonts w:hAnsi="宋体"/>
                <w:szCs w:val="21"/>
              </w:rPr>
              <w:t>的能力</w:t>
            </w:r>
            <w:r>
              <w:rPr>
                <w:rFonts w:hint="eastAsia" w:ascii="宋体" w:hAnsi="宋体" w:eastAsia="宋体" w:cs="Times New Roman"/>
                <w:szCs w:val="21"/>
                <w:highlight w:val="none"/>
                <w:lang w:val="en-US" w:eastAsia="zh-CN"/>
              </w:rPr>
              <w:t>。</w:t>
            </w:r>
          </w:p>
          <w:p>
            <w:pPr>
              <w:pStyle w:val="22"/>
              <w:numPr>
                <w:ilvl w:val="0"/>
                <w:numId w:val="2"/>
              </w:numPr>
              <w:spacing w:line="360" w:lineRule="auto"/>
              <w:ind w:left="425" w:leftChars="0" w:hanging="425" w:firstLineChars="0"/>
              <w:rPr>
                <w:rFonts w:hint="eastAsia"/>
                <w:b/>
                <w:bCs/>
                <w:highlight w:val="none"/>
              </w:rPr>
            </w:pPr>
            <w:r>
              <w:rPr>
                <w:rFonts w:hint="eastAsia"/>
                <w:b/>
                <w:bCs/>
                <w:highlight w:val="none"/>
              </w:rPr>
              <w:t>投标人须提供具有统一社会信用代码的新版营业执照副本原件及（或）复印件（加盖公章）；</w:t>
            </w:r>
          </w:p>
          <w:p>
            <w:pPr>
              <w:pStyle w:val="22"/>
              <w:numPr>
                <w:ilvl w:val="0"/>
                <w:numId w:val="2"/>
              </w:numPr>
              <w:spacing w:line="360" w:lineRule="auto"/>
              <w:ind w:left="425" w:leftChars="0" w:hanging="425" w:firstLineChars="0"/>
              <w:rPr>
                <w:b/>
                <w:color w:val="auto"/>
                <w:highlight w:val="none"/>
              </w:rPr>
            </w:pPr>
            <w:r>
              <w:rPr>
                <w:rFonts w:hint="eastAsia"/>
              </w:rPr>
              <w:t>具有良好的商业信誉，在国家企业信用信息公示系统中无行政处罚、列入经营异常名录和列入严重违法失信企业名单（黑名单）信息</w:t>
            </w:r>
            <w:r>
              <w:rPr>
                <w:rFonts w:hint="eastAsia"/>
                <w:color w:val="auto"/>
                <w:highlight w:val="none"/>
              </w:rPr>
              <w:t>但上述信息已被移除的可参与投标；</w:t>
            </w:r>
          </w:p>
          <w:p>
            <w:pPr>
              <w:pStyle w:val="22"/>
              <w:numPr>
                <w:ilvl w:val="0"/>
                <w:numId w:val="2"/>
              </w:numPr>
              <w:spacing w:line="360" w:lineRule="auto"/>
              <w:ind w:left="425" w:leftChars="0" w:hanging="425" w:firstLineChars="0"/>
              <w:rPr>
                <w:color w:val="auto"/>
              </w:rPr>
            </w:pPr>
            <w:r>
              <w:rPr>
                <w:rFonts w:hint="eastAsia"/>
                <w:color w:val="auto"/>
              </w:rPr>
              <w:t>投标人在近三年内在经营活动中无违法记录；</w:t>
            </w:r>
          </w:p>
          <w:p>
            <w:pPr>
              <w:pStyle w:val="22"/>
              <w:numPr>
                <w:ilvl w:val="0"/>
                <w:numId w:val="2"/>
              </w:numPr>
              <w:spacing w:line="360" w:lineRule="auto"/>
              <w:ind w:left="425" w:leftChars="0" w:hanging="425" w:firstLineChars="0"/>
            </w:pP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pPr>
              <w:pStyle w:val="22"/>
              <w:numPr>
                <w:ilvl w:val="0"/>
                <w:numId w:val="2"/>
              </w:numPr>
              <w:spacing w:line="360" w:lineRule="auto"/>
              <w:ind w:left="425" w:leftChars="0" w:hanging="425" w:firstLineChars="0"/>
              <w:rPr>
                <w:color w:val="auto"/>
              </w:rPr>
            </w:pPr>
            <w:r>
              <w:rPr>
                <w:rFonts w:hint="eastAsia"/>
              </w:rPr>
              <w:t>投标人没有被列入招标人处《黑名单》（《黑名单</w:t>
            </w:r>
            <w:r>
              <w:rPr>
                <w:rFonts w:hint="eastAsia"/>
                <w:color w:val="auto"/>
              </w:rPr>
              <w:t>》指投标人</w:t>
            </w:r>
            <w:r>
              <w:rPr>
                <w:color w:val="auto"/>
              </w:rPr>
              <w:t>与招标人在以往</w:t>
            </w:r>
            <w:r>
              <w:rPr>
                <w:rFonts w:hint="eastAsia"/>
                <w:color w:val="auto"/>
              </w:rPr>
              <w:t>或</w:t>
            </w:r>
            <w:r>
              <w:rPr>
                <w:color w:val="auto"/>
              </w:rPr>
              <w:t>正在</w:t>
            </w:r>
            <w:r>
              <w:rPr>
                <w:rFonts w:hint="eastAsia"/>
                <w:color w:val="auto"/>
              </w:rPr>
              <w:t>进行</w:t>
            </w:r>
            <w:r>
              <w:rPr>
                <w:color w:val="auto"/>
              </w:rPr>
              <w:t>的合作中</w:t>
            </w:r>
            <w:r>
              <w:rPr>
                <w:rFonts w:hint="eastAsia"/>
                <w:color w:val="auto"/>
              </w:rPr>
              <w:t>，</w:t>
            </w:r>
            <w:r>
              <w:rPr>
                <w:color w:val="auto"/>
              </w:rPr>
              <w:t>存在</w:t>
            </w:r>
            <w:r>
              <w:rPr>
                <w:rFonts w:hint="eastAsia"/>
                <w:color w:val="auto"/>
              </w:rPr>
              <w:t>招标人</w:t>
            </w:r>
            <w:r>
              <w:rPr>
                <w:color w:val="auto"/>
              </w:rPr>
              <w:t>认为的</w:t>
            </w:r>
            <w:r>
              <w:rPr>
                <w:rFonts w:hint="eastAsia"/>
                <w:color w:val="auto"/>
              </w:rPr>
              <w:t>违反合同</w:t>
            </w:r>
            <w:r>
              <w:rPr>
                <w:color w:val="auto"/>
              </w:rPr>
              <w:t>约定或</w:t>
            </w:r>
            <w:r>
              <w:rPr>
                <w:rFonts w:hint="eastAsia"/>
                <w:color w:val="auto"/>
              </w:rPr>
              <w:t>违反法律法规</w:t>
            </w:r>
            <w:r>
              <w:rPr>
                <w:color w:val="auto"/>
              </w:rPr>
              <w:t>等的</w:t>
            </w:r>
            <w:r>
              <w:rPr>
                <w:rFonts w:hint="eastAsia"/>
                <w:color w:val="auto"/>
              </w:rPr>
              <w:t>失信行为）的；</w:t>
            </w:r>
          </w:p>
          <w:p>
            <w:pPr>
              <w:numPr>
                <w:ilvl w:val="0"/>
                <w:numId w:val="2"/>
              </w:numPr>
              <w:autoSpaceDE w:val="0"/>
              <w:autoSpaceDN w:val="0"/>
              <w:adjustRightInd w:val="0"/>
              <w:spacing w:line="360" w:lineRule="auto"/>
              <w:ind w:left="425" w:leftChars="0" w:hanging="425" w:firstLineChars="0"/>
              <w:jc w:val="left"/>
              <w:rPr>
                <w:rFonts w:hint="eastAsia" w:ascii="宋体" w:hAnsi="Courier New"/>
                <w:b/>
                <w:bCs/>
                <w:highlight w:val="none"/>
              </w:rPr>
            </w:pPr>
            <w:r>
              <w:rPr>
                <w:rFonts w:hint="eastAsia" w:ascii="宋体" w:hAnsi="Courier New"/>
                <w:b/>
                <w:bCs/>
                <w:highlight w:val="none"/>
              </w:rPr>
              <w:t>投标人须提供经会计师事务所审计且出具无保留意见的近三年</w:t>
            </w:r>
            <w:r>
              <w:rPr>
                <w:rFonts w:hint="eastAsia" w:ascii="宋体" w:hAnsi="Courier New"/>
                <w:b/>
                <w:bCs/>
                <w:highlight w:val="none"/>
                <w:lang w:eastAsia="zh-CN"/>
              </w:rPr>
              <w:t>（</w:t>
            </w:r>
            <w:r>
              <w:rPr>
                <w:rFonts w:hint="eastAsia" w:ascii="宋体" w:hAnsi="Courier New"/>
                <w:b/>
                <w:bCs/>
                <w:highlight w:val="none"/>
              </w:rPr>
              <w:t>202</w:t>
            </w:r>
            <w:r>
              <w:rPr>
                <w:rFonts w:hint="eastAsia" w:ascii="宋体" w:hAnsi="Courier New"/>
                <w:b/>
                <w:bCs/>
                <w:highlight w:val="none"/>
                <w:lang w:val="en-US" w:eastAsia="zh-CN"/>
              </w:rPr>
              <w:t>2</w:t>
            </w:r>
            <w:r>
              <w:rPr>
                <w:rFonts w:hint="eastAsia" w:ascii="宋体" w:hAnsi="Courier New"/>
                <w:b/>
                <w:bCs/>
                <w:highlight w:val="none"/>
              </w:rPr>
              <w:t>年1月1日至今</w:t>
            </w:r>
            <w:r>
              <w:rPr>
                <w:rFonts w:hint="eastAsia" w:ascii="宋体" w:hAnsi="Courier New"/>
                <w:b/>
                <w:bCs/>
                <w:highlight w:val="none"/>
                <w:lang w:eastAsia="zh-CN"/>
              </w:rPr>
              <w:t>）</w:t>
            </w:r>
            <w:r>
              <w:rPr>
                <w:rFonts w:hint="eastAsia" w:ascii="宋体" w:hAnsi="Courier New"/>
                <w:b/>
                <w:bCs/>
                <w:highlight w:val="none"/>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numPr>
                <w:ilvl w:val="0"/>
                <w:numId w:val="2"/>
              </w:numPr>
              <w:spacing w:line="360" w:lineRule="auto"/>
              <w:ind w:left="425" w:leftChars="0" w:hanging="425" w:firstLineChars="0"/>
              <w:rPr>
                <w:rFonts w:ascii="宋体" w:hAnsi="Courier New"/>
                <w:b/>
                <w:bCs/>
                <w:highlight w:val="none"/>
              </w:rPr>
            </w:pPr>
            <w:r>
              <w:rPr>
                <w:rFonts w:hint="eastAsia" w:ascii="宋体" w:hAnsi="Courier New"/>
                <w:b/>
                <w:bCs/>
                <w:highlight w:val="none"/>
              </w:rPr>
              <w:t>投标人须提供法人授权委托书原件（在投标文件副本中可用复印件）及投标单位的法定代表人或授权代表的身份证原件及复印件（加盖公章）；</w:t>
            </w:r>
          </w:p>
          <w:p>
            <w:pPr>
              <w:pStyle w:val="22"/>
              <w:numPr>
                <w:ilvl w:val="0"/>
                <w:numId w:val="2"/>
              </w:numPr>
              <w:spacing w:line="360" w:lineRule="auto"/>
              <w:ind w:left="425" w:leftChars="0" w:hanging="425" w:firstLineChars="0"/>
              <w:rPr>
                <w:rFonts w:hint="eastAsia" w:ascii="宋体" w:hAnsi="宋体" w:eastAsia="宋体" w:cs="Times New Roman"/>
              </w:rPr>
            </w:pPr>
            <w:r>
              <w:rPr>
                <w:rFonts w:hint="eastAsia" w:ascii="宋体" w:hAnsi="宋体" w:eastAsia="宋体" w:cs="Times New Roman"/>
              </w:rPr>
              <w:t>投标人须具有完全履行招标文件的所有要求的能力；</w:t>
            </w:r>
          </w:p>
          <w:p>
            <w:pPr>
              <w:pStyle w:val="22"/>
              <w:numPr>
                <w:ilvl w:val="0"/>
                <w:numId w:val="2"/>
              </w:numPr>
              <w:spacing w:line="360" w:lineRule="auto"/>
              <w:ind w:left="425" w:leftChars="0" w:hanging="425" w:firstLineChars="0"/>
              <w:rPr>
                <w:rFonts w:hint="eastAsia" w:ascii="宋体" w:hAnsi="宋体" w:eastAsia="宋体" w:cs="Times New Roman"/>
              </w:rPr>
            </w:pPr>
            <w:r>
              <w:rPr>
                <w:rFonts w:hint="eastAsia" w:ascii="宋体" w:hAnsi="宋体" w:eastAsia="宋体" w:cs="Times New Roman"/>
              </w:rPr>
              <w:t>投标人须认可招标人的工作指令，包括节、假日能正常开展工作的要求；</w:t>
            </w:r>
          </w:p>
          <w:p>
            <w:pPr>
              <w:pStyle w:val="22"/>
              <w:numPr>
                <w:ilvl w:val="0"/>
                <w:numId w:val="2"/>
              </w:numPr>
              <w:spacing w:line="360" w:lineRule="auto"/>
              <w:ind w:left="425" w:leftChars="0" w:hanging="425" w:firstLineChars="0"/>
              <w:rPr>
                <w:rFonts w:hint="eastAsia" w:ascii="宋体" w:hAnsi="宋体" w:eastAsia="宋体" w:cs="Times New Roman"/>
              </w:rPr>
            </w:pPr>
            <w:r>
              <w:rPr>
                <w:rFonts w:hint="eastAsia" w:ascii="宋体" w:hAnsi="宋体" w:eastAsia="宋体" w:cs="Times New Roman"/>
              </w:rPr>
              <w:t>投标人须认可招标人终止合同后3个月退还履约保证金的招标要求</w:t>
            </w:r>
          </w:p>
          <w:p>
            <w:pPr>
              <w:pStyle w:val="22"/>
              <w:numPr>
                <w:ilvl w:val="0"/>
                <w:numId w:val="2"/>
              </w:numPr>
              <w:spacing w:line="360" w:lineRule="auto"/>
              <w:ind w:left="425" w:leftChars="0" w:hanging="425" w:firstLineChars="0"/>
              <w:rPr>
                <w:b/>
                <w:bCs/>
                <w:highlight w:val="none"/>
              </w:rPr>
            </w:pPr>
            <w:r>
              <w:rPr>
                <w:rFonts w:hint="eastAsia"/>
                <w:b/>
                <w:bCs/>
                <w:highlight w:val="none"/>
              </w:rPr>
              <w:t>投标人必须是最终投标、签订合同的单位，不得以任何理由将已中标项目以任何形式转包给其他单位；</w:t>
            </w:r>
          </w:p>
          <w:p>
            <w:pPr>
              <w:pStyle w:val="22"/>
              <w:numPr>
                <w:ilvl w:val="0"/>
                <w:numId w:val="2"/>
              </w:numPr>
              <w:spacing w:line="360" w:lineRule="auto"/>
              <w:ind w:left="425" w:leftChars="0" w:hanging="425" w:firstLineChars="0"/>
            </w:pPr>
            <w:r>
              <w:rPr>
                <w:rFonts w:hint="eastAsia"/>
                <w:b/>
                <w:bCs/>
                <w:highlight w:val="none"/>
              </w:rPr>
              <w:t>本次招标项目不接受联合体投标</w:t>
            </w:r>
            <w:r>
              <w:rPr>
                <w:rFonts w:hint="eastAsia" w:ascii="宋体" w:hAnsi="宋体" w:eastAsia="宋体" w:cs="Times New Roman"/>
              </w:rPr>
              <w:t>；</w:t>
            </w:r>
          </w:p>
          <w:p>
            <w:pPr>
              <w:pStyle w:val="22"/>
              <w:numPr>
                <w:ilvl w:val="0"/>
                <w:numId w:val="2"/>
              </w:numPr>
              <w:spacing w:line="360" w:lineRule="auto"/>
              <w:ind w:left="425" w:leftChars="0" w:hanging="425" w:firstLineChars="0"/>
              <w:rPr>
                <w:rFonts w:hint="eastAsia" w:ascii="Times New Roman" w:hAnsi="宋体" w:eastAsia="宋体" w:cs="Times New Roman"/>
                <w:b/>
                <w:bCs/>
                <w:color w:val="auto"/>
                <w:highlight w:val="none"/>
                <w:lang w:eastAsia="zh-CN"/>
              </w:rPr>
            </w:pPr>
            <w:r>
              <w:rPr>
                <w:rFonts w:hint="eastAsia" w:hAnsi="宋体"/>
                <w:b/>
                <w:bCs/>
                <w:color w:val="auto"/>
                <w:szCs w:val="21"/>
                <w:lang w:val="en-US" w:eastAsia="zh-CN"/>
              </w:rPr>
              <w:t>投标人</w:t>
            </w:r>
            <w:r>
              <w:rPr>
                <w:rFonts w:hint="eastAsia" w:hAnsi="宋体"/>
                <w:b/>
                <w:bCs/>
                <w:color w:val="auto"/>
                <w:szCs w:val="21"/>
                <w:highlight w:val="yellow"/>
                <w:lang w:val="en-US" w:eastAsia="zh-CN"/>
              </w:rPr>
              <w:t>必须持有建筑施工三级及以上资质。</w:t>
            </w:r>
          </w:p>
          <w:p>
            <w:pPr>
              <w:pStyle w:val="22"/>
              <w:numPr>
                <w:ilvl w:val="0"/>
                <w:numId w:val="2"/>
              </w:numPr>
              <w:spacing w:line="360" w:lineRule="auto"/>
              <w:ind w:left="425" w:leftChars="0" w:hanging="425" w:firstLineChars="0"/>
              <w:rPr>
                <w:rFonts w:hint="eastAsia" w:ascii="仿宋_GB2312" w:hAnsi="仿宋_GB2312" w:eastAsia="仿宋_GB2312" w:cs="仿宋_GB2312"/>
                <w:color w:val="000000"/>
                <w:sz w:val="24"/>
                <w:szCs w:val="24"/>
              </w:rPr>
            </w:pPr>
            <w:r>
              <w:rPr>
                <w:rFonts w:hint="eastAsia" w:ascii="宋体" w:hAnsi="宋体"/>
                <w:b/>
                <w:bCs/>
                <w:highlight w:val="none"/>
              </w:rPr>
              <w:t>投标人在向招标人出示《投标保证金缴纳凭证》后方可进行投标</w:t>
            </w:r>
            <w:r>
              <w:rPr>
                <w:rFonts w:hint="eastAsia"/>
                <w:b/>
                <w:bCs/>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2025年10月30日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2025年11月10日前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2025年11月10日前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2025年11月3日17：00。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2025年11月27日</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ascii="仿宋_GB2312" w:hAnsi="仿宋_GB2312" w:eastAsia="仿宋_GB2312" w:cs="仿宋_GB2312"/>
                <w:b/>
                <w:bCs/>
                <w:color w:val="000000"/>
                <w:kern w:val="0"/>
                <w:sz w:val="24"/>
                <w:szCs w:val="24"/>
                <w:lang w:val="en-US" w:eastAsia="zh-CN"/>
              </w:rPr>
              <w:t>中国重汽集团济南动力有限公司发动机厂</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开户银行：</w:t>
            </w:r>
            <w:r>
              <w:rPr>
                <w:rFonts w:hint="eastAsia" w:ascii="仿宋_GB2312" w:hAnsi="仿宋_GB2312" w:eastAsia="仿宋_GB2312" w:cs="仿宋_GB2312"/>
                <w:b/>
                <w:bCs/>
                <w:color w:val="000000"/>
                <w:kern w:val="0"/>
                <w:sz w:val="24"/>
                <w:szCs w:val="24"/>
                <w:lang w:val="en-US" w:eastAsia="zh-CN"/>
              </w:rPr>
              <w:t>中国银行股份有限公司章丘支行</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ascii="仿宋_GB2312" w:hAnsi="仿宋_GB2312" w:eastAsia="仿宋_GB2312" w:cs="仿宋_GB2312"/>
                <w:b/>
                <w:bCs/>
                <w:color w:val="000000"/>
                <w:kern w:val="0"/>
                <w:sz w:val="24"/>
                <w:szCs w:val="24"/>
                <w:lang w:val="en-US" w:eastAsia="zh-CN"/>
              </w:rPr>
              <w:t>2234 0557 4478</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b/>
                <w:bCs/>
                <w:color w:val="000000"/>
                <w:kern w:val="0"/>
                <w:sz w:val="24"/>
                <w:szCs w:val="24"/>
                <w:lang w:val="en-US" w:eastAsia="zh-CN"/>
              </w:rPr>
              <w:t>1044 5104 0689</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2025年11月27日17：00。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2025年11月28</w:t>
            </w:r>
            <w:bookmarkStart w:id="101" w:name="_GoBack"/>
            <w:bookmarkEnd w:id="101"/>
            <w:r>
              <w:rPr>
                <w:rFonts w:hint="eastAsia" w:ascii="仿宋_GB2312" w:hAnsi="仿宋_GB2312" w:eastAsia="仿宋_GB2312" w:cs="仿宋_GB2312"/>
                <w:color w:val="000000"/>
                <w:sz w:val="24"/>
                <w:szCs w:val="24"/>
                <w:highlight w:val="green"/>
                <w:lang w:val="en-US" w:eastAsia="zh-CN"/>
              </w:rPr>
              <w:t>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val="en-US" w:eastAsia="zh-CN"/>
              </w:rPr>
              <w:t>中国重汽集团济南动力有限公司发动机厂</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9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1.自发布中标推荐后30个日历日，中标人须交付设备到招标人指定的安装和使用的现场，并保证整套测试系统正常进入试运行状态。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val="en-US" w:eastAsia="zh-CN"/>
              </w:rPr>
              <w:t>中国重汽集团济南动力有限公司发动机厂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
                <w:bCs/>
                <w:color w:val="000000"/>
                <w:sz w:val="24"/>
                <w:szCs w:val="24"/>
              </w:rPr>
              <w:t>付款方式：</w:t>
            </w:r>
            <w:r>
              <w:rPr>
                <w:rFonts w:hint="eastAsia" w:ascii="仿宋_GB2312" w:hAnsi="仿宋_GB2312" w:eastAsia="仿宋_GB2312" w:cs="仿宋_GB2312"/>
                <w:b/>
                <w:bCs/>
                <w:color w:val="000000"/>
                <w:sz w:val="24"/>
                <w:szCs w:val="24"/>
                <w:highlight w:val="green"/>
                <w:u w:val="single"/>
              </w:rPr>
              <w:t>半年期商业汇票（包括银行承兑汇票和商业承兑汇票）</w:t>
            </w:r>
            <w:r>
              <w:rPr>
                <w:rFonts w:hint="eastAsia" w:ascii="仿宋_GB2312" w:hAnsi="仿宋_GB2312" w:eastAsia="仿宋_GB2312" w:cs="仿宋_GB2312"/>
                <w:color w:val="000000"/>
                <w:sz w:val="24"/>
                <w:szCs w:val="24"/>
                <w:highlight w:val="green"/>
              </w:rPr>
              <w:t>：</w:t>
            </w:r>
          </w:p>
          <w:p>
            <w:pPr>
              <w:ind w:firstLine="480" w:firstLineChars="200"/>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竣工验收后送招标方指定的第三方审计公司审计（结算审计费，应由承包方向审计单位支付全部费用），工程竣工验收合格且提供适应税率的发票后30天内付至项目合同总价的80%；剩余部分按照审定额进行结算。根据审定额，提供适应税率的发票后30天内支付至工程审定额的90%。剩余10%做为质保金，到期后无质量问题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3"/>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7" w:name="_Toc9448"/>
      <w:bookmarkStart w:id="8" w:name="_Toc427"/>
      <w:bookmarkStart w:id="9" w:name="_Toc19183"/>
      <w:bookmarkStart w:id="10" w:name="_Toc27087"/>
      <w:bookmarkStart w:id="11" w:name="_Toc6577"/>
      <w:bookmarkStart w:id="12" w:name="_Toc11216"/>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65653"/>
      <w:bookmarkStart w:id="20" w:name="_Toc33266950"/>
      <w:bookmarkStart w:id="21" w:name="_Toc33266914"/>
      <w:bookmarkStart w:id="22" w:name="_Toc33265752"/>
      <w:bookmarkStart w:id="23" w:name="_Toc30534"/>
      <w:bookmarkStart w:id="24" w:name="_Toc33285487"/>
      <w:bookmarkStart w:id="25" w:name="_Toc33266627"/>
      <w:bookmarkStart w:id="26" w:name="_Toc33267001"/>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6951"/>
      <w:bookmarkStart w:id="29" w:name="_Toc33285489"/>
      <w:bookmarkStart w:id="30" w:name="_Toc33266628"/>
      <w:bookmarkStart w:id="31" w:name="_Toc33266915"/>
      <w:bookmarkStart w:id="32" w:name="_Toc395116634"/>
      <w:bookmarkStart w:id="33" w:name="_Toc33265753"/>
      <w:bookmarkStart w:id="34" w:name="_Toc33267002"/>
      <w:bookmarkStart w:id="35" w:name="_Toc33265654"/>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7"/>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9"/>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8"/>
      <w:bookmarkStart w:id="39" w:name="OLE_LINK26"/>
      <w:bookmarkStart w:id="40" w:name="OLE_LINK25"/>
      <w:bookmarkStart w:id="41" w:name="OLE_LINK27"/>
      <w:bookmarkStart w:id="42" w:name="OLE_LINK29"/>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44" w:name="_Toc13479"/>
      <w:bookmarkStart w:id="45" w:name="_Toc21022"/>
      <w:bookmarkStart w:id="46" w:name="_Toc762"/>
      <w:bookmarkStart w:id="47" w:name="_Toc31869"/>
      <w:bookmarkStart w:id="48" w:name="_Toc13002"/>
      <w:bookmarkStart w:id="49" w:name="_Toc2363"/>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4"/>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0" w:firstLineChars="200"/>
        <w:rPr>
          <w:rFonts w:hint="eastAsia" w:ascii="仿宋_GB2312" w:hAnsi="仿宋_GB2312" w:eastAsia="仿宋_GB2312" w:cs="仿宋_GB2312"/>
          <w:color w:val="000000"/>
          <w:sz w:val="24"/>
          <w:szCs w:val="24"/>
        </w:rPr>
      </w:pPr>
      <w:bookmarkStart w:id="54" w:name="_Toc536542319"/>
      <w:r>
        <w:rPr>
          <w:rFonts w:hint="eastAsia" w:ascii="仿宋_GB2312" w:hAnsi="仿宋_GB2312" w:eastAsia="仿宋_GB2312" w:cs="仿宋_GB2312"/>
          <w:color w:val="000000"/>
          <w:sz w:val="24"/>
          <w:szCs w:val="24"/>
        </w:rPr>
        <w:t>2.7投标产品技术支持材料</w:t>
      </w:r>
      <w:bookmarkEnd w:id="54"/>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5" w:name="OLE_LINK18"/>
      <w:bookmarkStart w:id="56" w:name="OLE_LINK19"/>
      <w:r>
        <w:rPr>
          <w:rFonts w:hint="eastAsia" w:ascii="仿宋_GB2312" w:hAnsi="仿宋_GB2312" w:eastAsia="仿宋_GB2312" w:cs="仿宋_GB2312"/>
          <w:b/>
          <w:color w:val="000000"/>
          <w:sz w:val="24"/>
          <w:szCs w:val="24"/>
        </w:rPr>
        <w:t>；</w:t>
      </w:r>
      <w:bookmarkEnd w:id="55"/>
      <w:bookmarkEnd w:id="56"/>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7" w:name="_Toc15748"/>
      <w:r>
        <w:rPr>
          <w:rFonts w:hint="eastAsia" w:ascii="仿宋_GB2312" w:hAnsi="仿宋_GB2312" w:eastAsia="仿宋_GB2312" w:cs="仿宋_GB2312"/>
          <w:sz w:val="36"/>
          <w:szCs w:val="36"/>
        </w:rPr>
        <w:t>四、投标文件格式</w:t>
      </w:r>
      <w:bookmarkEnd w:id="57"/>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8" w:name="_Toc11355"/>
      <w:bookmarkStart w:id="59" w:name="_Toc8032"/>
      <w:bookmarkStart w:id="60" w:name="_Toc13562"/>
      <w:bookmarkStart w:id="61" w:name="_Toc8202"/>
      <w:bookmarkStart w:id="62" w:name="_Toc24964"/>
      <w:bookmarkStart w:id="63" w:name="_Toc4532"/>
      <w:bookmarkStart w:id="64" w:name="_Toc14517"/>
      <w:bookmarkStart w:id="65" w:name="_Toc4029"/>
      <w:bookmarkStart w:id="66" w:name="_Toc13555"/>
      <w:bookmarkStart w:id="67" w:name="_Toc7110"/>
      <w:bookmarkStart w:id="68" w:name="_Toc6346"/>
      <w:bookmarkStart w:id="69" w:name="_Toc32378"/>
      <w:bookmarkStart w:id="70" w:name="_Toc3372"/>
      <w:bookmarkStart w:id="71" w:name="_Toc24913"/>
      <w:bookmarkStart w:id="72" w:name="_Toc30738"/>
      <w:bookmarkStart w:id="73" w:name="_Toc19672"/>
      <w:bookmarkStart w:id="74" w:name="_Toc21497"/>
      <w:bookmarkStart w:id="75" w:name="_Toc23870"/>
      <w:bookmarkStart w:id="76" w:name="_Toc4483"/>
      <w:bookmarkStart w:id="77" w:name="_Toc18606"/>
      <w:bookmarkStart w:id="78" w:name="_Toc22649"/>
      <w:bookmarkStart w:id="79" w:name="_Toc18805"/>
      <w:bookmarkStart w:id="80" w:name="_Toc12714"/>
      <w:bookmarkStart w:id="81" w:name="_Toc12552"/>
      <w:bookmarkStart w:id="82" w:name="_Toc20467"/>
      <w:bookmarkStart w:id="83" w:name="_Toc16358"/>
      <w:bookmarkStart w:id="84" w:name="_Toc3565"/>
      <w:bookmarkStart w:id="85" w:name="_Toc13605"/>
      <w:bookmarkStart w:id="86" w:name="_Toc7511"/>
      <w:bookmarkStart w:id="87" w:name="_Toc4194"/>
      <w:bookmarkStart w:id="88" w:name="_Toc18182"/>
      <w:bookmarkStart w:id="89" w:name="_Toc6957"/>
      <w:bookmarkStart w:id="90" w:name="_Toc12563"/>
      <w:bookmarkStart w:id="91" w:name="_Toc1884"/>
      <w:bookmarkStart w:id="92" w:name="_Toc20272"/>
      <w:bookmarkStart w:id="93" w:name="_Toc13988"/>
      <w:bookmarkStart w:id="94" w:name="_Toc133783966"/>
      <w:bookmarkStart w:id="95" w:name="_Toc28236"/>
    </w:p>
    <w:p>
      <w:pPr>
        <w:bidi w:val="0"/>
        <w:rPr>
          <w:rFonts w:hint="eastAsia"/>
        </w:rPr>
      </w:pPr>
    </w:p>
    <w:p>
      <w:pPr>
        <w:bidi w:val="0"/>
        <w:rPr>
          <w:rFonts w:hint="eastAsia"/>
        </w:rPr>
      </w:pPr>
    </w:p>
    <w:p>
      <w:pPr>
        <w:bidi w:val="0"/>
        <w:rPr>
          <w:rFonts w:hint="eastAsia"/>
        </w:rPr>
      </w:pPr>
    </w:p>
    <w:p>
      <w:pPr>
        <w:bidi w:val="0"/>
        <w:rPr>
          <w:rFonts w:hint="eastAsia"/>
        </w:rPr>
      </w:pPr>
    </w:p>
    <w:p>
      <w:pPr>
        <w:pStyle w:val="3"/>
        <w:numPr>
          <w:ilvl w:val="0"/>
          <w:numId w:val="10"/>
        </w:numPr>
        <w:spacing w:line="360" w:lineRule="auto"/>
        <w:rPr>
          <w:rFonts w:hint="eastAsia" w:ascii="仿宋_GB2312" w:hAnsi="仿宋_GB2312" w:eastAsia="仿宋_GB2312" w:cs="仿宋_GB2312"/>
          <w:sz w:val="44"/>
          <w:highlight w:val="green"/>
        </w:rPr>
      </w:pPr>
      <w:bookmarkStart w:id="96" w:name="_Toc10008"/>
      <w:r>
        <w:rPr>
          <w:rFonts w:hint="eastAsia" w:ascii="仿宋_GB2312" w:hAnsi="仿宋_GB2312" w:eastAsia="仿宋_GB2312" w:cs="仿宋_GB2312"/>
          <w:sz w:val="44"/>
          <w:highlight w:val="green"/>
        </w:rPr>
        <w:t>技术标书</w:t>
      </w:r>
      <w:bookmarkEnd w:id="96"/>
    </w:p>
    <w:p>
      <w:pPr>
        <w:pStyle w:val="22"/>
        <w:sectPr>
          <w:headerReference r:id="rId8" w:type="default"/>
          <w:footerReference r:id="rId9" w:type="default"/>
          <w:pgSz w:w="11907" w:h="16840"/>
          <w:pgMar w:top="1304" w:right="1418" w:bottom="1304" w:left="1418" w:header="724" w:footer="851" w:gutter="0"/>
          <w:cols w:space="720" w:num="1"/>
          <w:docGrid w:linePitch="290" w:charSpace="-3931"/>
        </w:sectPr>
      </w:pPr>
    </w:p>
    <w:p>
      <w:pPr>
        <w:pStyle w:val="22"/>
        <w:spacing w:line="360" w:lineRule="auto"/>
        <w:ind w:firstLine="562" w:firstLineChars="200"/>
        <w:rPr>
          <w:rFonts w:ascii="黑体" w:hAnsi="黑体" w:eastAsia="黑体"/>
          <w:b/>
          <w:bCs/>
          <w:sz w:val="28"/>
          <w:szCs w:val="28"/>
        </w:rPr>
      </w:pPr>
      <w:r>
        <w:rPr>
          <w:rFonts w:hint="eastAsia" w:ascii="黑体" w:hAnsi="黑体" w:eastAsia="黑体"/>
          <w:b/>
          <w:bCs/>
          <w:sz w:val="28"/>
          <w:szCs w:val="28"/>
        </w:rPr>
        <w:t>一、项目名称</w:t>
      </w:r>
    </w:p>
    <w:p>
      <w:pPr>
        <w:ind w:firstLine="480" w:firstLineChars="200"/>
        <w:rPr>
          <w:rFonts w:ascii="黑体" w:hAnsi="黑体" w:eastAsia="黑体"/>
          <w:b/>
          <w:bCs/>
          <w:sz w:val="28"/>
          <w:szCs w:val="28"/>
          <w:highlight w:val="none"/>
        </w:rPr>
      </w:pPr>
      <w:r>
        <w:rPr>
          <w:rFonts w:hint="eastAsia"/>
          <w:sz w:val="24"/>
          <w:szCs w:val="22"/>
          <w:highlight w:val="none"/>
          <w:lang w:val="en-US" w:eastAsia="zh-CN"/>
        </w:rPr>
        <w:t>济南发动机厂危险废物仓库整改项目</w:t>
      </w:r>
    </w:p>
    <w:p>
      <w:pPr>
        <w:pStyle w:val="22"/>
        <w:spacing w:line="360" w:lineRule="auto"/>
        <w:ind w:firstLine="562" w:firstLineChars="200"/>
        <w:rPr>
          <w:rFonts w:hint="eastAsia" w:ascii="黑体" w:hAnsi="黑体" w:eastAsia="黑体" w:cs="Times New Roman"/>
          <w:b/>
          <w:bCs/>
          <w:sz w:val="28"/>
          <w:szCs w:val="28"/>
        </w:rPr>
      </w:pPr>
      <w:r>
        <w:rPr>
          <w:rFonts w:hint="eastAsia" w:ascii="黑体" w:hAnsi="黑体" w:eastAsia="黑体" w:cs="Times New Roman"/>
          <w:b/>
          <w:bCs/>
          <w:sz w:val="28"/>
          <w:szCs w:val="28"/>
          <w:lang w:val="en-US" w:eastAsia="zh-CN"/>
        </w:rPr>
        <w:t>二、施工内容及技术要点</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1.防油渗地面工程（315㎡）</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1.1拆除工艺：采用挖掘机液压破碎锤破除200mm厚原混凝土层，废渣外运至合规建筑垃圾场。</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1.2防渗层施工</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1.2.1基层处理：清理地面夯实，铺设2mmHDPE膜（符合GB/T17643-2011标准），热熔焊接搭接宽度≥100mm，接缝强度≥母材90%，浇筑C30P6抗渗混凝土（配比1:1.32:2.63），振捣密实后机械抹光；</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1.2.2表面处理：养护7天后切割6mm宽伸缩缝（间距≤6m）。增加1.2m高防火隔墙加气混凝土砌块，两面抹灰，涂刷环氧树脂防渗涂层（干膜厚度≥1.5mm）至墙体高1.2m。</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1.3导流沟系统（96m）</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1.3.1结构设计：U型截面（300×300mm），0.5%坡度坡向收集井；</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1.3.2模板支设：采用15mm厚竹胶板，方木龙骨加固，C25混凝土现浇，插入式振捣器分层振捣，预埋Q235镀锌篦子（800×500×30mm），篦条间距≤30mm</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1.3.3防腐处理：内壁涂刷聚氨酯防腐涂料（二布三涂工艺）</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2.防火隔墙工程（175㎡）</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2.1主体：MU10烧结砖M7.5水泥砂浆砌筑，双面20mm厚水泥砂浆抹灰</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2.2防渗措施：环氧树脂涂层三遍涂装（总厚度≥2mm）</w:t>
      </w:r>
    </w:p>
    <w:p>
      <w:pPr>
        <w:spacing w:line="460" w:lineRule="exact"/>
        <w:ind w:firstLine="482" w:firstLineChars="200"/>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3.卷帘门更换（3套，39㎡）</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3.1安装要求：拆除旧门体及轨道系统，安装F3级防火卷帘（耐火时间≥3h），导轨垂直度偏差≤3mm。</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4.墙面改造（510㎡）</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4.1施工工序：高压水枪（压力15-20MPa）清洗彩钢板表面，涂刷超薄型钢结构防火涂料（干膜厚度≥2mm，耐火极限≥1.5h），涂层附着力≥3MPa（划格法检测）</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5.墙板封堵（35㎡）</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5.1采用0.6mm厚镀铝锌板（AZ150级），自攻螺钉固定（间距≤300mm），接缝处打注硅酮耐候密封胶（宽度≥8mm）</w:t>
      </w:r>
    </w:p>
    <w:p>
      <w:pPr>
        <w:spacing w:line="460" w:lineRule="exact"/>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6.电子磅安装</w:t>
      </w:r>
    </w:p>
    <w:p>
      <w:pPr>
        <w:spacing w:line="460" w:lineRule="exact"/>
        <w:ind w:firstLine="480" w:firstLineChars="200"/>
        <w:rPr>
          <w:rFonts w:hint="default" w:ascii="宋体" w:hAnsi="宋体" w:eastAsia="宋体" w:cs="宋体"/>
          <w:sz w:val="24"/>
          <w:szCs w:val="24"/>
          <w:highlight w:val="none"/>
          <w:lang w:val="en-US"/>
        </w:rPr>
      </w:pPr>
      <w:r>
        <w:rPr>
          <w:rFonts w:hint="eastAsia" w:ascii="宋体" w:hAnsi="宋体" w:eastAsia="宋体" w:cs="宋体"/>
          <w:sz w:val="24"/>
          <w:szCs w:val="24"/>
          <w:highlight w:val="none"/>
          <w:lang w:val="en-US" w:eastAsia="zh-CN"/>
        </w:rPr>
        <w:t>6.1设备调试：移动电子磅2吨，经法定计量机构检定（精度等级III级）并提供第三方法定计量机构检定证书。</w:t>
      </w:r>
    </w:p>
    <w:p>
      <w:pPr>
        <w:spacing w:line="460" w:lineRule="exact"/>
        <w:ind w:firstLine="562" w:firstLineChars="200"/>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三、质量保障措施</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1.关键控制点：HDPE膜焊缝真空检测（-0.02MPa，30s无泄漏），出具验收报告。</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2.材料复验：所有进场材料提供出厂合格证及第三方检测报告。</w:t>
      </w:r>
    </w:p>
    <w:p>
      <w:pPr>
        <w:spacing w:line="460" w:lineRule="exact"/>
        <w:ind w:firstLine="562" w:firstLineChars="200"/>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四、验收标准</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1.执行规范：</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《工业建筑防腐蚀设计标准》（GB/T50046-2018）</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《建筑防火通用规范》（GB 55037-2022）</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2.专项检测：</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地面防渗性能（蓄水试验24h无渗漏）</w:t>
      </w:r>
    </w:p>
    <w:p>
      <w:pPr>
        <w:spacing w:line="460" w:lineRule="exac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导流沟坡度（激光水准仪测量）</w:t>
      </w:r>
    </w:p>
    <w:p>
      <w:pPr>
        <w:spacing w:line="460" w:lineRule="exact"/>
        <w:ind w:firstLine="480" w:firstLineChars="200"/>
        <w:sectPr>
          <w:pgSz w:w="11907" w:h="16840"/>
          <w:pgMar w:top="1304" w:right="1418" w:bottom="1304" w:left="1418" w:header="724" w:footer="851" w:gutter="0"/>
          <w:cols w:space="720" w:num="1"/>
          <w:docGrid w:linePitch="290" w:charSpace="-3931"/>
        </w:sectPr>
      </w:pPr>
      <w:r>
        <w:rPr>
          <w:rFonts w:hint="eastAsia" w:ascii="宋体" w:hAnsi="宋体" w:eastAsia="宋体" w:cs="宋体"/>
          <w:sz w:val="24"/>
          <w:szCs w:val="24"/>
          <w:highlight w:val="none"/>
          <w:lang w:val="en-US" w:eastAsia="zh-CN"/>
        </w:rPr>
        <w:t>本方案已考虑各专业交叉施工时序，建议采用BIM技术进行管线综合排布，施工过程中需严格执行隐蔽工程验收制度出具验收报告附带证明资料。</w:t>
      </w:r>
    </w:p>
    <w:p/>
    <w:p>
      <w:pPr>
        <w:pStyle w:val="22"/>
      </w:pPr>
    </w:p>
    <w:p>
      <w:pPr>
        <w:spacing w:line="360" w:lineRule="auto"/>
        <w:jc w:val="center"/>
        <w:outlineLvl w:val="0"/>
        <w:rPr>
          <w:rFonts w:ascii="宋体" w:hAnsi="Calibri" w:eastAsia="宋体" w:cs="Times New Roman"/>
          <w:b/>
          <w:sz w:val="36"/>
          <w:szCs w:val="36"/>
        </w:rPr>
      </w:pPr>
      <w:bookmarkStart w:id="97"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97"/>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98" w:name="_Toc15851"/>
      <w:bookmarkStart w:id="99" w:name="_Toc8509"/>
      <w:bookmarkStart w:id="100"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98"/>
      <w:bookmarkEnd w:id="99"/>
      <w:bookmarkEnd w:id="100"/>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1</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防火隔墙加气混凝土砌块，两面抹灰，刷两遍环氧树脂，防腐，防渗。</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2</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导流沟（支模浇筑混泥土增加污水篦子）</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3</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防火涂料（墙板顶板檩条清洗喷刷两边防火涂料）</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4</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防油渗地面（拆除原地面垃圾清运，铺2.0mm厚HOPE土工膜，恢复混泥土做环氧树脂地面</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5</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更换卷帘门（拆除原卷连门，更换门口包边）</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6</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移动电子磅（成品）</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keepNext w:val="0"/>
              <w:keepLines w:val="0"/>
              <w:widowControl/>
              <w:suppressLineNumbers w:val="0"/>
              <w:jc w:val="center"/>
              <w:textAlignment w:val="center"/>
              <w:rPr>
                <w:rFonts w:hint="eastAsia" w:ascii="Times New Roman" w:hAnsi="Times New Roman" w:eastAsia="宋体" w:cs="Times New Roman"/>
                <w:b/>
                <w:sz w:val="24"/>
                <w:szCs w:val="20"/>
                <w:lang w:val="en-US" w:eastAsia="zh-CN"/>
              </w:rPr>
            </w:pPr>
            <w:r>
              <w:rPr>
                <w:rFonts w:hint="eastAsia" w:ascii="宋体" w:hAnsi="宋体" w:eastAsia="宋体" w:cs="宋体"/>
                <w:i w:val="0"/>
                <w:iCs w:val="0"/>
                <w:color w:val="000000"/>
                <w:kern w:val="0"/>
                <w:sz w:val="18"/>
                <w:szCs w:val="18"/>
                <w:u w:val="none"/>
                <w:lang w:val="en-US" w:eastAsia="zh-CN" w:bidi="ar"/>
              </w:rPr>
              <w:t>7</w:t>
            </w:r>
          </w:p>
        </w:tc>
        <w:tc>
          <w:tcPr>
            <w:tcW w:w="3190" w:type="dxa"/>
            <w:vAlign w:val="center"/>
          </w:tcPr>
          <w:p>
            <w:pPr>
              <w:keepNext w:val="0"/>
              <w:keepLines w:val="0"/>
              <w:widowControl/>
              <w:suppressLineNumbers w:val="0"/>
              <w:jc w:val="center"/>
              <w:textAlignment w:val="center"/>
              <w:rPr>
                <w:rFonts w:ascii="Times New Roman" w:hAnsi="Times New Roman" w:eastAsia="宋体" w:cs="Times New Roman"/>
                <w:b/>
                <w:sz w:val="24"/>
                <w:szCs w:val="20"/>
              </w:rPr>
            </w:pPr>
            <w:r>
              <w:rPr>
                <w:rFonts w:hint="eastAsia" w:ascii="宋体" w:hAnsi="宋体" w:eastAsia="宋体" w:cs="宋体"/>
                <w:i w:val="0"/>
                <w:iCs w:val="0"/>
                <w:color w:val="000000"/>
                <w:kern w:val="0"/>
                <w:sz w:val="18"/>
                <w:szCs w:val="18"/>
                <w:u w:val="none"/>
                <w:lang w:val="en-US" w:eastAsia="zh-CN" w:bidi="ar"/>
              </w:rPr>
              <w:t>镀铝锌墙板（风口封堵）</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2307"/>
        <w:gridCol w:w="2343"/>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307"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343"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30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3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1</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防火隔墙加气混凝土砌块，两面抹灰，刷两遍环氧树脂，防腐，防渗。</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18"/>
                <w:szCs w:val="18"/>
                <w:u w:val="none"/>
                <w:lang w:val="en-US" w:eastAsia="zh-CN" w:bidi="ar"/>
              </w:rPr>
              <w:t>m2</w:t>
            </w:r>
          </w:p>
        </w:tc>
        <w:tc>
          <w:tcPr>
            <w:tcW w:w="645" w:type="dxa"/>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18"/>
                <w:szCs w:val="18"/>
                <w:u w:val="none"/>
                <w:lang w:val="en-US" w:eastAsia="zh-CN" w:bidi="ar"/>
              </w:rPr>
              <w:t>175</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2</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导流沟（支模浇筑混泥土增加污水篦子）</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w:t>
            </w:r>
          </w:p>
        </w:tc>
        <w:tc>
          <w:tcPr>
            <w:tcW w:w="645"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96</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3</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防火涂料（墙板顶板檩条清洗喷刷两边防火涂料）</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645"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510</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4</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防油渗地面（拆除原地面垃圾清运，铺2.0mm厚HOPE土工膜，恢复混泥土做环氧树脂地面</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645"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315</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5</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更换卷帘门（拆除原卷连门，更换门口包边）</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645"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34</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6</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移动电子磅（成品）</w:t>
            </w: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台</w:t>
            </w:r>
          </w:p>
        </w:tc>
        <w:tc>
          <w:tcPr>
            <w:tcW w:w="645" w:type="dxa"/>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1</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keepNext w:val="0"/>
              <w:keepLines w:val="0"/>
              <w:widowControl/>
              <w:suppressLineNumbers w:val="0"/>
              <w:jc w:val="center"/>
              <w:textAlignment w:val="center"/>
              <w:rPr>
                <w:rFonts w:hint="eastAsia" w:ascii="宋体" w:hAnsi="宋体" w:cs="宋体"/>
                <w:szCs w:val="21"/>
              </w:rPr>
            </w:pPr>
            <w:r>
              <w:rPr>
                <w:rFonts w:hint="eastAsia" w:ascii="宋体" w:hAnsi="宋体" w:eastAsia="宋体" w:cs="宋体"/>
                <w:i w:val="0"/>
                <w:iCs w:val="0"/>
                <w:color w:val="000000"/>
                <w:kern w:val="0"/>
                <w:sz w:val="18"/>
                <w:szCs w:val="18"/>
                <w:u w:val="none"/>
                <w:lang w:val="en-US" w:eastAsia="zh-CN" w:bidi="ar"/>
              </w:rPr>
              <w:t>7</w:t>
            </w:r>
          </w:p>
        </w:tc>
        <w:tc>
          <w:tcPr>
            <w:tcW w:w="2307"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镀铝锌墙板（风口封堵）</w:t>
            </w:r>
          </w:p>
        </w:tc>
        <w:tc>
          <w:tcPr>
            <w:tcW w:w="234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m2</w:t>
            </w:r>
          </w:p>
        </w:tc>
        <w:tc>
          <w:tcPr>
            <w:tcW w:w="645" w:type="dxa"/>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35</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rPr>
            </w:pP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rPr>
            </w:pP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rPr>
            </w:pPr>
          </w:p>
        </w:tc>
        <w:tc>
          <w:tcPr>
            <w:tcW w:w="2343"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color w:val="000000"/>
                <w:kern w:val="0"/>
                <w:sz w:val="18"/>
                <w:szCs w:val="18"/>
                <w:lang w:bidi="ar"/>
              </w:rPr>
            </w:pPr>
          </w:p>
        </w:tc>
        <w:tc>
          <w:tcPr>
            <w:tcW w:w="234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color w:val="000000"/>
                <w:kern w:val="0"/>
                <w:sz w:val="18"/>
                <w:szCs w:val="18"/>
                <w:lang w:bidi="ar"/>
              </w:rPr>
            </w:pPr>
          </w:p>
        </w:tc>
        <w:tc>
          <w:tcPr>
            <w:tcW w:w="234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2307" w:type="dxa"/>
            <w:vAlign w:val="center"/>
          </w:tcPr>
          <w:p>
            <w:pPr>
              <w:widowControl/>
              <w:jc w:val="center"/>
              <w:textAlignment w:val="center"/>
              <w:rPr>
                <w:rFonts w:hint="eastAsia" w:ascii="宋体" w:hAnsi="宋体" w:eastAsia="宋体" w:cs="宋体"/>
                <w:color w:val="000000"/>
                <w:kern w:val="0"/>
                <w:sz w:val="18"/>
                <w:szCs w:val="18"/>
                <w:lang w:bidi="ar"/>
              </w:rPr>
            </w:pPr>
          </w:p>
        </w:tc>
        <w:tc>
          <w:tcPr>
            <w:tcW w:w="234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2307"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2343"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2070"/>
        <w:gridCol w:w="2006"/>
        <w:gridCol w:w="891"/>
        <w:gridCol w:w="793"/>
        <w:gridCol w:w="2028"/>
        <w:gridCol w:w="1630"/>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739"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716"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739"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716"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0"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防火隔墙加气混凝土砌块，两面抹灰，刷两遍环氧树脂，防腐，防渗。</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18"/>
                <w:szCs w:val="18"/>
                <w:u w:val="none"/>
                <w:lang w:val="en-US" w:eastAsia="zh-CN" w:bidi="ar"/>
              </w:rPr>
              <w:t>m2</w:t>
            </w:r>
          </w:p>
        </w:tc>
        <w:tc>
          <w:tcPr>
            <w:tcW w:w="283" w:type="pct"/>
            <w:vAlign w:val="center"/>
          </w:tcPr>
          <w:p>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18"/>
                <w:szCs w:val="18"/>
                <w:u w:val="none"/>
                <w:lang w:val="en-US" w:eastAsia="zh-CN" w:bidi="ar"/>
              </w:rPr>
              <w:t>175</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导流沟（支模浇筑混泥土增加污水篦子）</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96</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防火涂料（墙板顶板檩条清洗喷刷两边防火涂料）</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510</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防油渗地面（拆除原地面垃圾清运，铺2.0mm厚HOPE土工膜，恢复混泥土做环氧树脂地面</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315</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更换卷帘门（拆除原卷连门，更换门口包边）</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34</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739" w:type="pct"/>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18"/>
                <w:szCs w:val="18"/>
                <w:u w:val="none"/>
                <w:lang w:val="en-US" w:eastAsia="zh-CN" w:bidi="ar"/>
              </w:rPr>
              <w:t>移动电子磅（成品）</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台</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1</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739" w:type="pct"/>
            <w:vAlign w:val="center"/>
          </w:tcPr>
          <w:p>
            <w:pPr>
              <w:keepNext w:val="0"/>
              <w:keepLines w:val="0"/>
              <w:widowControl/>
              <w:suppressLineNumbers w:val="0"/>
              <w:jc w:val="center"/>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18"/>
                <w:szCs w:val="18"/>
                <w:u w:val="none"/>
                <w:lang w:val="en-US" w:eastAsia="zh-CN" w:bidi="ar"/>
              </w:rPr>
              <w:t>镀铝锌墙板（风口封堵）</w:t>
            </w: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m2</w:t>
            </w:r>
          </w:p>
        </w:tc>
        <w:tc>
          <w:tcPr>
            <w:tcW w:w="283" w:type="pct"/>
            <w:vAlign w:val="center"/>
          </w:tcPr>
          <w:p>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18"/>
                <w:szCs w:val="18"/>
                <w:u w:val="none"/>
                <w:lang w:val="en-US" w:eastAsia="zh-CN" w:bidi="ar"/>
              </w:rPr>
              <w:t>35</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739" w:type="pct"/>
            <w:vAlign w:val="center"/>
          </w:tcPr>
          <w:p>
            <w:pPr>
              <w:widowControl/>
              <w:jc w:val="center"/>
              <w:textAlignment w:val="center"/>
              <w:rPr>
                <w:rFonts w:hint="eastAsia" w:ascii="宋体" w:hAnsi="宋体" w:eastAsia="宋体" w:cs="宋体"/>
                <w:sz w:val="18"/>
                <w:szCs w:val="18"/>
              </w:rPr>
            </w:pP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739" w:type="pct"/>
            <w:vAlign w:val="center"/>
          </w:tcPr>
          <w:p>
            <w:pPr>
              <w:widowControl/>
              <w:jc w:val="center"/>
              <w:textAlignment w:val="center"/>
              <w:rPr>
                <w:rFonts w:hint="eastAsia" w:ascii="宋体" w:hAnsi="宋体" w:eastAsia="宋体" w:cs="宋体"/>
                <w:sz w:val="18"/>
                <w:szCs w:val="18"/>
              </w:rPr>
            </w:pP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739" w:type="pct"/>
            <w:vAlign w:val="center"/>
          </w:tcPr>
          <w:p>
            <w:pPr>
              <w:widowControl/>
              <w:jc w:val="center"/>
              <w:textAlignment w:val="center"/>
              <w:rPr>
                <w:rFonts w:hint="eastAsia" w:ascii="宋体" w:hAnsi="宋体" w:eastAsia="宋体" w:cs="宋体"/>
                <w:color w:val="000000"/>
                <w:kern w:val="0"/>
                <w:sz w:val="18"/>
                <w:szCs w:val="18"/>
                <w:lang w:bidi="ar"/>
              </w:rPr>
            </w:pPr>
          </w:p>
        </w:tc>
        <w:tc>
          <w:tcPr>
            <w:tcW w:w="716"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739" w:type="pct"/>
            <w:vAlign w:val="center"/>
          </w:tcPr>
          <w:p>
            <w:pPr>
              <w:widowControl/>
              <w:jc w:val="center"/>
              <w:textAlignment w:val="center"/>
              <w:rPr>
                <w:rFonts w:hint="eastAsia" w:ascii="宋体" w:hAnsi="宋体" w:eastAsia="宋体" w:cs="宋体"/>
                <w:color w:val="000000"/>
                <w:kern w:val="0"/>
                <w:sz w:val="18"/>
                <w:szCs w:val="18"/>
                <w:lang w:bidi="ar"/>
              </w:rPr>
            </w:pPr>
          </w:p>
        </w:tc>
        <w:tc>
          <w:tcPr>
            <w:tcW w:w="716"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739" w:type="pct"/>
            <w:vAlign w:val="center"/>
          </w:tcPr>
          <w:p>
            <w:pPr>
              <w:widowControl/>
              <w:jc w:val="center"/>
              <w:textAlignment w:val="center"/>
              <w:rPr>
                <w:rFonts w:hint="eastAsia" w:ascii="宋体" w:hAnsi="宋体" w:eastAsia="宋体" w:cs="宋体"/>
                <w:color w:val="000000"/>
                <w:kern w:val="0"/>
                <w:sz w:val="18"/>
                <w:szCs w:val="18"/>
                <w:lang w:bidi="ar"/>
              </w:rPr>
            </w:pPr>
          </w:p>
        </w:tc>
        <w:tc>
          <w:tcPr>
            <w:tcW w:w="716"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739" w:type="pct"/>
            <w:vAlign w:val="center"/>
          </w:tcPr>
          <w:p>
            <w:pPr>
              <w:widowControl/>
              <w:jc w:val="center"/>
              <w:textAlignment w:val="center"/>
              <w:rPr>
                <w:rFonts w:hint="eastAsia" w:ascii="宋体" w:hAnsi="宋体" w:eastAsia="宋体" w:cs="宋体"/>
                <w:sz w:val="18"/>
                <w:szCs w:val="18"/>
              </w:rPr>
            </w:pPr>
          </w:p>
        </w:tc>
        <w:tc>
          <w:tcPr>
            <w:tcW w:w="716"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789492"/>
    <w:multiLevelType w:val="singleLevel"/>
    <w:tmpl w:val="4F789492"/>
    <w:lvl w:ilvl="0" w:tentative="0">
      <w:start w:val="1"/>
      <w:numFmt w:val="decimal"/>
      <w:lvlText w:val="(%1)"/>
      <w:lvlJc w:val="left"/>
      <w:pPr>
        <w:ind w:left="425" w:hanging="425"/>
      </w:pPr>
      <w:rPr>
        <w:rFonts w:hint="default"/>
        <w:color w:val="auto"/>
      </w:rPr>
    </w:lvl>
  </w:abstractNum>
  <w:abstractNum w:abstractNumId="7">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6"/>
  </w:num>
  <w:num w:numId="3">
    <w:abstractNumId w:val="8"/>
  </w:num>
  <w:num w:numId="4">
    <w:abstractNumId w:val="9"/>
  </w:num>
  <w:num w:numId="5">
    <w:abstractNumId w:val="3"/>
  </w:num>
  <w:num w:numId="6">
    <w:abstractNumId w:val="2"/>
  </w:num>
  <w:num w:numId="7">
    <w:abstractNumId w:val="5"/>
  </w:num>
  <w:num w:numId="8">
    <w:abstractNumId w:val="1"/>
  </w:num>
  <w:num w:numId="9">
    <w:abstractNumId w:val="4"/>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26765"/>
    <w:rsid w:val="0FB83603"/>
    <w:rsid w:val="0FCA77F1"/>
    <w:rsid w:val="0FCD5DCC"/>
    <w:rsid w:val="0FEF02B3"/>
    <w:rsid w:val="10270545"/>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18FB"/>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2E1296"/>
    <w:rsid w:val="18454A08"/>
    <w:rsid w:val="18586F2B"/>
    <w:rsid w:val="18656713"/>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214D94"/>
    <w:rsid w:val="1A3C37FC"/>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C2AEC"/>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B93010"/>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07CD5"/>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85B1F"/>
    <w:rsid w:val="372E04CB"/>
    <w:rsid w:val="3762046C"/>
    <w:rsid w:val="376A7E9C"/>
    <w:rsid w:val="376B5C1E"/>
    <w:rsid w:val="37742729"/>
    <w:rsid w:val="3790083E"/>
    <w:rsid w:val="37A92DDE"/>
    <w:rsid w:val="37C77814"/>
    <w:rsid w:val="382C7B34"/>
    <w:rsid w:val="38662298"/>
    <w:rsid w:val="38715CEA"/>
    <w:rsid w:val="388A3751"/>
    <w:rsid w:val="389E640F"/>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4A0668"/>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0104A"/>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31ED6"/>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A12B0F"/>
    <w:rsid w:val="6EDD02F8"/>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55EF8"/>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163125"/>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2"/>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61</Pages>
  <Words>9726</Words>
  <Characters>10320</Characters>
  <Lines>371</Lines>
  <Paragraphs>104</Paragraphs>
  <TotalTime>8</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2025-10-30T03:12:27Z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